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500" w:right="2240" w:hanging="3492"/>
        <w:spacing w:after="0" w:line="486" w:lineRule="auto"/>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26" w:lineRule="exact"/>
        <w:rPr>
          <w:sz w:val="24"/>
          <w:szCs w:val="24"/>
          <w:color w:val="auto"/>
        </w:rPr>
      </w:pPr>
    </w:p>
    <w:p>
      <w:pPr>
        <w:ind w:left="3920" w:right="1860" w:hanging="3912"/>
        <w:spacing w:after="0" w:line="537" w:lineRule="auto"/>
        <w:tabs>
          <w:tab w:leader="none" w:pos="2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-24765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212"/>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39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20"/>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640 Fifth Avenue, 12th Floor, New York, NY</w:t>
            </w:r>
          </w:p>
        </w:tc>
        <w:tc>
          <w:tcPr>
            <w:tcW w:w="39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4"/>
        </w:trPr>
        <w:tc>
          <w:tcPr>
            <w:tcW w:w="47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8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931-6331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SSSS</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6.00% Notes due 2026</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SSSSL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0"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periods as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6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0" w:gutter="0" w:footer="0" w:header="0"/>
        </w:sectPr>
      </w:pPr>
    </w:p>
    <w:p>
      <w:pPr>
        <w:spacing w:after="0" w:line="147"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27" w:lineRule="exact"/>
        <w:rPr>
          <w:sz w:val="24"/>
          <w:szCs w:val="24"/>
          <w:color w:val="auto"/>
        </w:rPr>
      </w:pPr>
    </w:p>
    <w:p>
      <w:pPr>
        <w:sectPr>
          <w:pgSz w:w="11900" w:h="16838" w:orient="portrait"/>
          <w:cols w:equalWidth="0" w:num="2">
            <w:col w:w="7160" w:space="720"/>
            <w:col w:w="3360"/>
          </w:cols>
          <w:pgMar w:left="320" w:top="740" w:right="339" w:bottom="0" w:gutter="0" w:footer="0" w:header="0"/>
          <w:type w:val="continuous"/>
        </w:sectPr>
      </w:pPr>
    </w:p>
    <w:p>
      <w:pPr>
        <w:spacing w:after="0" w:line="5" w:lineRule="exact"/>
        <w:rPr>
          <w:sz w:val="24"/>
          <w:szCs w:val="24"/>
          <w:color w:val="auto"/>
        </w:rPr>
      </w:pPr>
    </w:p>
    <w:p>
      <w:pPr>
        <w:jc w:val="both"/>
        <w:ind w:firstLine="36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6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market value of common stock beneficially owned by non-affiliates of the Registrant on June 30, 2022, based on the closing price on that date of $6.40 on the Nasdaq Global Select Market, was $186,610,246. For the purposes of calculating this amount only, all interested directors and executive officers of the Registrant have been treated as affiliates. The issuer had 28,338,580 shares of common stock, $0.01 par value per share, outstanding as of March 15, 2023.</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Registrant’s 2023 annual meeting of stockholders (the “2023 Proxy Statement”), to be filed with the Securities and Exchange Commission (the “SEC”) within 120 days following the end of the Registrant’s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20" w:type="dxa"/>
            <w:vAlign w:val="bottom"/>
            <w:gridSpan w:val="9"/>
          </w:tcPr>
          <w:p>
            <w:pPr>
              <w:ind w:left="480"/>
              <w:spacing w:after="0"/>
              <w:rPr>
                <w:sz w:val="20"/>
                <w:szCs w:val="20"/>
                <w:color w:val="auto"/>
              </w:rPr>
            </w:pPr>
            <w:r>
              <w:rPr>
                <w:rFonts w:ascii="Times New Roman" w:cs="Times New Roman" w:eastAsia="Times New Roman" w:hAnsi="Times New Roman"/>
                <w:sz w:val="18"/>
                <w:szCs w:val="18"/>
                <w:b w:val="1"/>
                <w:bCs w:val="1"/>
                <w:color w:val="auto"/>
              </w:rPr>
              <w:t>SURO CAPITAL CORP.</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20" w:type="dxa"/>
            <w:vAlign w:val="bottom"/>
            <w:gridSpan w:val="9"/>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640" w:type="dxa"/>
            <w:vAlign w:val="bottom"/>
            <w:tcBorders>
              <w:top w:val="single" w:sz="8" w:color="CCEEFF"/>
              <w:bottom w:val="single" w:sz="8" w:color="0000EE"/>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2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7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90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6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30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64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7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7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6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4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7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7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60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SuRo Capital</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3"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Our date of inception was January 6, 2011, which is the date we commenced development stage activities. We commenced operations as a BDC upon completion of our initial public offering (“IPO”) in May 2011 and began our investment operations during the second quarter of 2011. See “Management’s Dicussion and Analysis of Financial Condition and Results of Operations” in Part II, Item 7 of this Form 10-K.</w:t>
      </w:r>
    </w:p>
    <w:p>
      <w:pPr>
        <w:spacing w:after="0" w:line="17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On and effective June 22, 2020, we changed our name to “SuRo Capital Corp.” from “Sutter Rock Capital Corp.” On and effective March 12, 2019, our board of directors (“Board of Directors”) approved internalizing our operating structure (“Internalization”) and we began operating as an internally-managed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w:t>
      </w:r>
    </w:p>
    <w:p>
      <w:pPr>
        <w:spacing w:after="0" w:line="187"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88"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seek to create a low-turnover portfolio that includes investments in companies representing a broad range of investment themes.</w:t>
      </w:r>
    </w:p>
    <w:p>
      <w:pPr>
        <w:spacing w:after="0" w:line="225"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“SSSS”. The net asset value per share of our common stock on December 31, 2022 was $7.39. On March 15, 2023, the last reported sale price of a share of our common stock on the Nasdaq Global Select Market was $3.01.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7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As a BDC, we are subject to certain regulatory requirements. See “—Regulation as a Business Development Company.” Also, while we are permitted to finance investments using debt, our ability to use debt is limited in certain significant aspects.</w:t>
      </w:r>
    </w:p>
    <w:p>
      <w:pPr>
        <w:spacing w:after="0" w:line="162"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In March 2018, the Small Business Credit Availability Act (the “SBCAA”) modified the 1940 Act by allowing a BDC to increase the maximum amount of leverage it may incur by decreasing the asset coverage percentage from 200% to 150%, if certain requirements under the 1940 Act are met.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In either case, we would be required to make certain disclosures on our website and in SEC filings regarding, among other things, the receipt of approval to increase our leverage, our leverage capacity and usage, and risks related to leverage. The Company currently does not intend to seek stockholder approval or Board of Directors approval to increase its leverage capacity as set forth above. See “Risk Factors” in Part I, Item 1A for more information.</w:t>
      </w:r>
    </w:p>
    <w:p>
      <w:pPr>
        <w:spacing w:after="0" w:line="18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expect to continue to operate in a manner so as to qualify for the tax treatment applicable to RICs. See “—Material U.S. Federal Income Tax Considerations” and “Note 2—Significant Accounting Policies—U.S. Federal and State Income Taxes” and “Note 9—Income Taxes” to our consolidated financial statements for the year ended December 31, 2022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ten employees, each of whom was directly employed by us. These employees include our executive officers, investment and finance professionals, and administrative staff. All of our employees are located in the United States at our principal executive office and headquarters located at 640 Fifth Avenue, 12th Floor, New York, NY 10019 and our additional office located at One Sansome Street, Suite 730, San Francisco, CA 94104. Our telephone number is (212) 931-6331.</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an internally managed BDC, the success of our business and investment strategy, including achieving our investment objective, depends in material part on our employees. We depend upon the members of our management team and our investment professionals for the identification, final selection, structuring, closing and monitoring of our investments. These employees have critical industry experience and relationships on which we rely to implement our business plan. We expect that the members of our management team and our investment professionals will maintain key informal relationships, which we will use to help identify and gain access to investment opportunities. If we do not attract, develop and retain highly skilled employees, we may not be able to operate our business as we expect and our operating results could be adversely affected. See “Item 1A. Risk Factors.”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strive to attract, develop and retain our employees by offering unique employment opportunities, advancement and promotion opportunities, training programs and opportunities, and competitive compensation and benefit structures, as well as a safe, harassment-free work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Opportunity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society is experiencing a convergence of numerous disruptive trends, producing new high-growth markets.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more costly and less attractive to become a public company. As a result, there are significantly fewer IPOs today than there were during the 1990s, with prospective public companies taking longer to come to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62"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and to a lesser extent, income from debt investments. We have adopted the following business strategies to achieve our investment objective:</w:t>
      </w:r>
    </w:p>
    <w:p>
      <w:pPr>
        <w:spacing w:after="0" w:line="158" w:lineRule="exact"/>
        <w:rPr>
          <w:sz w:val="20"/>
          <w:szCs w:val="20"/>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Identify high quality growth companies. </w:t>
      </w:r>
      <w:r>
        <w:rPr>
          <w:rFonts w:ascii="Times New Roman" w:cs="Times New Roman" w:eastAsia="Times New Roman" w:hAnsi="Times New Roman"/>
          <w:sz w:val="18"/>
          <w:szCs w:val="18"/>
          <w:color w:val="auto"/>
        </w:rPr>
        <w:t>Based on our extensive experience in analyzing technology trends and markets, we have identified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technology sub-sectors, including social mobile, big data and cloud, marketplaces, and education technology, as opportunities where we believe companies are capable of producing substantial growth. We rely on our collective industry knowledge as well as an understanding of where leading venture capitalists and other institutional investors are investing.</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leverage a combination of our relationships throughout Silicon Valley and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are targeting businesses that have been shown to provide scaled valuation growth before a potential IPO or strategic exit.</w:t>
      </w:r>
    </w:p>
    <w:p>
      <w:pPr>
        <w:spacing w:after="0" w:line="176" w:lineRule="exact"/>
        <w:rPr>
          <w:sz w:val="20"/>
          <w:szCs w:val="20"/>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Acquire positions in targeted investments. </w:t>
      </w:r>
      <w:r>
        <w:rPr>
          <w:rFonts w:ascii="Times New Roman" w:cs="Times New Roman" w:eastAsia="Times New Roman" w:hAnsi="Times New Roman"/>
          <w:sz w:val="18"/>
          <w:szCs w:val="18"/>
          <w:color w:val="auto"/>
        </w:rPr>
        <w:t>We seek to selectively add to our portfolio by sourcing investments at an acceptable price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disciplined investing strategy. To this end, we utilize multiple methods to acquire equity stakes in private companies that are not available to many individual investors.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Direct equity investments. </w:t>
      </w:r>
      <w:r>
        <w:rPr>
          <w:rFonts w:ascii="Times New Roman" w:cs="Times New Roman" w:eastAsia="Times New Roman" w:hAnsi="Times New Roman"/>
          <w:sz w:val="18"/>
          <w:szCs w:val="18"/>
          <w:color w:val="auto"/>
        </w:rPr>
        <w:t>We seek direct investments in private companies. There is a large market among emerging private companies for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Private secondary marketplaces and direct share purchases. </w:t>
      </w:r>
      <w:r>
        <w:rPr>
          <w:rFonts w:ascii="Times New Roman" w:cs="Times New Roman" w:eastAsia="Times New Roman" w:hAnsi="Times New Roman"/>
          <w:sz w:val="18"/>
          <w:szCs w:val="18"/>
          <w:color w:val="auto"/>
        </w:rPr>
        <w:t>We also utilize private secondary marketplaces as a means to acquire equity and equity-related interests in 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w:t>
      </w:r>
    </w:p>
    <w:p>
      <w:pPr>
        <w:spacing w:after="0" w:line="186" w:lineRule="exact"/>
        <w:rPr>
          <w:sz w:val="20"/>
          <w:szCs w:val="20"/>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Create access to a varied investment portfolio. </w:t>
      </w:r>
      <w:r>
        <w:rPr>
          <w:rFonts w:ascii="Times New Roman" w:cs="Times New Roman" w:eastAsia="Times New Roman" w:hAnsi="Times New Roman"/>
          <w:sz w:val="18"/>
          <w:szCs w:val="18"/>
          <w:color w:val="auto"/>
        </w:rPr>
        <w:t>We seek to hold a varied portfolio of non-controlling equity investments, which we believe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minimize the impact on 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that we benefit from the following competitive advantages in executing our investment strategy:</w:t>
      </w:r>
    </w:p>
    <w:p>
      <w:pPr>
        <w:spacing w:after="0" w:line="221" w:lineRule="exact"/>
        <w:rPr>
          <w:sz w:val="20"/>
          <w:szCs w:val="20"/>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Capable team of investment professionals. </w:t>
      </w:r>
      <w:r>
        <w:rPr>
          <w:rFonts w:ascii="Times New Roman" w:cs="Times New Roman" w:eastAsia="Times New Roman" w:hAnsi="Times New Roman"/>
          <w:sz w:val="18"/>
          <w:szCs w:val="18"/>
          <w:color w:val="auto"/>
        </w:rPr>
        <w:t>Our executive officers, investment professionals, and Board of Directors have significant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researching and investing in the types of high-growth venture-capital-backed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p>
      <w:pPr>
        <w:spacing w:after="0" w:line="17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Disciplined and repeatable investment process. </w:t>
      </w:r>
      <w:r>
        <w:rPr>
          <w:rFonts w:ascii="Times New Roman" w:cs="Times New Roman" w:eastAsia="Times New Roman" w:hAnsi="Times New Roman"/>
          <w:sz w:val="18"/>
          <w:szCs w:val="18"/>
          <w:color w:val="auto"/>
        </w:rPr>
        <w:t>We have established a disciplined and repeatable process to locate and acquire available shares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attractive valuations by utilizing multiple sources. In contrast to industry “aggregators” that accumulate stock at market prices, we conduct valuation analysis and make acquisitions only when we can invest at valuations that we believe are attractive to our investors.</w:t>
      </w:r>
    </w:p>
    <w:p>
      <w:pPr>
        <w:spacing w:after="0" w:line="17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Deep relationships with significant credibility to source and complete transactions. </w:t>
      </w:r>
      <w:r>
        <w:rPr>
          <w:rFonts w:ascii="Times New Roman" w:cs="Times New Roman" w:eastAsia="Times New Roman" w:hAnsi="Times New Roman"/>
          <w:sz w:val="18"/>
          <w:szCs w:val="18"/>
          <w:color w:val="auto"/>
        </w:rPr>
        <w:t>Our executive officers and investment professionals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strategically located in New York, New York and at our additional office in San Francisco, California, allowing us to fully engage in the technology and innovation ecosystem. Our wide network of venture capital and technology professionals supports our sourcing efforts and helps provide access to promising investment opportunities. Our executive officers and investment professionals have also developed strong relationships in the financial, investing and technology-related sectors.</w:t>
      </w:r>
    </w:p>
    <w:p>
      <w:pPr>
        <w:spacing w:after="0" w:line="179"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Source of permanent investing capital. </w:t>
      </w:r>
      <w:r>
        <w:rPr>
          <w:rFonts w:ascii="Times New Roman" w:cs="Times New Roman" w:eastAsia="Times New Roman" w:hAnsi="Times New Roman"/>
          <w:sz w:val="18"/>
          <w:szCs w:val="18"/>
          <w:color w:val="auto"/>
        </w:rPr>
        <w:t>As a publicly traded corporation, we have access to a source of permanent equity capital that we can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17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Early mover advantage. </w:t>
      </w:r>
      <w:r>
        <w:rPr>
          <w:rFonts w:ascii="Times New Roman" w:cs="Times New Roman" w:eastAsia="Times New Roman" w:hAnsi="Times New Roman"/>
          <w:sz w:val="18"/>
          <w:szCs w:val="18"/>
          <w:color w:val="auto"/>
        </w:rPr>
        <w:t>We believe we are one of the few publicly traded BDCs with a specific focus on investing in high-growth venture-backed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Factors—Risks Related to Our Business and Structure” in Part I, Item 1A of this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Concentrated Technology-Related Focus</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Our executive officers and investment professionals have identified five key investment themes from which we have seen significant numbers of high-growth companies emerge: social and mobile, financial technology and services, big data and cloud, marketplaces, and education.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our executive officers and investment professionals actively seek out promising investments across a diverse selection of new technology subsectors.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Targeting and Screening</w:t>
      </w:r>
    </w:p>
    <w:p>
      <w:pPr>
        <w:spacing w:after="0" w:line="22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We identify prospective portfolio companies through an extensive network of relationships developed by our executive officers and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the uniqueness and defensibility of the portfolio company’s strategy, investor sponsorship, and the portfolio company’s potential access to capital to continue to fund its growth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Due Diligence Process</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183"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Construction and Sourcing</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Execution</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Monitoring</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We will provide such managerial assistance on our behalf to portfolio companies that request assistance. We may receive fees for these services, subject to review by our Board of Directors, including our independent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Overview</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fair value of our portfolio of investments by asset class as of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Pr>
          <w:p>
            <w:pPr>
              <w:spacing w:after="0"/>
              <w:rPr>
                <w:sz w:val="21"/>
                <w:szCs w:val="21"/>
                <w:color w:val="auto"/>
              </w:rPr>
            </w:pPr>
          </w:p>
        </w:tc>
        <w:tc>
          <w:tcPr>
            <w:tcW w:w="310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4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6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44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8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44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60" w:type="dxa"/>
            <w:vAlign w:val="bottom"/>
          </w:tcPr>
          <w:p>
            <w:pPr>
              <w:spacing w:after="0"/>
              <w:rPr>
                <w:sz w:val="16"/>
                <w:szCs w:val="16"/>
                <w:color w:val="auto"/>
              </w:rPr>
            </w:pPr>
          </w:p>
        </w:tc>
      </w:tr>
      <w:tr>
        <w:trPr>
          <w:trHeight w:val="245"/>
        </w:trPr>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280" w:type="dxa"/>
            <w:vAlign w:val="bottom"/>
          </w:tcPr>
          <w:p>
            <w:pPr>
              <w:spacing w:after="0"/>
              <w:rPr>
                <w:sz w:val="21"/>
                <w:szCs w:val="21"/>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Portfolio</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117,214,465</w:t>
            </w: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163,801,798</w:t>
            </w:r>
          </w:p>
        </w:tc>
        <w:tc>
          <w:tcPr>
            <w:tcW w:w="3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18,692,931</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42,860,156</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4,488,200</w:t>
            </w: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3,011,438</w:t>
            </w:r>
          </w:p>
        </w:tc>
        <w:tc>
          <w:tcPr>
            <w:tcW w:w="3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3,469,497</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4,959,112</w:t>
            </w:r>
          </w:p>
        </w:tc>
        <w:tc>
          <w:tcPr>
            <w:tcW w:w="3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143,865,093</w:t>
            </w:r>
          </w:p>
        </w:tc>
        <w:tc>
          <w:tcPr>
            <w:tcW w:w="3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w:t>
            </w:r>
          </w:p>
        </w:tc>
        <w:tc>
          <w:tcPr>
            <w:tcW w:w="380" w:type="dxa"/>
            <w:vAlign w:val="bottom"/>
            <w:tcBorders>
              <w:top w:val="single" w:sz="8" w:color="CCEEFF"/>
              <w:bottom w:val="single" w:sz="8" w:color="CCEEFF"/>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214,632,504</w:t>
            </w:r>
          </w:p>
        </w:tc>
        <w:tc>
          <w:tcPr>
            <w:tcW w:w="34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82.5</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13,323,485</w:t>
            </w: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44,573,225</w:t>
            </w:r>
          </w:p>
        </w:tc>
        <w:tc>
          <w:tcPr>
            <w:tcW w:w="3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930,524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13,323,485</w:t>
            </w:r>
          </w:p>
        </w:tc>
        <w:tc>
          <w:tcPr>
            <w:tcW w:w="3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380" w:type="dxa"/>
            <w:vAlign w:val="bottom"/>
            <w:tcBorders>
              <w:top w:val="single" w:sz="8" w:color="CCEEFF"/>
              <w:bottom w:val="single" w:sz="8" w:color="CCEEFF"/>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45,503,749</w:t>
            </w:r>
          </w:p>
        </w:tc>
        <w:tc>
          <w:tcPr>
            <w:tcW w:w="34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36"/>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157,188,578</w:t>
            </w: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260,136,253</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42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85,056,817</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242,245,395</w:t>
            </w: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260,136,253</w:t>
            </w:r>
          </w:p>
        </w:tc>
        <w:tc>
          <w:tcPr>
            <w:tcW w:w="34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4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determine the net asset value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176"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and in accordance with Rule 2a-5 as promulgated under the 1940 Act. In connection with that determination, our executive officers and investment professionals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92"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our executive officers and investment professionals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generally determine the fair value of our investments by considering a number of factors. The following represent factors that, among others, could impact our fair value determinations: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trading of our portfolio securities, taking into consideration lock-up requirements and liquidity;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trading of our portfolio securities on a private secondary market, where we have determined that there is meaningful volume and the transactions are considered arm’s length by sophisticated investors;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funding rounds in the companies in which we invested, where there is meaningful and reputable information available on size, valuation and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by us in current portfolio companies, where the price of the new investment differs materially from prior investments.</w:t>
      </w:r>
    </w:p>
    <w:p>
      <w:pPr>
        <w:spacing w:after="0" w:line="225"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net asset value, we also consider our recognition of a deferred tax liability for unrealized gains on investments for those investments held in our taxable subsidiaries. See “Note 1—Nature of Operations” to our consolidated financial statements for the year ended December 31, 2022 for a list of our taxable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180"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83"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3"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SBCAA modified the asset coverage percentage for BDCs, reducing the required coverage percentage for senior securities from 200% to 150%, subject to certain conditions. Under the SBCAA,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SBCAA allows the majority of our independent directors to approve an increase in our leverage capacity, and such approval would become effective on the one-year anniversary of such approval. In either case, we would be required to make certain disclosures on our website and in SEC filings regarding, among other things, the receipt of approval to increase our leverage, our leverage capacity and usage, and risks related to leverage.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SBCAA, the SEC issued rules or amendments to rules allowing BDCs to use the same securities offering and proxy rules that are available to operating companies, including, among other things, allowing BDCs to incorporate by reference in registration statements filed with the SEC and allowing certain BDCs to file shelf registration statements that are automatically effective and take advantage of other benefits available to Well-Known Seasoned Issuers.</w:t>
      </w:r>
    </w:p>
    <w:p>
      <w:pPr>
        <w:spacing w:after="0" w:line="180"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 —Risks Related to Our Business and Structure” in Part I, Item 1A of this Form 10-K for more information.</w:t>
      </w:r>
    </w:p>
    <w:p>
      <w:pPr>
        <w:spacing w:after="0" w:line="18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“Risk Factors—Risks Related to Our Business and Structure—Regulations governing our operation as a business development company affect our ability to, and the way in which we, raise additional capital, which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BDC, we are also prohibited under the 1940 Act from knowingly participating in certain transactions with our affiliates without the prior approval of our Board of Directors who are not interested persons and, in some cases, prior approval by the SEC. The affiliates with which we may be prohibited from transacting include our directors, officers and employees and any person controlling or under common control with us, subject to certain exceptions. For example, under the 1940 Act, absent receipt of exemptive relief from the SEC, we and certain of our affiliates are generally precluded from co-investing in negotiated private placements of securities.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As a BDC, we are subject to certain risks and uncertainties. See “Risk Factors—Risks Related to Our Business and Structure” in Part I, Item 1A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Qualifying Assets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76"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that is traded on a national securities exchange;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$250.0 million;</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and the BDC has an affiliated person who is a director of the eligible portfolio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gross assets of not more than $4.0 million and capital and surplus of not less than $2.0 million;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such other criteria as may be established by the SEC.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which we control.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options, warrants or rights relating to such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then-current gross assets were comprised of qualifying assets. We would not be required, however, to dispose of any non-qualifying assets in such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Managerial Assistance to Portfolio Companies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Temporary Investments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We will monitor the creditworthiness of the counterparties with which we enter into repurchase agreement transactions.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Options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This amount is reduced to 20% of the BDC’s total outstanding shares of capital stock if the amount of warrants, options or rights issued pursuant to an executive compensation plan would exceed 15% of the BDC’s total outstanding shares of capital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stock senior to our common stock if our asset coverage, as defined in the 1940 Act, is at least equal to 200% (or 150% if certain requirements are met)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Borrowings, such as our 6.00% Notes due 2026 (the “6.00% Notes due 2026”), can magnify the potential for gain or loss on amounts invested and may increase the risk of investing in us.” in Part I, Item 1A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ethics pursuant to Rule 17j-1 under the 1940 Act. This code establishes procedures for personal investments and restricts certain transactions by our personnel. Our code of ethics and our code of business conduct and ethics are available on the EDGAR Database on the SEC’s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and are available on our website. You may also obtain copies of our code of ethics and our code of business conduct and ethics, after paying a duplicating fee, by electronic request at the following email address: publicinfo@sec.gov.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Policies and Procedures</w:t>
      </w:r>
    </w:p>
    <w:p>
      <w:pPr>
        <w:spacing w:after="0" w:line="229"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We have adopted and implemented written policies and procedures reasonably designed to detect and prevent violation of the federal securities laws and review these compliance policies and procedures annually for their adequacy and the effectiveness of their implementation. Our Chief Compliance Officer is responsible for administering these policies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Corporate Governance Regulations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Sarbanes-Oxley Act imposes a wide variety of regulatory requirements on publicly held companies and their insiders. Many of these requirements affect us. For example:</w:t>
      </w:r>
    </w:p>
    <w:p>
      <w:pPr>
        <w:spacing w:after="0" w:line="162"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must certify the accuracy of the financial statements contained in our periodic reports;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must disclose our conclusions about the effectiveness of our disclosure controls and procedures;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our management must prepare an annual report regarding its assessment of our internal control over financial reporting, and we must obtain an audit of the effectiveness of internal control over financial reporting performed by our independent registered public accounting firm if we are no longer a non-accelerated filer (as defined in Rule 12b-2 under the Exchange Act);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Nasdaq Global Select Market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Policies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will vote proxies relating to our portfolio securities in what we perceive to be the best interests of our stockholders. We will review on a case-by-case basis each proposal submitted for a vote to determine its impact on the portfolio securities held by us. Although we will generally vote against proposals that may have a negative impact on our portfolio securities, we may vote for such a proposal if there are compelling long-term reasons to do so.</w:t>
      </w:r>
    </w:p>
    <w:p>
      <w:pPr>
        <w:spacing w:after="0" w:line="17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Our proxy voting decisions are made by our executive officers and investment professionals who are responsible for monitoring the relevant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our senior management in order to reduce any attempted influence from interested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Records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You may obtain information about how we voted proxies with respect to our portfolio securities by making a written request for proxy voting information to: Chief Compliance Officer, SuRo Capital Corp., 640 Fifth Avenue, 12th Floor, New York, NY 10019 or compliance@surocap.com.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76"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We restrict access to non-public personal information about our stockholders to our employees and affiliates with a legitimate business need for the information. We maintain physical, electronic and procedural safeguards designed to protect the non-public personal information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The address of that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www.surocap.com.</w:t>
      </w:r>
      <w:r>
        <w:rPr>
          <w:rFonts w:ascii="Times New Roman" w:cs="Times New Roman" w:eastAsia="Times New Roman" w:hAnsi="Times New Roman"/>
          <w:sz w:val="18"/>
          <w:szCs w:val="18"/>
          <w:color w:val="auto"/>
        </w:rPr>
        <w:t xml:space="preserve"> We make available free of charge on our website our annual report on Form 10-K, quarterly reports on Form 10-Q, current reports on Form 8-K, proxy statements and amendments to those reports as soon as reasonably practicable after we electronically file such material with, or furnish it to, the SEC. The information on our website is not incorporated by reference into and should not be considered to be part of this annual report on Form 10-K.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Included in our consolidated financial statements are GSV Capital Lending, LLC, SuRo Capital Sports, LLC, and the following wholly-owned subsidiaries, which are taxable subsidiaries (collectively, the “Taxable Subsidiaries”) regardless of whether we qualify for tax treatment as a RIC: GSVC AE Holdings, Inc., GSVC AV Holdings, Inc., GSVC SW Holdings, Inc., and GSVC SVDS Holdings, Inc. The Taxable Subsidiaries are C corporations for U.S. federal and state income tax purposes.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87"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New York.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Taxed as a RIC</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We elected to be taxed as a RIC under the Code beginning with our taxable year ended December 31, 2014, and qualified for taxation as a RIC for such taxable year and each of the subsequent taxable years. We intend to operate in a manner so as to qualify for taxation as a RIC. So long as we maintain our qualification for taxation a RIC, we generally will not be required to pay U.S. federal income tax at corporate rates on any ordinary income or capital gains that we timely distribute to our stockholders as dividends. To qualify for taxation as a RIC, we must, among other things, meet certain source-of-income and asset diversification requirements (as described below). In addition, in order to qualify for the special treatment accorded to RICs, we are required to distribute to our stockholders on a timely basis each year at least 90% of our “investment company taxable income,” which is generally our net ordinary income plus the excess of realized net short-term capital gains over realized net long-term capital losses (the “Annual Distribution Requirement”).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as a Regulated Investment Company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we:</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RIC;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Annual Distribution Requirement,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we will not be subject to U.S. federal income tax on the portion of our income and capital gains that we timely distribute (or are deemed to distribute) to stockholders. We will be subject to U.S. federal income tax at the regular corporate rates on any income, including capital gains not distributed (or deemed distributed) to our stockholders.</w:t>
      </w:r>
    </w:p>
    <w:p>
      <w:pPr>
        <w:spacing w:after="0" w:line="176"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We will be subject to a 4% nondeductible U.S. federal excise tax on certain undistributed income unless we distribute in a timely manner each calendar year an amount equal to at least the sum of (1) 98% of our net ordinary income for each calendar year, (2) 98.2% of our capital gains in excess of capital losses for the one-year period ending October 31 in that calendar year and (3) any ordinary income and net capital gains that we recognized for preceding years but were not distributed during such years and on which we paid no U.S. federal income tax (the “Excise Tax Avoidance Requirement”). While we intend to timely distribute our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order to qualify as a RIC for U.S. federal income tax purposes, we must, among other things: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qualify as a BDC under the 1940 Act at all times during each taxable year;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loans of certain securities, gains from the sale of stock or other securities or foreign currencies, other income derived with respect to our business of investing in such stock or securities and net income from “qualified publicly traded partnerships” (the “90% Income Test”);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of one issuer, other than U.S. government securities or securities of other RICs, the securities (other than securities of other RICs) of two or more issuers that are controlled, as determined under applicable Code rules, by us and that are engaged in the same or similar or related trades or the securities of businesses, or of certain “qualified publicly traded partnerships” (the “25% Diversification Test,” and together with the 50% Diversification Test, the “Diversification Tests”).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Business Development Company—Senior Securities.” Moreover, our ability to dispose of assets to meet our distribution requirements may be limited by</w:t>
      </w:r>
    </w:p>
    <w:p>
      <w:pPr>
        <w:spacing w:after="0" w:line="1" w:lineRule="exact"/>
        <w:rPr>
          <w:sz w:val="20"/>
          <w:szCs w:val="20"/>
          <w:color w:val="auto"/>
        </w:rPr>
      </w:pPr>
    </w:p>
    <w:p>
      <w:pPr>
        <w:jc w:val="both"/>
        <w:ind w:firstLine="8"/>
        <w:spacing w:after="0" w:line="255" w:lineRule="auto"/>
        <w:tabs>
          <w:tab w:leader="none" w:pos="2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be required to sell assets in order to satisfy the Diversification Tests. However, our ability to dispose of assets to meet the Diversification Tests may be limited by the illiquid nature of our portfolio. If we dispose of assets in order to meet the Diversification Tests, we may make such dispositions at times that, from an investment standpoint, are not advantageous and may result in substantial losses.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invest in partnerships, including qualified publicly traded partnerships, which may result in our being subject to state, local or foreign income taxes, franchise taxes, or withholding liabilities. To the extent that we invest in entities treated as partnerships for U.S. federal income tax purposes (other than a “qualified publicly-traded partnership”), we generally must include the items of gross income derived by the partnerships for purposes of the 90% Income Test, and the income that is derived from a partnership (other than a “qualified publicly-traded partnership”) will be treated as qualifying income for purposes of the 90% Income Test only to the extent that such income is attributable to items of income of the partnership which would be qualifying income if realized by us directly.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meet the 90% Income Test, we may establish one or more special purpose corporations to hold assets from which we do not anticipate earning dividend, interest or other qualifying income under the 90% Income Test. Any investments held through a special purpose corporation would generally be subject to U.S. federal income and other taxes, and therefore we can expect to achieve a reduced after-tax yield on such investments.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portfolio company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adjusted tax basis in the stock purchased under the warrant will equal the sum of the amount paid for the warrant plus the strike price paid on the exercise of the warrant.</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or net capital gains for several years that we are required to distribute and that is taxable to our stockholders even if such income or net capital gains is greater than the aggregate net income we actually earned during those years. Such required distributions may be made from the Company’s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investment in non-U.S. securities may be subject to non-U.S. income, withholding and other taxes. In that case, our yield on those securities would be decreased. Stockholders will generally not be entitled to claim a credit or deduction with respect to non-U.S. taxes paid by us.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purchase shares in a “passive foreign investment company”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its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stock during that year, and such income will nevertheless be subject to the Annual Distribution Requirement and will be taken into account for purposes of the 4% U.S. federal excise tax.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our Qualification as a RIC</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U.S. federal income taxes at corporate rates or to dispose of certain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8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180"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See “Risk Factors—Risks Related to Our Business and Structure” in Part I, Item 1A of this Form 10-K and “Note 2—Significant Accounting Policies —</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consolidated financial statements for the year ended December 31, 2022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you should carefully consider before investing in our securities and is followed by a more detailed discussion of the material risks related to us and an investment in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investments, including but not limited to the following:</w:t>
      </w:r>
    </w:p>
    <w:p>
      <w:pPr>
        <w:spacing w:after="0" w:line="229"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the rapidly growing venture-capital-backed emerging companies that we target may be extremely risky and we could lose all or part of our investments.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make an investment in a sponsor of a SPAC and the underlying SPAC does not consummate a business combination, we will lose the entirety of our investment.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investments are generally not in publicly traded securities, there will be uncertainty regarding the value of our investments, which could adversely affect the determination of our net asset value.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and potentially extended holding period of, our many investments may adversely affect our business and will delay any distributions of gains, if 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business and structure, including but not limited to the following:</w:t>
      </w:r>
    </w:p>
    <w:p>
      <w:pPr>
        <w:spacing w:after="0" w:line="229"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internally managed BDC, we are subject to certain restrictions that may adversely affect our business and are dependent upon our management team and investment professionals for our future success.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depends upon the development and maintenance of strong referral relationships with private equity, venture capital funds and investment banking firms.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will depend on our ability to achieve our investment objective.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 or cause us to alter our business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may adversely affect our business, results of operations and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 and inflation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direct equity investment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borrowed funds to make investments exposes us to risks typically associated with leverage.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internal controls could impact our business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cyber-security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 include but are not limited to the following:</w:t>
      </w:r>
    </w:p>
    <w:p>
      <w:pPr>
        <w:spacing w:after="0" w:line="2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an above average degree of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price may be volatile and may decrease substantially.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pay distributions to our stockholders and our distributions may not grow over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experience dilution upon the issuance of additional shares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default under any future credit facility or any other future indebtedness, we may not be able to make payments on the 6.00% Notes due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redeem the 6.00% Notes due 2026 when prevailing interest rates are relatively low.</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U.S. federal income tax at corporate rates if we are profitable and are unable to qualify as a RIC, which could have a material adverse effect on us and our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the rapidly growing venture-capital-backed emerging companies that we target may be extremely risky and we could lose all or part of our investments.</w:t>
      </w:r>
    </w:p>
    <w:p>
      <w:pPr>
        <w:spacing w:after="0" w:line="159" w:lineRule="exact"/>
        <w:rPr>
          <w:sz w:val="20"/>
          <w:szCs w:val="20"/>
          <w:color w:val="auto"/>
        </w:rPr>
      </w:pPr>
    </w:p>
    <w:p>
      <w:pPr>
        <w:ind w:right="20" w:firstLine="364"/>
        <w:spacing w:after="0" w:line="282" w:lineRule="auto"/>
        <w:rPr>
          <w:sz w:val="20"/>
          <w:szCs w:val="20"/>
          <w:color w:val="auto"/>
        </w:rPr>
      </w:pPr>
      <w:r>
        <w:rPr>
          <w:rFonts w:ascii="Times New Roman" w:cs="Times New Roman" w:eastAsia="Times New Roman" w:hAnsi="Times New Roman"/>
          <w:sz w:val="18"/>
          <w:szCs w:val="18"/>
          <w:color w:val="auto"/>
        </w:rPr>
        <w:t>Investment in the rapidly growing venture-capital-backed emerging companies that we target involves a number of significant risks, including the following: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these private companies may currently experience operating losses, which may be substantial, and there can be no assurance when or if such companies will operate at a profit;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they are privately owned, there is generally little publicly available information about these businesses; therefore, although we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private companies frequently have much more complex capital structures than traditional publicly traded companies, and may have multiple classes of equity securities with differing rights, including with respect to voting and distributions. In certain cases, these private companies may also have senior or pari passu preferred stock or senior debt outstanding, which may heighten the risk of investing in the underlying equity of such private companies, particularly in circumstance when we have limited information with respect to such capital structures;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18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investments are generally not in publicly traded securities, there will be uncertainty regarding the value of our investments, which could adversely affect the determination of our net asset value.</w:t>
      </w:r>
    </w:p>
    <w:p>
      <w:pPr>
        <w:spacing w:after="0" w:line="159" w:lineRule="exact"/>
        <w:rPr>
          <w:sz w:val="20"/>
          <w:szCs w:val="20"/>
          <w:color w:val="auto"/>
        </w:rPr>
      </w:pPr>
    </w:p>
    <w:p>
      <w:pPr>
        <w:jc w:val="both"/>
        <w:ind w:firstLine="364"/>
        <w:spacing w:after="0" w:line="252" w:lineRule="auto"/>
        <w:rPr>
          <w:sz w:val="20"/>
          <w:szCs w:val="20"/>
          <w:color w:val="auto"/>
        </w:rPr>
      </w:pPr>
      <w:r>
        <w:rPr>
          <w:rFonts w:ascii="Times New Roman" w:cs="Times New Roman" w:eastAsia="Times New Roman" w:hAnsi="Times New Roman"/>
          <w:sz w:val="18"/>
          <w:szCs w:val="18"/>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Valuation Committee in accordance with our written valuation policy and in compliance with Rule 2a-5. In connection with that determination, our executive officers and investment professionals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Valuation Committee takes into account in providing its fair value recommendation to the Board of Directors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securities based on an overstated net asset value would pay a higher price than the value of our investments might warrant. Conversely, investors selling securities during a period in which the net asset value understates the value of our investments would receive a lower price for their securities than the value of our investments might warrant.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175"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IPO market is, by its very nature, unpredictable. A lack of IPO opportunities for venture capital-backed companies could lead to companies staying longer in our portfolio as private entities still requiring funding. This situation may adversely affect the amount of available venture capital funding to late-stage companies that cannot complete an IPO. Such stagnation could dampen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of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192"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 rights to participate in the sale, thereby reducing the number of shares available to sell by us. Furthermore, prospective buyers may be deterred from entering into purchase transactions with us due to the delay and uncertainty that these transfer and other limitations create.</w:t>
      </w:r>
    </w:p>
    <w:p>
      <w:pPr>
        <w:spacing w:after="0" w:line="192"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180"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value, the fair value of our investments determined in good faith by our Board of Directors may differ significantly from the value that would have been used had a ready market existed for such investments, and the differences could be material.</w:t>
      </w:r>
    </w:p>
    <w:p>
      <w:pPr>
        <w:spacing w:after="0" w:line="18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In addition, even if a portfolio company completes an IPO, we will typically not be able to sell our position until any applicable post-IPO lockup restriction expires. As a result of lockup restrictions, the market price of securities that we hold may decline substantially before we are able to sell them following an IPO. There is also no assurance that a meaningful trading market will develop for our publicly traded portfolio companies following an IPO to allow us to liquidate our position when we desire.</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invest principally in the equity and equity-related securities of what we believe to be rapidly growing venture-capital-backed emerging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equity interests we acquire may not appreciate in value and, in fact, may decline in value.</w:t>
      </w:r>
    </w:p>
    <w:p>
      <w:pPr>
        <w:spacing w:after="0" w:line="207"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portfolio companies are currently experiencing operating losses, which may be substantial, and there can be no assurance when or if such companies will operate at a profit.</w:t>
      </w:r>
    </w:p>
    <w:p>
      <w:pPr>
        <w:spacing w:after="0" w:line="15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have limited information about the financial performance and profitability of some of our portfolio companies. While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liquidity in, and potentially extended holding period of, our many investments may adversely affect our business and will delay any distributions of gains, if any.</w:t>
      </w:r>
    </w:p>
    <w:p>
      <w:pPr>
        <w:spacing w:after="0" w:line="15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have no limitation on the portion of our portfolio that may be invested in illiquid securities, and a substantial portion or all of our portfolio may be invested in such illiquid securities from time to time.</w:t>
      </w:r>
    </w:p>
    <w:p>
      <w:pPr>
        <w:spacing w:after="0" w:line="19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5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2022, 58.4% of our net asset value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exposed in part to one or more specific industries, which may subject us to a risk of significant loss in a particular investment or investments if there is a downturn in that particular industry. In particular, 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Our portfolio may be exposed in part to one or more specific industries. A downturn in any particular industry in which we are invested could significantly impact the aggregate returns we realize. If an industry in which we have significant investments suffers from adverse business or economic conditions, a material portion of our investment portfolio could be adversely affected, which, in turn, could adversely affect our financial position and results of operations.</w:t>
      </w:r>
    </w:p>
    <w:p>
      <w:pPr>
        <w:spacing w:after="0" w:line="180"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Given the experience of our executive officers and investment professionals within the technology space, a number of the companies in which we have invested and intend to invest operate in technology-related sectors, and as of December 31, 2022, our largest industry concentrations of our total investments at fair value were in the education technology sector, which represented approximately 39.4% of our portfolio, and the financial technology sector, which represented approximately 24.2% of our portfolio. Additionally, our investments in the marketplaces sector represented approximately 17.4% of our portfolio. Therefore, we are susceptible to the economic circumstances and market conditions in these industries, and a downturn in one or more of these industries could have a material adverse effect.</w:t>
      </w:r>
    </w:p>
    <w:p>
      <w:pPr>
        <w:spacing w:after="0" w:line="214"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Our investment in the education technology industry is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 In addition, our portfolio companies in these sectors face intense competition since their businesses are rapidly evolving, intensely competitive and subject to changing technology, shifting user needs and frequent introductions of new products and services. For example, new technologies, including those based on artificial intelligence, can provide students with more immediate responses to inquiries that traditional tools, and over time, the accuracy of these tools and their ability to handle complex questions may improve, all of which may be disruptive to education technology businesses.</w:t>
      </w:r>
    </w:p>
    <w:p>
      <w:pPr>
        <w:spacing w:after="0" w:line="216"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Potential competitors to our portfolio companies in the education technology industry range from large and established companies to emerging start-ups. Further, such companies may be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Education technology has been a subject of particular scrutiny; for example, in 2019, certain members of the United States Senate circulated letters to education technology companies regarding their concerns about the amount of data being collected on students utilizing such technologies and the potential safety and security risks to children related to such data collection. Evolving regulatory landscapes and our portfolio companies’ mandated compliance with new laws and regulations could add new challenges to their operations and negatively affect such companies’ results of operations and, in turn, our business.</w:t>
      </w:r>
    </w:p>
    <w:p>
      <w:pPr>
        <w:spacing w:after="0" w:line="217"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Similarly, our investments in the financial technology industry are subject to substantial risks. These companies may be unseasoned, unprofitable or have no established operating histories or earnings and may lack technical, marketing, financial and other resources. These companies often have the need for substantial additional capital to support expansion or to achieve or maintain a competitive position. Less established companies tend to have lower capitalization and fewer resources and, therefore, are often more vulnerable to financial failure. These companies may be dependent upon the success of one product or service, a unique distribution channel, or the effectiveness of a manager or management team. The failure of this one product, service or distribution channel, or the loss or ineffectiveness of a key executive or executives within the management team may have a materially adverse impact on such companies. Such companies may face intense competition, including competition from companies with greater financial resources, more extensive development, manufacturing, marketing and service capabilities and a larger number of qualified managerial and technical personnel. Further, these companies operate in the highly regulated finance sector, and evolving regulatory regimes specific to financial technology companies and unclear application of existing laws and regulations to financial technology company products or services may provide new challenges to such companies’ operations and negatively impact their results of operations and, in turn, our business.</w:t>
      </w:r>
    </w:p>
    <w:p>
      <w:pPr>
        <w:spacing w:after="0" w:line="21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Finally, our investments in the marketplaces sector are subject to substantial risks. These investments include portfolio companies in sub-industry sectors such as pharmaceutical technology, micromobility and real estate platforms, all of which are subject to increasing regulatory scrutiny as technological advancements have permitted greater connectivity and remote consumer engagement. Shifting market trends, intense competition and changing regulations specific to any such sub-industry could have a significant impact on our portfolio companies’ operations and, in turn, our business, performance and results of operations.</w:t>
      </w:r>
    </w:p>
    <w:p>
      <w:pPr>
        <w:spacing w:after="0" w:line="210"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Common to all of the education technology, financial technology and marketplace sectors are risks related to cybersecurity. Any of the portfolio companies in these sectors could be required to make a significant investment to remedy the effects of any cybersecurity incident, harm to their reputations, legal claims that they and their respective affiliates may be subjected to, regulatory action or enforcement arising out of applicable privacy and other laws, adverse publicity, and other events that may affect their business and financial performance. The increased use of mobile and cloud technologies can heighten these and other operational risks.</w:t>
      </w:r>
    </w:p>
    <w:p>
      <w:pPr>
        <w:spacing w:after="0" w:line="210"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Any of these factors could materially and adversely affect the business and operations of a portfolio company in the technology industry and, in turn, adversely affect the value of these portfolio companies and the value of any securities that we may hold.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could be negatively affected if a significant portfolio company fails to perform as expected.</w:t>
      </w:r>
    </w:p>
    <w:p>
      <w:pPr>
        <w:spacing w:after="0" w:line="25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2022:</w:t>
      </w:r>
    </w:p>
    <w:p>
      <w:pPr>
        <w:spacing w:after="0" w:line="176" w:lineRule="exact"/>
        <w:rPr>
          <w:sz w:val="20"/>
          <w:szCs w:val="20"/>
          <w:color w:val="auto"/>
        </w:rPr>
      </w:pPr>
    </w:p>
    <w:p>
      <w:pPr>
        <w:spacing w:after="0"/>
        <w:tabs>
          <w:tab w:leader="none" w:pos="6060" w:val="left"/>
          <w:tab w:leader="none" w:pos="8060" w:val="left"/>
          <w:tab w:leader="none" w:pos="9880" w:val="left"/>
        </w:tabs>
        <w:rPr>
          <w:sz w:val="20"/>
          <w:szCs w:val="20"/>
          <w:color w:val="auto"/>
        </w:rPr>
      </w:pPr>
      <w:r>
        <w:rPr>
          <w:rFonts w:ascii="Times New Roman" w:cs="Times New Roman" w:eastAsia="Times New Roman" w:hAnsi="Times New Roman"/>
          <w:sz w:val="18"/>
          <w:szCs w:val="18"/>
          <w:b w:val="1"/>
          <w:bCs w:val="1"/>
          <w:color w:val="auto"/>
        </w:rPr>
        <w:t>Portfolio Company</w:t>
      </w:r>
      <w:r>
        <w:rPr>
          <w:sz w:val="20"/>
          <w:szCs w:val="20"/>
          <w:color w:val="auto"/>
        </w:rPr>
        <w:tab/>
      </w:r>
      <w:r>
        <w:rPr>
          <w:rFonts w:ascii="Times New Roman" w:cs="Times New Roman" w:eastAsia="Times New Roman" w:hAnsi="Times New Roman"/>
          <w:sz w:val="18"/>
          <w:szCs w:val="18"/>
          <w:b w:val="1"/>
          <w:bCs w:val="1"/>
          <w:color w:val="auto"/>
        </w:rPr>
        <w:t>Cost</w:t>
      </w:r>
      <w:r>
        <w:rPr>
          <w:sz w:val="20"/>
          <w:szCs w:val="20"/>
          <w:color w:val="auto"/>
        </w:rPr>
        <w:tab/>
      </w:r>
      <w:r>
        <w:rPr>
          <w:rFonts w:ascii="Times New Roman" w:cs="Times New Roman" w:eastAsia="Times New Roman" w:hAnsi="Times New Roman"/>
          <w:sz w:val="18"/>
          <w:szCs w:val="18"/>
          <w:b w:val="1"/>
          <w:bCs w:val="1"/>
          <w:color w:val="auto"/>
        </w:rPr>
        <w:t>Fair</w:t>
      </w:r>
      <w:r>
        <w:rPr>
          <w:sz w:val="20"/>
          <w:szCs w:val="20"/>
          <w:color w:val="auto"/>
        </w:rPr>
        <w:tab/>
      </w:r>
      <w:r>
        <w:rPr>
          <w:rFonts w:ascii="Times New Roman" w:cs="Times New Roman" w:eastAsia="Times New Roman" w:hAnsi="Times New Roman"/>
          <w:sz w:val="17"/>
          <w:szCs w:val="17"/>
          <w:b w:val="1"/>
          <w:bCs w:val="1"/>
          <w:color w:val="auto"/>
        </w:rPr>
        <w:t>% of Net</w:t>
      </w:r>
    </w:p>
    <w:p>
      <w:pPr>
        <w:sectPr>
          <w:pgSz w:w="11900" w:h="16838" w:orient="portrait"/>
          <w:cols w:equalWidth="0" w:num="1">
            <w:col w:w="11240"/>
          </w:cols>
          <w:pgMar w:left="320" w:top="229" w:right="3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Asset</w:t>
            </w:r>
          </w:p>
        </w:tc>
      </w:tr>
      <w:tr>
        <w:trPr>
          <w:trHeight w:val="245"/>
        </w:trPr>
        <w:tc>
          <w:tcPr>
            <w:tcW w:w="51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Borders>
              <w:bottom w:val="single" w:sz="8" w:color="CCEEFF"/>
            </w:tcBorders>
          </w:tcPr>
          <w:p>
            <w:pPr>
              <w:spacing w:after="0"/>
              <w:rPr>
                <w:sz w:val="21"/>
                <w:szCs w:val="2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Learneo, Inc. (f/k/a Course Hero, Inc.)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14,999,972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50,541,374</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12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15,004,340</w:t>
            </w:r>
          </w:p>
        </w:tc>
        <w:tc>
          <w:tcPr>
            <w:tcW w:w="3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10,949,898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10,505,697</w:t>
            </w: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10,499,996</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Locus Robotics Corp.</w:t>
            </w:r>
          </w:p>
        </w:tc>
        <w:tc>
          <w:tcPr>
            <w:tcW w:w="12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10,004,286</w:t>
            </w:r>
          </w:p>
        </w:tc>
        <w:tc>
          <w:tcPr>
            <w:tcW w:w="3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Architect Capital PayJoy SPV, LLC</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10,006,745</w:t>
            </w: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12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6,387,741</w:t>
            </w:r>
          </w:p>
        </w:tc>
        <w:tc>
          <w:tcPr>
            <w:tcW w:w="3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9,950,835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Aspiration Partners, Inc.</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1,283,005</w:t>
            </w:r>
          </w:p>
        </w:tc>
        <w:tc>
          <w:tcPr>
            <w:tcW w:w="3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6,541,511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Whoop, Inc.</w:t>
            </w:r>
          </w:p>
        </w:tc>
        <w:tc>
          <w:tcPr>
            <w:tcW w:w="12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10,011,460</w:t>
            </w:r>
          </w:p>
        </w:tc>
        <w:tc>
          <w:tcPr>
            <w:tcW w:w="3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6,084,041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3,443,483</w:t>
            </w: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4,338,968</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Nextdoor Holdings, Inc.</w:t>
            </w:r>
          </w:p>
        </w:tc>
        <w:tc>
          <w:tcPr>
            <w:tcW w:w="12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10,002,666</w:t>
            </w:r>
          </w:p>
        </w:tc>
        <w:tc>
          <w:tcPr>
            <w:tcW w:w="3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3,712,977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91,649,395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122,619,605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w w:val="99"/>
              </w:rPr>
              <w:t>21</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make follow-on investments, and our failure to make follow-on investments in our portfolio companies could impair the value of our portfolio.</w:t>
      </w:r>
    </w:p>
    <w:p>
      <w:pPr>
        <w:spacing w:after="0" w:line="15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76"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qualify to maintain our status as a RIC, or we lack access to the desired follow-on investment opportunity.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be unable to complete follow-on investments in our portfolio companies that have conducted an IPO as a result of regulatory or financial restrictions. This or any of the preceding rationales for failing to undertake a follow-on investment could impact our portfolio companies’ performance and, thus, its value.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75"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make an investment in a sponsor of a SPAC and the SPAC does not consummate a business combination, we will lose the entirety of our investment.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lose the entirety of our investment in a sponsor of a SPAC if the underlying SPAC fails to consummate a business combination. Any investment by us in a sponsor of a SPAC will not have the same redemption rights that a direct investment in a SPAC may have. As such, there is a unique risk of experiencing a complete loss on our investment when we invest in a sponsor of a SPAC.</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number of founder shares allocated to us in respect of any investment in a sponsor of a SPAC may be reduced or otherwise subjected to forfeiture/dilution in the event that the sponsor of a SPAC raises additional capital.</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certain circumstances, the managing member of the sponsor of a SPAC in which we invest may determine that the underlying SPAC requires additional working capital following the IPO of the underlying SPAC but prior to a business combination, as contemplated by the underlying SPAC’s registration statement. Typically, the managing member of the sponsor of a SPAC, in his or her sole and absolute discretion, may permit existing or new members in the sponsor of a SPAC, including us, to make loans to the underlying SPAC or to make additional equity investments in the sponsor of the SPAC as needed. Accordingly, we typically will have no right to participate in any such loans or equity investments unless the managing member, in his or her sole discretion, offers us the opportunity to invest in any such loans or equity investments. In connection with such new loans or equity investments, the managing member may reallocate founder shares from members not participating in any such loans or equity to any such lenders/investors at a ratio calculated in accordance with the formula used to derive the ratio for the initial allocation of founder shares to us and the other members and so long as any reallocation would not affect our or any group of members’ membership interests disproportionately to all members in the aggregate. In such a case, our interest in the founder shares will be reduced or diluted. In the event any such reallocation would affect our or any group of members’ membership interests disproportionately to all members in the aggregate, we will have a limited right to participate in loan or equity investment at issue. If, however, we choose not to participate, our interest in the founder shares would be reduced or diluted as a result. Finally, the managing member may determine in his or her sole and absolute discretion that one or more strategic investors in the sponsor of a SPAC will not be subject to a reallocation of founder shares in the event a loan or equity investment is needed, and if so our interest in the founder shares will be further diluted as a result.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requirement that a SPAC complete a business combination within a specified completion window may give potential target businesses leverage over the SPAC in negotiating a business combination and may limit the time the SPAC has in which to conduct due diligence on potential business combination targets, in particular as it approaches its dissolution deadline, which could undermine its ability to complete a business combination on terms that would produce value for us.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potential target business that enters into negotiations concerning a business combination with a SPAC in which we invest will be aware that the SPAC must complete a business combination within a specified completion window, which is usually between 18-24 months following the SPAC’s IPO. Consequently, such target business may obtain leverage over the SPAC in negotiating a business combination, knowing that if the SPAC does not complete a business combination with that particular target business, it may be unable to complete a business combination with any target business. This risk will increase as the SPAC gets closer to the timeframe described above. In addition, the SPAC may have limited time to conduct due diligence and may enter into a business combination on terms that it would have rejected upon a more comprehensive investigation. The foregoing could undermine the SPAC’s ability to complete a business combination on terms that would produce value for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foreign companies may involve significant risks in addition to the risks inherent in U.S. investments.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invest primarily in U.S. companies, we may invest on an opportunistic basis in certain non-U.S. companies, including those located in emerging markets, that otherwise meet our investment criteria. In regards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issuers.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expose ourselves to risks if we engage in hedging transactions.</w:t>
      </w:r>
    </w:p>
    <w:p>
      <w:pPr>
        <w:spacing w:after="0" w:line="229"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Changes to the regulations applicable to the financial instruments we may use to accomplish our hedging strategy could affect the effectiveness of that strategy. See “—We are exposed to risks associated with changes in interest rates, including the current rising interest rate environment.”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involving derivatives and financial commitment transactions may be limited.</w:t>
      </w:r>
    </w:p>
    <w:p>
      <w:pPr>
        <w:spacing w:after="0" w:line="22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In August 2022, Rule 18f-4 under the 1940 Act, regarding the ability of a BDC (or a registered investment company) to use derivatives and other transactions that create future payment or delivery obligations, became effective. Under the newly adopted rules, BDCs that use derivatives will be subject to a value-at-risk (“VaR”) leverage limit, certain other derivatives risk management program and testing requirements and requirements related to board reporting. These new requirements will apply unless the BDC qualifies as a “limited derivatives user” under the adopted rules. Under the new rule, a BDC may enter into an unfunded commitment agreement that is not a derivatives transaction, such as an agreement to provide financing to a portfolio company, if the BDC has, among other things, a reasonable belief, at the time it enters into such an agreement, that it will have sufficient cash and cash equivalents to meet its obligations with respect to all of its unfunded commitment agreements, in each case as it becomes due. We currently operate as a “limited derivatives user,” which may limit our ability to use derivatives and/or enter into certain other financial contracts.</w:t>
      </w:r>
    </w:p>
    <w:p>
      <w:pPr>
        <w:spacing w:after="0" w:line="192"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market structure applicable to derivatives imposed by the Dodd-Frank Act, the U.S. Commodity Futures Trading Commission (“CFTC”) and the SEC may affect our ability to use over-the-counter (“OTC”) derivatives for hedging purposes.</w:t>
      </w:r>
    </w:p>
    <w:p>
      <w:pPr>
        <w:spacing w:after="0" w:line="18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Dodd-Frank Act and the CFTC enacted and the SEC has issued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03"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CFTC and the SEC have issued final rules establishing that certain swap transactions are subject to CFTC regulation. Engaging in such swap or other commodity interest transactions such as futures contracts or options on futures contracts may cause us to fall within the definition of “commodity pool” under the Commodity Exchange Act and related CFTC regulations. We have claimed relief from CFTC registration and regulation as a commodity pool operator with respect to our operations, with the result that we are limited in our ability to use futures contracts or options on futures contracts or engage in swap transactions. Specifically, we are subject to strict limitations on using such derivatives other than for hedging purposes, whereby the use of derivatives not used solely for hedging purposes is generally limited to situations where (i) the aggregate initial margin and premiums required to establish such positions does not exceed five percent of the liquidation value of our portfolio, after taking into account unrealized profits and unrealized losses on any such contracts we have entered into; or (ii) the aggregate net notional value of such derivatives does not exceed 100% of the liquidation value of our portfolio.</w:t>
      </w:r>
    </w:p>
    <w:p>
      <w:pPr>
        <w:spacing w:after="0" w:line="215"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Dodd-Frank Act also imposed requirements relating to real-time public and regulatory reporting of OTC derivative transactions, enhanced documentation requirements, position limits on an expanded array of derivatives, and record 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on our part to maintain our status as a BDC would reduce our operating flexibility.</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For example, BDCs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internally managed BDC, we are subject to certain restrictions that may adversely affect our business.</w:t>
      </w:r>
    </w:p>
    <w:p>
      <w:pPr>
        <w:spacing w:after="0" w:line="229"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As an internally managed BDC, the size and categories of our assets under management is limited, and we are unable to offer as wide a variety of financial products to prospective portfolio companies and sponsors (potentially limiting the size and diversification of our asset base). We therefore may not achieve efficiencies of scale and greater management resources available to externally managed BDCs.</w:t>
      </w:r>
    </w:p>
    <w:p>
      <w:pPr>
        <w:spacing w:after="0" w:line="17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Additionally, as an internally managed BDC, our ability to offer more competitive and flexible compensation structures, such as offering both a profit-sharing plan and an equity incentive plan, is subject to the limitations imposed by the 1940 Act, which limits our ability to attract and retain talented investment management professionals. As such, these limitations could inhibit our ability to grow, pursue our business plan and attract and retain professional talent, any or all of which may have a negative impact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internally managed BDC, we are dependent upon our management team and investment professionals for their time availability and for our future success, and if we are not able to hire and retain qualified personnel, or if we lose key members of our senior management team, our ability to implement our business strategy could be significantly harmed.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an internally managed BDC, our ability to achieve our investment objectives and to make distributions to our stockholders depends upon the performance of our management team and investment professionals. We depend upon the expertise, skill and network of members of our management and our investment professionals for the identification, final selection, structuring, closing and monitoring of our investments. These employees have critical industry experience and relationships on which we rely to implement our business plan. If we lose the services of key members of our senior management team, we may not be able to operate the business as we expect, and our ability to compete could be harmed, which could cause our operating results to suffer. We believe our future success will depend, in part, on our ability to identify, attract and retain sufficient numbers of highly skilled employees. If we do not succeed in identifying, attracting and retaining such personnel, we may not be able to operate our business as we expect.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an internally managed BDC, our compensation structure is determined and set by our Board of Directors and its Compensation Committee. This structure currently includes salary, bonus and incentive compensation. We are not generally permitted by the 1940 Act to employ an incentive compensation structure that directly ties performance of our investment portfolio and results of operations to incentive compensation.</w:t>
      </w:r>
    </w:p>
    <w:p>
      <w:pPr>
        <w:sectPr>
          <w:pgSz w:w="11900" w:h="16838" w:orient="portrait"/>
          <w:cols w:equalWidth="0" w:num="1">
            <w:col w:w="11240"/>
          </w:cols>
          <w:pgMar w:left="320" w:top="229" w:right="339" w:bottom="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Members of our senior management team may receive offers of more flexible and attractive compensation arrangements from other companies, particularly from investment advisers to externally managed BDCs that are not subject to the same limitations on incentive-based compensation that we are subject to as an internally managed BDC. A departure by one or more members of our senior management team or competing demands on their time could have a negative impact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will depend on our ability to manage our business effectively and achieve our investment objective.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achieve our investment objective will depend on our management team’s and investment professionals’ ability to identify, analyze and invest in companies that meet our investment criteria. Accomplishing this result on a cost-effective basis is largely a function of our management team’s and investment professionals’ structuring of the investment process and their ability to provide competent, attentive and efficient services to us. We seek a specified number of investments in rapidly growing venture-capital-backed emerging companies, which may be extremely risky. There can be no assurance that our management team and investment professionals will be successful in identifying and investing in companies that meet our investment criteria, or that we will achieve our investment objective. Even if we are able to grow and build upon our investment operations, any failure to manage our growth effectively could have a material adverse effect on our business, financial condition, results of operations and prospects.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upon the development and maintenance of strong referral relationships with private equity, venture capital funds and investment banking firms.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that members of our management team and our investment professionals will maintain key informal relationships, which we use to help identify and gain access to investment opportunities. If our management team and investment professionals fail to maintain relationships with key firms, or if they fail to establish strong referral relationships with other firms or other sources of investment opportunities, we will not be able to grow our portfolio of equity investments and achieve our investment objective. In addition, persons with whom our management team and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reduce the ability to identify attractive portfolio companies that meet our investment criteria, either for direct equity investments or for investments through private secondary market transactions or other secondary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risks related to investing in securities traded on private secondary marketplaces.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utilized and expect to continue to utilize private secondary marketplaces, such as SharesPost, Inc., to acquire investments for our portfolio. When we purchase secondary shares, we may have little or no direct access to financial or other information from these portfolio companies. As a result, we are dependent upon the relationships of our management team and investment professionals and our Board of Directors to obtain the information necessary to perform research and due diligence, and to monitor our investments after they are made. There can be no assurance that our management team and investment professionals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transfer restrictions and the illiquid nature of our investments, we may not be able to purchase or sell our investments when we wish to do so.</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Most of our investments are or will be in equity or equity-related securities of privately 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and may include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co-sale or tag- 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a daily basis, depending on many factors, including the status of the private secondary markets and our particular portfolio at any given time.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likely experience fluctuations in our operating results due to a number of factors, including the rate at which we make new investments, the level of our expenses, changes in the valuation of our portfolio investments, variations in and the timing of the recognition of realized and unrealized gains and losses, the degree to which we encounter competition in our markets and general economic conditions.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risks associated with investing in venture capital companies with complex capital structures.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invest primarily in what we believe to be rapidly growing, venture-capital-backed emerging companies, either through private secondary transactions, other secondary transactions or direct investments in companies. Such private companies frequently have much more complex capital structures than traditional publicly 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our management team and investment professionals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federal and state government as well as the stock exchange on which our common stock is listed. These entities, including the Public Company Accounting Oversight Board, the SEC and the Nasdaq Global Select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any failure to keep pace with such rules, or for our management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markets may experience periods of disruption and instability, including as recently experienced. Such market conditions may materially and adversely affect debt and equity capital markets in the United States and abroad, which may have a negative impact on our business and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including during portions of the last three fiscal years. Since 2020, the U.S. capital markets have experienced extreme volatility and disruption, as evidenced by the volatility in global stock markets as a result of, among other things, uncertainty surrounding the COVID-19 pandemic, supply chain disruptions, interest rate and inflation rate environments, and the fluctuating price of commodities such as oil. Despite actions of the U.S. federal government and foreign governments, these types of events contribute to unpredictable general economic conditions that materially and adversely impact the broader financial and credit markets and reduce the availability of debt and equity capital for the market as a whole. These conditions could continue for a prolonged period of time or worsen in the future.</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ongoing and dynamic nature of recent market disruption and instability, it is difficult to predict the full impact of these conditions on our business. The extent of any such impact will depend on future developments, which are highly uncertain, including the duration or reoccurrence of any potential business or supply chain disruption, changes in interest rates and inflation rates, the conflict between Russia and Ukraine, health epidemics and pandemics and the actions taken by governments in response to these conditions.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any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Volatility and dislocation in the capital markets can also create a challenging environment in which to raise or access debt capital, and our ability to incur indebtedness (including by issuing preferred stock) is limited by applicable regulations such that our asset coverage (as defined in the 1940 Act) must equal at least 150% immediately after each time we incur indebtedness. The continuance or reappearance of market conditions similar to those experienced during portions of the last three fiscal years for any substantial length of time could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ectPr>
          <w:pgSz w:w="11900" w:h="16838" w:orient="portrait"/>
          <w:cols w:equalWidth="0" w:num="1">
            <w:col w:w="11240"/>
          </w:cols>
          <w:pgMar w:left="320" w:top="229" w:right="339" w:bottom="852"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852"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mark-to-market transactions between market participants. As a result, volatility in the capital markets can adversely affect our investment valuations.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Significant disruption or volatility in the capital markets may also affect the pace of our investment activity and the potential for liquidity events involving our investments. The illiquidity of our investments may make it difficult for us to sell such investments to access capital if required and to value such investments. Consequently, we may realize significantly less than the value at which we carry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including uncertainty about the financial stability of the United States, could have a significant adverse effect on our business, financial condition and results of operations.</w:t>
      </w:r>
    </w:p>
    <w:p>
      <w:pPr>
        <w:spacing w:after="0" w:line="18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Deterioration in the economic conditions in the Eurozone and other regions or countries globally and the resulting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levels of non-performing loans on the balance sheets of European banks, the effect of the United Kingdom (the “U.K.”) leaving the European Union (the “EU”), instability in the Chinese capital markets and the COVID-19 pandemic.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or elsewhere negatively impacts consumer confidence and consumer credit factors, our and our portfolio companies’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Various social and political circumstances in the United States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United States and worldwide. Such events, including rising trade tensions between the United States and China, other uncertainties regarding actual and potential shifts in U.S. and foreign, trade, economic and other policies with other countries, the war between Russia and Ukraine, and the COVID-19 pandemic, could adversely affect our business, financial condition or results of operations. These market and economic disruptions could negatively impact the operating results of our portfolio companies.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our control, including public health crises, may negatively affect our results of operations and financial performance and the fair value of our investments.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and restrictive measures taken to contain or mitigate its spread have caused business shutdowns, cancellations of events and restrictions on travel, significant reductions in demand for certain goods and services, reductions in business activity and financial transactions, supply chain interruptions and overall economic and financial market instability both globally and in the United States. Despite actions of the U.S. federal government and foreign governments, these events have contributed to unpredictable general economic conditions that are materially and adversely impacting the broader financial and credit markets and reducing the availability of debt and equity capital for the market as a whole. It is uncertain how long this volatility will continue, and as a result, even after the COVID-19 pandemic subsides, the U.S. economy and most other major global economies may continue to experience a recession. Our business and operations, as well as the business and operations of our portfolio companies, could be materially adversely affected by a prolonged recession in the United States and other major markets. Some economists and major investment banks have expressed concern that the continued spread of the virus globally could lead to a world-wide economic downturn, the impacts of which could last for some period after the pandemic is controlled and/or abated.</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or our portfolio companies’ personnel. This could create widespread business continuity issues for us and our portfolio companies.</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As a result, our valuations may not show the completed or continuing impact of the COVID-19 pandemic and the resulting measures taken in response thereto. 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COVID-19 pandemic is ongoing as of the filing date of this Annual Report, and its extended duration may have further adverse impacts on us and our portfolio companies after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 including the current rising interest rate environment.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2022, the U.S. Federal Reserve began raising short-term interest rates and is expected to further increase the federal funds rate in 2023. Because we may borrow money to make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A reduction in the interest rates on new investments relative to interest rates on current investments could have an adverse impact on our net investment income. However, an increase in interest rates could decrease the value of any investments we hold which earn fixed interest rates and also could increase our interest expense, thereby decreasing our net income. Also, an increase in interest rates available to investors could make an investment in our common stock less attractive if we are not able to increase our distribution rate, which could reduce the value of our common stock. Further, rising interest rates could also adversely affect our performance if such increases cause our borrowing costs to rise at a rate in excess of the rate that our investments yield. In periods of rising interest rates, to the extent we borrow money subject to a floating interest rate, our cost of funds would increase, which could reduce our net investment income. Further, rising interest rates could also adversely affect our performance if we hold investments with floating interest rates, subject to specified minimum interest rates (such as London Inter-Bank Offered Rate (“LIBOR”) or Secured Overnight Financing Rate (“SOFR”) floor, as applicable),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We are assessing the impact of a transition from LIBOR; however, we cannot reasonably estimate the impact of the transition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 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 circumstances, we would typically be last in line behind any creditors and would likely experience a complete loss on our investment.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 In addition, continued uncertainty surrounding the negotiation of trade deals between the United Kingdom and the European Union following the United Kingdom’s exit from the European Union and uncertainty between the United States and other countries, including China, with respect to trade policies, treaties, and tariffs, among other factors, have caused disruption in the global markets. There can be no assurance that market conditions will not worsen in the future.</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sanction laws in the United States and other jurisdictions may prohibit us from transacting with certain countries, individuals and companies.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 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As a result, we may be adversely affected because of our unwillingness to enter into transactions that violate any such laws or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the business, results of operations and financial condition of our portfolio companies.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portfolio companies may be impacted by inflation. If such portfolio companies are unable to pass any increases in their costs along to their customers, it could adversely affect their results, which could in turn adversely impact our results of operations. In addition, any projected future decreases in our portfolio companies’ operating results due to inflation could adversely impact the fair value of our investments. Any decreases in the fair value of our investments could result in future unrealized losses and therefore reduce our net assets resulting from operations. Additionally, the Federal Reserve has raised, and has indicated its intent to continue raising, certain benchmark interest rates in an effort to combat inflation. There is no guarantee that the actions taken by the Federal Reserve will reduce or eliminate inflation. See “—We are exposed to risks associated with changes in interest rates, including the current rising interest rate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faces increasing public scrutiny related to environmental, social and governance (“ESG”) activities, which are increasing considered to contribute to the long-term sustainability of a company’s performance. A variety of organizations measure the performance of companies on ESG topics, and the results of these assessments are widely publicized. In addition, investments in funds that specialize in companies that perform well in such assessments are increasingly popular, and major institutional investors have publicly emphasized the importance of such ESG measures to their investment decisions.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new regulatory initiatives related to ESG could adversely affect our business. The SEC has proposed rules that, among other matters, would establish a framework for reporting of climate-related risks. At this time, there is uncertainty regarding the scope of such proposals or when they would become effective (if at all). Compliance with any new laws or regulations increases our regulatory burden and could make compliance more difficult and expensive, affect the manner in which we or our portfolio companies conduct our businesses and adversely affect our profitability.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direct equity investment opportunities.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large number of entities compete with us to make the types of direct equity investments that we target as part of our business strategy. We compete for such investments with a large number of private equity and venture capital funds, other equity and non- 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ability to subject to tax as a RIC. These characteristics could allow our competitors to consider a wider variety of investments, establish more relationships and offer financing at more attractive terms than we are able to offer.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Borrowings, such as the 6.00% Notes due 2026, can magnify the potential for gain or loss on amounts invested and may increase the risk of investing in us.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Borrowings, also known as leverage, magnify the potential for gain or loss on amounts invested and, therefore, increase the risks associated with investing in our securities. In addition to the 6.00% Notes due 2026,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6.00% Notes due 2026, borrowings under any other future debt that we incur will depend largely on our financial performance and will be subject to prevailing economic conditions and competitive pressures. As a result of our use of leverage, we have experienced a substantial increase in operating expenses and may continue to do so in the future.</w:t>
      </w:r>
    </w:p>
    <w:p>
      <w:pPr>
        <w:sectPr>
          <w:pgSz w:w="11900" w:h="16838" w:orient="portrait"/>
          <w:cols w:equalWidth="0" w:num="1">
            <w:col w:w="11240"/>
          </w:cols>
          <w:pgMar w:left="320" w:top="229" w:right="339" w:bottom="285"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285"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illustrates the effect of leverage on returns from an investment in our common stock assuming various annual returns on our portfolio,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94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Assumed Return on Our Portfolio</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500" w:type="dxa"/>
            <w:vAlign w:val="bottom"/>
          </w:tcPr>
          <w:p>
            <w:pPr>
              <w:spacing w:after="0"/>
              <w:rPr>
                <w:sz w:val="19"/>
                <w:szCs w:val="19"/>
                <w:color w:val="auto"/>
              </w:rPr>
            </w:pPr>
          </w:p>
        </w:tc>
        <w:tc>
          <w:tcPr>
            <w:tcW w:w="294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(Net of Expenses)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5"/>
        </w:trPr>
        <w:tc>
          <w:tcPr>
            <w:tcW w:w="35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w:t>
            </w:r>
          </w:p>
        </w:tc>
        <w:tc>
          <w:tcPr>
            <w:tcW w:w="4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w:t>
            </w:r>
          </w:p>
        </w:tc>
        <w:tc>
          <w:tcPr>
            <w:tcW w:w="4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w:t>
            </w:r>
          </w:p>
        </w:tc>
        <w:tc>
          <w:tcPr>
            <w:tcW w:w="4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w:t>
            </w:r>
          </w:p>
        </w:tc>
        <w:tc>
          <w:tcPr>
            <w:tcW w:w="3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tcBorders>
              <w:bottom w:val="single" w:sz="8" w:color="CCEEFF"/>
            </w:tcBorders>
          </w:tcPr>
          <w:p>
            <w:pPr>
              <w:spacing w:after="0"/>
              <w:rPr>
                <w:sz w:val="21"/>
                <w:szCs w:val="21"/>
                <w:color w:val="auto"/>
              </w:rPr>
            </w:pPr>
          </w:p>
        </w:tc>
      </w:tr>
      <w:tr>
        <w:trPr>
          <w:trHeight w:val="188"/>
        </w:trPr>
        <w:tc>
          <w:tcPr>
            <w:tcW w:w="35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Corresponding return to common</w:t>
            </w: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71"/>
        </w:trPr>
        <w:tc>
          <w:tcPr>
            <w:tcW w:w="350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stockholder</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(9.82)%</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$157.2 million in total portfolio assets excluding U.S. Treasuries, and $75.0 million in outstanding 6.00% Notes due 2026 as of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borrowed funds to make investments exposes us to risks typically associated with leverage.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borrow money and may issue additional debt securities or preferred stock to leverage our capital structure. As a result:</w:t>
      </w:r>
    </w:p>
    <w:p>
      <w:pPr>
        <w:spacing w:after="0" w:line="225"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depreciation in the value of our assets may magnify losses associated with an investment and could totally eliminate the value of an asset to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 may be restricted if our asset coverage ratio, as provided in the 1940 Act, is not at least 200% (or 150% if certain requirements are met), and any amounts used to service indebtedness or preferred stock would not be available for such dividends;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credit facility we may enter would be, subject to periodic renewal by our lenders, whose continued participation cannot be guaranteed;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indirectly our common stockholders, bear the entire cost of issuing and paying interest or dividends on such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convertible or exchangeable securities that we issue may have rights, preferences and privileges more favorable than those of our common shares;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 (or 150% if certain requirements are met.)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provisions of the 1940 Act, we are permitted, as a BDC, to issue senior securities only in amounts such that our asset coverage ratio equals at least 200%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default under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our assets may be pledged as collateral under any future borrowing facility. In the event that we default under any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Following any such default, the agent for the lenders under any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any future borrowing facility, such sales may be completed at distressed sale prices, thereby diminishing or potentially eliminating the amount of cash available to us after repayment of our outstanding borrowings. Moreover, such deleveraging of our Company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representing such income.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U.S. federal income tax at corporate rates.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 which may expose us to risks, including the typical risks associated with leverage.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issue additional debt securities or preferred stock and/or borrow money from banks or other financial institutions, which we refer to collectively (along with the 6.00% Notes due 2026) as “senior securities,” up to the maximum amount permitted by the 1940 Act. Under the provisions of the 1940 Act, we are permitted, as a BDC, to issue senior securities in amounts such that our asset coverage ratio, as defined in the 1940 Act, equals at least 200% (or 150% if certain requirements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of the costs of offering and servicing the 6.00% Notes due 2026 and any additional debt or preferred stock we may issue in the future, including interest payments thereon, will be borne by our common stockholders. The interests of the holders of the 6.00% Notes due 2026, any additional debt or preferred stock we may issue will not necessarily be aligned with the interests of our common stockholders. In particular, the rights of holders of the 6.00% Notes due 2026 and our debt or preferred stock to receive interest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SuRo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addition to regulatory requirements that restrict our ability to raise capital, the loan agreement governing any future credit facility may contain various covenants which, if not complied with, could materially and adversely affecting our liquidity, financial condition, results of operations and ability to pay dividends.</w:t>
      </w:r>
    </w:p>
    <w:p>
      <w:pPr>
        <w:spacing w:after="0" w:line="175"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Under the loan agreement governing any future credit facility, we may take certain customary representations and warranties and may be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net asset value requirement, a limitation on the reduction of our net asset value, and maintenance of RIC and BDC status. Such loan agreement may include usual and customary events of default for credit facilities of similar nature, including, without limitation, nonpayment, misrepresentation of representations and warranties in a material respect, breach of covenant, cross-default to certain other indebtedness, bankruptcy, and the occurrence of a material adverse effect.</w:t>
      </w:r>
    </w:p>
    <w:p>
      <w:pPr>
        <w:spacing w:after="0" w:line="18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under any such loan agreement, would have a material adverse impact on our liquidity, financial condition, results of operations and ability to pay dividends.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U.S. federal income tax at corporate rates if we are profitable and are unable to qualify as a RIC, which could have a material adverse effect on us and our stockholders.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elected to be treated as a RIC under the Code beginning with our taxable year ended December 31, 2014, have qualified to be treated as a RIC for subsequent taxable years and expect to continue to operate in a manner so as to qualify for the tax treatment applicable to RICs. See “Item 1. Business— Material U.S. Federal Income Tax Considerations” and “Note 2—Significant Accounting Policies—</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 Income Taxes” to our consolidated financial statements for the year ended December 31, 2022 for more information.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generally believes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U.S. federal income tax at corporate rates, which could substantially reduce our net assets, the amount of income available for distribution or reinvestment and the amount of our distributions. Such a failure could have a material adverse effect on us and our stockholders.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any year in which we intend to be treated as a RIC, we may be forced to dispose of investments at times when our management team would not otherwise do so or raise additional capital at times when we would not otherwise do so, in each case in order to qualify for the special tax treatment accorded to RICs.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U.S. federal income tax at corporate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tax changes could adversely affect our business and financial condition.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income taxation are constantly under review by persons involved in the legislative process and by the Internal Revenue Service and the U.S. Treasury Department. Changes in tax laws, regulations or administrative interpretations or any amendments thereto could adversely affect us, the entities in which we invest, or the holders of our securities, including our common stock and the 6.00% Notes due 2026. For example, on August 16, 2022, President Joseph R. Biden signed the Inflation Reduction Act of 2022 into law, which may result in different and potentially adverse tax treatment for us, our portfolio companies, or the holder of our securities. Additionally, the Biden Administration has announced a number of tax law proposals, including American Families Plan and Made in America Tax Plan, which include increases in the corporate and individual tax rates, and impose a minimum tax on book income and profits of certain multinational corporations. .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for us, our portfolio companies, and/or our investors. Investors are urged to consult with their tax advisors with respect to the impact of this legislation and the status of any other regulatory or administrative developments and proposals and their potential effect on an investment in our securities.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elected to be taxed for U.S. federal income tax purposes as a RIC under Subchapter M of the Code. If we meet certain requirements, including source of income, asset diversification and distribution requirements, and if we continue to qualify as a BDC, we will continue to qualify for tax treatment as a RIC under the Code and will not be subject to U.S. income taxes on income we distribute to our stockholders as dividends, allowing us to substantially reduce or eliminate our U.S. federal income tax liability. As a BDC, we are generally required to meet a coverage ratio of total assets to total senior securities, which includes all of our borrowings and any preferred stock we may issue in the future, of at least 200% (or 150% if certain requirements are met)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net asset value without stockholder approval. If additional funds are not available to us, we could be forced to curtail or cease new lending and investment activities, and our net asset value could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choose to pay dividends in our common stock, in which case you may be required to pay tax in excess of the cash you receive.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in the past, and may continue to, distribute taxable dividends that are payable in part in shares of our common stock. For example, on November 3, 2021, our Board of Directors declared a dividend of $2.00 per share to stockholders, paid partially in cash and partially in shares of our common stock on December 30, 2021. In accordance with certain applicable U.S. Treasury regulations and published guidance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not exceed more than 50%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and, consequently, the full impact that such legislation will ultimately have on us and the markets in which we trade and invest is not fully known. For example, on August 16, 2022, the Biden Administration enacted the Inflation Reduction Act of 2022, which modifies key aspects of the Code, including by creating an alternative minimum tax on certain large corporations and an excise tax on stock repurchases by certain corporations. We are currently assessing the potential impact of these legislative changes. Such uncertainty and any resulting confusion may itself be detrimental to the efficient functioning of the markets and the success of certain investment strategies.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management team and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SBCAA allows us to incur additional leverage, which could increase the risk of investing in us.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1940 Act had generally prohibited us from incurring indebtedness unless immediately after such borrowing we had an asset coverage for total borrowings of at least 200% (i.e., the amount of debt may not exceed 50% of the value of our total assets). However, the SBCAA modified the 1940 Act to allow BDCs to decrease their asset coverage requirement from 200% to 150% (i.e. the amount of debt may not exceed 66.7% of the value of our total assets), if certain requirements are met. Under the SBCAA, we are allowed to reduce our asset coverage requirement to 150%, and thereby increase our leverage capacity, if shareholders representing at least a majority of the votes cast, when a quorum is present, approve a proposal to do so. If we receive shareholder approval, we would be allowed to reduce our asset coverage requirement to 150% on the first day after such approval. Alternatively, the SBCAA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SBCAA,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Ineffective internal controls could impact our business and operating results.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fund a portion of our investments with preferred stock, which would magnify the potential for gain or loss and the risks of investing in us in the same way as our borrowings.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SuRo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may discourage, delay or make more difficult a change in control of us or the removal of our directors. We are subject to the Maryland Business Combination Act (“MBCA”), subject to any applicable requirements of the 1940 Act. Our Board of Directors has adopted a resolution exempting from the MBCA any business combination between us and any other person, subject to prior approval of such business combination by our Board of Directors, including approval by a majority of our directors who are not “interest persons” as defined in the 1940 Act. If the resolution exempting business combinations is repealed or our Board of Directors does not approve a business combination, the MBCA may discourage third parties from trying to acquire control of us and increase the difficulty of consummating such an offer. Our bylaws exempt from the Maryland Control Share Acquisition Act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without stockholder action, to classify or reclassify shares of our stock in one or more classes or series, including preferred stock, to cause the issuance of additional shares of our stock, to amend our charter without stockholder approval to increase or decrease the aggregate number of shares of stock or the number of shares of stock of any class or series that we have authority to issue. These provisions, as well as other provisions of our charter and bylaws, may delay, defer or prevent a transaction or a change in control that might otherwise be in the best interests of our stockholders.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 (including the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6.00% Notes due 2026</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6.00% Notes due 2026 are unsecured and therefore effectively subordinated to any future secured indebtedness we could incur; however, we have agreed under the indenture to not incur any secured or unsecured indebtedness that would be senior to the 6.00% Notes due 2026 while the 6.00% Notes due 2026 are outstanding, subject to certain exceptions. The 6.00% Notes due 2026 rank pari passu with, or equal to, all outstanding and future unsecured, unsubordinated indebtedness issued by us and our general liabilities.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6.00% Notes due 2026 are not secured by any of our assets or any of the assets of any of our subsidiaries. As a result, the 6.00% Notes due 2026 are effectively subordinated to any future secured indebtedness we or our subsidiaries may incur in the future (or any indebtedness that is initially unsecured as to which we subsequently grant a security interest) to the extent of the value of the assets securing such indebtedness. However, we have agreed under the governing indenture to not incur any secured or unsecured indebtedness that would be senior to the 6.00% Notes due 2026 while the 6.00% Notes due 2026 are outstanding, subject to certain exceptions. In any liquidation, dissolution, bankruptcy or other similar proceeding, the holders of any of our future secured indebtedness or secured indebtedness of our subsidiaries may assert rights against the assets pledged to secure that indebtedness in order to receive full payment of their indebtedness before the assets may be used to pay other creditors.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6.00% Notes due 2026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which means equal in right of payment, with all outstanding and future unsecured, unsubordinated indebtedness issued by us. The 6.00% Notes due 2026 also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equal to, our general liabilities (total liabilities, less debt). In total, these general liabilities were approximately $1.0 million as of December 31, 2022. In any liquidation, dissolution, bankruptcy or other similar proceeding, the holders of such indebtedness may assert rights equal to the holders of the 6.00% Notes due 2026, which may limit recovery by the holders of the 6.00% Notes due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6.00% Notes due 2026 are structurally subordinated to the indebtedness and other liabilities of our subsidiaries.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6.00% Notes due 2026 are obligations exclusively of SuRo Capital Corp., and not of any of our subsidiaries. None of our subsidiaries will be a guarantor of the 6.00% Notes due 2026, and the 6.00% Notes due 2026 are not be required to be guaranteed by any subsidiary we may acquire or create in the future. Any assets of our subsidiaries will not be directly available to satisfy the claims of our creditors, including holders of the 6.00% Notes due 2026. Except to the extent we are a creditor with recognized claims against our subsidiaries, all claims of creditors of our subsidiaries will have priority over our equity interests in such entities (and therefore the claims of our creditors, including holders of the 6.00% Notes due 2026)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6.00% Notes due 2026 are structurally subordinated to all indebtedness and other liabilities, including trade payables, of any of our existing or future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6.00% Notes due 2026 were issued contains limited protection for holders of the 6.00% Notes due 2026.</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indenture under which the 6.00% Notes due 2026 were issued offers limited protection to holders of the 6.00% Notes due 2026. The terms of the indenture and the 6.00% Notes due 2026 do not restrict our or any of our subsidiaries’ ability to engage in, or otherwise be a party to, a variety of corporate transactions, circumstances or events that could have a material adverse impact on an investment in the 6.00% Notes due 2026. In particular, the terms of the indenture and the 6.00% Notes due 2026 do not place any restrictions on our or our subsidiaries’ ability to:</w:t>
      </w:r>
    </w:p>
    <w:p>
      <w:pPr>
        <w:spacing w:after="0" w:line="180" w:lineRule="exact"/>
        <w:rPr>
          <w:sz w:val="20"/>
          <w:szCs w:val="20"/>
          <w:color w:val="auto"/>
        </w:rPr>
      </w:pPr>
    </w:p>
    <w:p>
      <w:pPr>
        <w:jc w:val="both"/>
        <w:ind w:left="660" w:hanging="328"/>
        <w:spacing w:after="0" w:line="25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6.00% Notes due 2026, (2) any indebtedness or other obligations that would be secured and therefore rank effectively senior in right of payment to the 6.00% Notes due 2026 to the extent of the values of the assets securing such debt, (3) indebtedness of ours that is guaranteed by one or more of our subsidiaries and which therefore is structurally senior to the 6.00% Notes due 2026 and (4) securities, indebtedness or obligations issued or incurred by our subsidiaries that would be senior to our equity interests in those entities and therefore rank structurally senior to the 6.00% Notes due 2026 with respect to the assets of our subsidiaries, in each case other than an incurrence of indebtedness or other obligation that would cause a violation of Section 18(a)(1)(A) as modified by such provisions of Section 61(a) of the 1940 Act as may be applicable to us from time to time or any successor provisions, whether or not we continue to be subject to such provisions of the 1940 Act,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200% (or 150% if certain requirements are met) after such borrowings.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incur any indebtedness, unless at the time of the incurrence of such indebtedness we have an asset coverage (as defined in the 1940 Act) of at least 300% after giving effect to the incurrence of such indebtedness and the application of the net proceeds therefrom;</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660" w:hanging="328"/>
        <w:spacing w:after="0" w:line="25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6.00% Notes due 2026, including subordinated indebtedness, except that we have agreed under the indenture that, for the period of time during which the 6.00% Notes due 2026 are outstanding, we will not violate Section 18(a)(1)(B) as modified by (i) Section 61(a) of the 1940 Act or any successor provisions thereto, whether or not we are subject to such provisions of the 1940 Act and after giving effect to any exemptive relief granted to us by the SEC and (ii) the following two exceptions: (A) we will be permitted to declare a cash dividend or distribution notwithstanding the prohibition contained in Section 18(a)(1)(B) as modified by Section 61(a)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 of the 1940 Act or any successor provisions (after giving effect to any exemptive relief granted to us by the SEC) for more than six consecutive months. Currently, these provisions would generally prohibit us from declaring any cash dividend or distribution upon any class of our capital stock, or purchasing any such capital stock if our asset coverage, as defined in the 1940 Act, were below 200% (or 150% if certain requirements are met) at the time of the declaration of the dividend or distribution or the purchase and after deducting the amount of such dividend, distribution or purchase.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purchase any shares of our outstanding capital stock, unless at the time of any such purchase we have an asset coverage (as defined in the 1940 Act) of at least 300% after deducting the amount of such purchase price;</w:t>
      </w:r>
    </w:p>
    <w:p>
      <w:pPr>
        <w:spacing w:after="0" w:line="19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 except that we have agreed under the indenture to not incur any secured or unsecured indebtedness that would be senior to the 6.00% Notes due 2026 while the 6.00% Notes due 2026 are outstanding, subject to certain exceptions;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indenture governing the 6.00% Notes due 2026 does not require us to make an offer to purchase the 6.00% Notes due 2026 in connection with a change of control or any other event.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terms of the indenture and the 6.00% Notes due 2026 do not protect holders of the 6.00% Notes due 2026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recapitalize, incur additional debt (including additional debt that matures prior to the maturity of the 6.00% Notes due 2026), and take a number of other actions that are not limited by the terms of the 6.00% Notes due 2026 may have important consequences for a holder of the 6.00% Notes due 2026, including making it more difficult for us to satisfy our obligations with respect to the 6.00% Notes due 2026 or negatively affecting the trading value of the 6.00% Notes due 2026.</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6.00% Notes due 2026, including additional covenants and events of default. The issuance or incurrence of any such debt with incremental protections could affect the market for, trading levels, and prices of the 6.00% Notes due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6.00% Notes due 2026 are a new issue of debt securities for which there initially was no trading market. The 6.00% Notes due 2026 are listed on the Nasdaq Global Select Market under the symbol “SSSSL”. We cannot provide any assurances that an active trading market will develop or be maintained for the 6.00% Notes due 2026 or that a holder will be able to sell its 6.00% Notes due 2026. The 6.00% Notes due 2026 may trade at a discount from their initial offering price depending on prevailing interest rates, the market for similar securities, our credit ratings, if any, general economic conditions, our financial condition, performance and prospects and other factors. The underwriters of the public offering of the 6.00% Notes due 2026 have advised us that they intend to make a market in the 6.00% Notes due 2026, but they are not obligated to do so. Such underwriters may discontinue any market-making in the 6.00% Notes due 2026 at any time at their sole discretion.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Accordingly, we can provide no assurance that a liquid trading market will develop or be maintained for the 6.00% Notes due 2026, that a holder will be able to sell its 6.00% Notes due 2026 at a particular time or that the price a holder may receive when it sells its 6.00% Notes due 2026 will be favorable. To the extent an active trading market does not develop, the liquidity and trading price for the 6.00% Notes due 2026 may be harmed. Accordingly, a holder may be required to bear the financial risk of an investment in the 6.00% Notes due 2026 for an indefinite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6.00% Notes due 2026.</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default under any agreements governing any of our future indebtedness that is not waived by the required lenders or holders of such indebtedness, and the remedies sought by lenders or the holders of such indebtedness could make us unable to pay principal, premium, if any, and interest on the 6.00% Notes due 2026 and substantially decrease the market value of the 6.00% Notes due 2026. If we are unable to generate sufficient cash flow and are otherwise unable to obtain funds necessary to meet required payments of principal, premium, if any, and interest on our indebtedness, if any, or if we otherwise fail to comply with any covenants, including financial and operating covenants, as applicable, in the instruments governing our indebtedness, if any, we could be in default under the terms of the agreements governing such indebtedness and the 6.00% Notes due 2026. In the event of such default, the holders of such indebtedness could elect to declare all the funds borrowed thereunder to be due and payable, together with accrued and unpaid interest, the lenders under any credit facility or other debt we may enter into or incur in the future could elect to terminate their commitment, cease making further loans and institute foreclosure proceedings against our assets, and we could be forced into bankruptcy or liquidation.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generate sufficient cash flow in the future is, to some extent, subject to general economic, financial, competitive, legislative and regulatory factors as well as other factors that are beyond our control. We can provide no assurance that our business will generate cash flow from operations, or that future borrowings will be available to us, in an amount sufficient to enable us to meet our payment obligations under the 6.00% Notes due 2026, our other debt, and to fund other liquidity needs.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operating performance declines and we are not able to generate sufficient cash flow to service our debt obligations, we may in the future need to refinance or restructure our debt, including any 6.00% Notes due 2026 sold, sell assets, reduce or delay capital investments, seek to raise additional capital or seek to obtain waivers from the lenders under any credit facility or other debt we may enter into or incur in the future to avoid being in default. If we are unable to implement one or more of these alternatives, we may not be able to meet our payment obligations under the 6.00% Notes due 2026 and any other debt. If we are unable to repay debt, lenders having secured obligations could proceed against the collateral securing the debt. Because any future credit facilities will likely have customary cross-default provisions, if we have a default under the terms of the 6.00% Notes due 2026, the obligations under any future credit facility may be accelerated and we may be unable to repay or finance the amounts due.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redeem the 6.00% Notes due 2026 when prevailing interest rates are relatively low.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or after December 30, 2024, we may choose to redeem the 6.00% Notes due 2026 from time to time, especially if prevailing interest rates are lower than the rate borne by the 6.00% Notes due 2026. If prevailing rates are lower at the time of redemption, and we redeem the 6.00% Notes due 2026, a holder likely would not be able to reinvest the redemption proceeds in a comparable security at an effective interest rate as high as the interest rate on the 6.00% Notes due 2026 being redeemed. Our redemption right also may adversely impact a holder’s ability to sell the 6.00% Notes due 2026 as the optional redemption date or period approaches.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our securities, if any, could cause the liquidity or market value of the 6.00% Notes due 2026 to decline significantly.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credit ratings, if any, are an assessment by rating agencies of our ability to pay our debts when due. Consequently, real or anticipated changes in our credit ratings will generally affect the market value of the 6.00% Notes due 2026. These credit ratings may not reflect the potential impact of risks relating to the structure or marketing of the 6.00% Notes due 2026. Credit ratings are paid for by the issuer and are not a recommendation to buy, sell or hold any security, and may be revised or withdrawn at any time by the issuing organization in its sole discretion.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explanation of the significance of any ratings of us or our securities may be obtained from the applicable rating agency. Generally, rating agencies base their ratings on such material and information, and their own investigations, studies and assumptions, as they deem appropriate. Neither we nor any underwriter undertakes any obligation to maintain any such credit ratings or to advise holders of 6.00% Notes due 2026 of any changes in credit ratings of us or our securities. There can be no assurance that our credit ratings will remain at their current levels for any given period of time or that such credit ratings will not be lowered or withdrawn entirely by the rating agency if in their judgment future circumstances relating to the basis of the credit ratings, such as adverse changes in our company, so warrant.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indenture governing the 6.00% Notes due 2026, we will use commercially reasonable efforts to maintain a credit rating on the 6.00% Notes due 2026 by a “nationally recognized statistical rating organization” (as such term is defined in Section 3(a)(62) of the Exchange Act) during the period of time that the 6.00% Notes due 2026 are outstanding; provided that no minimum credit rating is required. We offer no assurance that such rating, should it be maintained, will comport to any particular minimum level of creditworthiness.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an above average degree of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and therefore, an investment in our shares may not be suitable for someone with lower risk tolerance.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be volatile and may decrease substantially.</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demand for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RICs, BDCs or other financial services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with respect to RICs or BDCs;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qualify as a RIC for a particular taxable year, or the loss of RIC status;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earnings or fluctuations in our operating results or changes in the expectations of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our portfolio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sentiment against technology-related companies;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any of the senior members of our management team.</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 For more information, see “Our business and operations could be negatively affected if we become subject to any securities litigation or stockholder activism, which could cause us to incur significant expenses, hinder the execution of our investment strategy, and impact our stock price.”</w:t>
      </w:r>
    </w:p>
    <w:p>
      <w:pPr>
        <w:sectPr>
          <w:pgSz w:w="11900" w:h="16838" w:orient="portrait"/>
          <w:cols w:equalWidth="0" w:num="1">
            <w:col w:w="11240"/>
          </w:cols>
          <w:pgMar w:left="320" w:top="229"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of our common stock have recently traded, and may in the future trade, at discounts from net asset value or at premiums that may prove to be unsustainable.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Shares of BDCs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possibility that our shares will trade at a discount from net asset value or at premiums that are unsustainable are risks separate and distinct from the risk that our net asset value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 As of March 15, 2023, the closing price of our common stock on the Nasdaq Global Select Market was $3.01 per share, which represented an approximately 59.3% discount to our net asset value of $7.39 per share as of December 31, 2022.</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U.S. federal tax purposes, which may result in higher tax liability when the 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proceeds from our offerings, to the extent they are successful, and will use proceeds in part to satisfy operating expenses.</w:t>
      </w:r>
    </w:p>
    <w:p>
      <w:pPr>
        <w:spacing w:after="0" w:line="15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 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internalized our operating structure, including our management and investment functions; as a result, we may incur significant costs and face significant risks associated with being self-managed, including adverse effects on our business and financial condition.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12, 2019, our Board of Directors approved internalizing our operating structure, including our management and investment functions. There can be no assurances that internalizing our operating structure will be beneficial to us and our stockholders, as we may incur the costs and risks discussed below and may not be able to effectively replicate the services previously provided to us by our former investment adviser, GSV Asset Management, and our former administrator, GSV Capital Service Company.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will no longer bear the costs of the various fees and expenses we previously paid to GSV Asset Management under the Investment Advisory Agreement, our direct expenses will generally include general and administrative costs, including legal, accounting, and other expenses related to corporate governance, SEC reporting and compliance, as well as costs and expenses related to making and managing our investments. We will also now incur the compensation and benefits costs of our officers and other employees and consultants, and we have issued equity awards to our officers, employees and consultants, which awards may decrease net income and funds from our operations and may dilute our stockholders. We may also be subject to potential liabilities commonly faced by employers, such as workers disability and compensation claims, potential labor disputes and other employee-related liabilities and grievances.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Finally, internalization transactions have also, in some cases, been the subject of litigation. Even if these claims are without merit, we could be forced to spend significant amounts of time and money defending claims, which would reduce the amount of funds available for us to make investments and to pay distributions, and may divert our management’s attention from managing our investments.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these factors could have a material adverse effect on our results of operations, financial condition, and ability to pay distributions.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likely experience fluctuations in our results and we may be unable to replicate past investment opportunities or make the types of investments we have made to date in future periods.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likely experience fluctuations in our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2022,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presidential administration initiatives could negatively impact our business,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particular area identified as subject to potential change, amendment or repeal includes the Dodd-Frank Wall Street Reform and Consumer Protection Act, or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acts of war or natural disasters may affect any market for our securities, impact the businesses in which we invest and harm our business, operating results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Terrorist acts, acts of war or natural disasters, including as a result of global climate change, may disrupt our operations, as well as the operations of the businesses in which we invest. Such acts have created, and may continue to create, economic and political uncertainties and have contributed to global economic instability. Terrorist activities, military or security operations, global health emergencies, or extreme weather conditions or other natural disasters, including as a result of global climate change, could further weaken domestic and/or global economies and create additional uncertainties, which may negatively impact the businesses in which we invest directly or indirectly and, in turn, could have a material adverse impact on our business, operating results and financial condition. Losses from terrorist attacks, global health emergencies, and extreme weather conditions or other natural disasters are generally uninsurable. The nature and level of extreme weather conditions or other natural disasters cannot be predicted and may be exacerbated by global climate change.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Cybersecurity incidents and cyber-attacks have been occurring globally at a more frequent and severe level, and will likely continue to increase in frequency in the future. The occurrence of a disaster, such as a cyber-attack against us or against a third 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the members of our management team are unavailable in the event of a disaster, our ability to effectively conduct our business could be severely compromised.</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Finally, the increased use of mobile and cloud technologies due to the proliferation of remote work resulting from the COVID-19 pandemic could heighten these and other operational risks as certain aspects of the security of such technologies may be complex and unpredictable. Reliance on mobile or cloud technology or any failure by mobile technology and cloud service providers to adequately safeguard their systems and prevent cyber-attacks could disrupt our operations, the operations of a portfolio company or the operations of our or their service providers and result in misappropriation, corruption or loss of personal, confidential or proprietary information or the inability to conduct ordinary business operations. In addition, there is a risk that encryption and other protective measures may be circumvented, particularly to the extent that new computing technologies increase the speed and computing power available. An extended period of remote working, whether by us, our portfolio companies, or our third-party providers, could strain technology resources and introduce operational risks, including heightened cybersecurity risk. Remote working environments may be less secure and more susceptible to hacking attacks, including phishing and social engineering attempts. Accordingly, the risks described above are heightened under current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We do not own any real estate or other physical properties materially important to our operations. Our principal executive office and headquarters is located at 640 Fifth Avenue, 12th Floor, New York, NY 10019 and we maintain an additional office at One Sansome Street, Suite 730, San Francisco, CA 94104. We are party to office leases pursuant to which we are leasing office facilities from third parties. We believe our office facilities are suitable and adequate for our business as it is presently conducted.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“SSSS.” Prior to November 24, 2021, our common stock traded on the Nasdaq Capital Market under the same symbol (“SSSS”). Our common stock has historically traded at prices both above and below our net asset value per share. It is not possible to predict whether our common stock will trade at, above or below net asset value (“NAV”). See “Item 1A. Risk Factors—Risks Related to an Investment in Our Securities.” The following table sets forth, for each fiscal quarter for the fiscal years ended December 31, 2022, 2021 and 2020, the net asset value per share of our common stock, the range of high and low closing sales prices for our common stock, and such closing sales price as a percentage (premium and discount) to our net asset value per share. The closing market prices reported below have been adjusted to give retroactive effect to material changes resulting from stock dividends. The reported closing market price of our common stock on March 15, 2023 was $3.01 per share, which represented an approximately 59.3% discount to our net asset value of $7.39 per share as of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High Close Price</w:t>
            </w: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Low Close Price</w:t>
            </w:r>
          </w:p>
        </w:tc>
      </w:tr>
      <w:tr>
        <w:trPr>
          <w:trHeight w:val="259"/>
        </w:trPr>
        <w:tc>
          <w:tcPr>
            <w:tcW w:w="4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Price Range</w:t>
            </w:r>
          </w:p>
        </w:tc>
        <w:tc>
          <w:tcPr>
            <w:tcW w:w="120" w:type="dxa"/>
            <w:vAlign w:val="bottom"/>
          </w:tcPr>
          <w:p>
            <w:pPr>
              <w:spacing w:after="0"/>
              <w:rPr>
                <w:sz w:val="22"/>
                <w:szCs w:val="22"/>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a</w:t>
            </w:r>
          </w:p>
        </w:tc>
        <w:tc>
          <w:tcPr>
            <w:tcW w:w="100" w:type="dxa"/>
            <w:vAlign w:val="bottom"/>
          </w:tcPr>
          <w:p>
            <w:pPr>
              <w:spacing w:after="0"/>
              <w:rPr>
                <w:sz w:val="22"/>
                <w:szCs w:val="22"/>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xml:space="preserve">as </w:t>
            </w:r>
            <w:r>
              <w:rPr>
                <w:rFonts w:ascii="Times New Roman" w:cs="Times New Roman" w:eastAsia="Times New Roman" w:hAnsi="Times New Roman"/>
                <w:sz w:val="18"/>
                <w:szCs w:val="18"/>
                <w:color w:val="auto"/>
              </w:rPr>
              <w:t>a</w:t>
            </w:r>
          </w:p>
        </w:tc>
      </w:tr>
      <w:tr>
        <w:trPr>
          <w:trHeight w:val="184"/>
        </w:trPr>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3"/>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rPr>
              <w:t>Premium/(Discount)</w:t>
            </w:r>
          </w:p>
        </w:tc>
        <w:tc>
          <w:tcPr>
            <w:tcW w:w="186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Premium/(Discount)</w:t>
            </w:r>
          </w:p>
        </w:tc>
      </w:tr>
      <w:tr>
        <w:trPr>
          <w:trHeight w:val="282"/>
        </w:trPr>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87"/>
              </w:rPr>
              <w:t>NAV</w:t>
            </w:r>
            <w:r>
              <w:rPr>
                <w:rFonts w:ascii="Times New Roman" w:cs="Times New Roman" w:eastAsia="Times New Roman" w:hAnsi="Times New Roman"/>
                <w:sz w:val="29"/>
                <w:szCs w:val="29"/>
                <w:b w:val="1"/>
                <w:bCs w:val="1"/>
                <w:color w:val="auto"/>
                <w:w w:val="87"/>
                <w:vertAlign w:val="superscript"/>
              </w:rPr>
              <w:t>(1)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6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Low</w:t>
            </w:r>
          </w:p>
        </w:tc>
        <w:tc>
          <w:tcPr>
            <w:tcW w:w="120" w:type="dxa"/>
            <w:vAlign w:val="bottom"/>
          </w:tcPr>
          <w:p>
            <w:pPr>
              <w:spacing w:after="0"/>
              <w:rPr>
                <w:sz w:val="24"/>
                <w:szCs w:val="24"/>
                <w:color w:val="auto"/>
              </w:rPr>
            </w:pPr>
          </w:p>
        </w:tc>
        <w:tc>
          <w:tcPr>
            <w:tcW w:w="186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1"/>
              </w:rPr>
              <w:t>to NAV</w:t>
            </w:r>
            <w:r>
              <w:rPr>
                <w:rFonts w:ascii="Times New Roman" w:cs="Times New Roman" w:eastAsia="Times New Roman" w:hAnsi="Times New Roman"/>
                <w:sz w:val="29"/>
                <w:szCs w:val="29"/>
                <w:b w:val="1"/>
                <w:bCs w:val="1"/>
                <w:color w:val="auto"/>
                <w:w w:val="91"/>
                <w:vertAlign w:val="superscript"/>
              </w:rPr>
              <w:t>(2)</w:t>
            </w:r>
          </w:p>
        </w:tc>
        <w:tc>
          <w:tcPr>
            <w:tcW w:w="100" w:type="dxa"/>
            <w:vAlign w:val="bottom"/>
          </w:tcPr>
          <w:p>
            <w:pPr>
              <w:spacing w:after="0"/>
              <w:rPr>
                <w:sz w:val="24"/>
                <w:szCs w:val="24"/>
                <w:color w:val="auto"/>
              </w:rPr>
            </w:pPr>
          </w:p>
        </w:tc>
        <w:tc>
          <w:tcPr>
            <w:tcW w:w="176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1"/>
              </w:rPr>
              <w:t>to NAV</w:t>
            </w:r>
            <w:r>
              <w:rPr>
                <w:rFonts w:ascii="Times New Roman" w:cs="Times New Roman" w:eastAsia="Times New Roman" w:hAnsi="Times New Roman"/>
                <w:sz w:val="29"/>
                <w:szCs w:val="29"/>
                <w:b w:val="1"/>
                <w:bCs w:val="1"/>
                <w:color w:val="auto"/>
                <w:w w:val="91"/>
                <w:vertAlign w:val="superscript"/>
              </w:rPr>
              <w:t>(2)</w:t>
            </w: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1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1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8.27</w:t>
            </w:r>
          </w:p>
        </w:tc>
        <w:tc>
          <w:tcPr>
            <w:tcW w:w="1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w:t>
            </w: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11.41</w:t>
            </w:r>
          </w:p>
        </w:tc>
        <w:tc>
          <w:tcPr>
            <w:tcW w:w="1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12.19</w:t>
            </w:r>
          </w:p>
        </w:tc>
        <w:tc>
          <w:tcPr>
            <w:tcW w:w="1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9.9</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13.07</w:t>
            </w:r>
          </w:p>
        </w:tc>
        <w:tc>
          <w:tcPr>
            <w:tcW w:w="1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12.33</w:t>
            </w:r>
          </w:p>
        </w:tc>
        <w:tc>
          <w:tcPr>
            <w:tcW w:w="1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(14.3)</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8.16</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w:t>
            </w:r>
          </w:p>
        </w:tc>
        <w:tc>
          <w:tcPr>
            <w:tcW w:w="1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w:t>
            </w: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1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1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w:t>
            </w: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close prices. The NAV per share figures shown are based on outstanding shares at the end of each period.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close sales price divided by the NAV and subtracting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15, 2023, there were 6 holders of record of our common stock (including Cede &amp; 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expect to continue to operate in a manner so as to qualify for the tax treatment applicable to RICs. To maintain RIC tax treatment, we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ectPr>
          <w:pgSz w:w="11900" w:h="16838" w:orient="portrait"/>
          <w:cols w:equalWidth="0" w:num="1">
            <w:col w:w="11240"/>
          </w:cols>
          <w:pgMar w:left="320" w:top="229" w:right="33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2022. The table is divided by fiscal year according to record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 per Share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4, 2015</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16, 2015</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2016</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August 16, 2016</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August 24, 2016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5, 2019</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December 2, 2019</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12, 2019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2019</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2019</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January 15, 2020</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July 29, 2020</w:t>
            </w:r>
            <w:r>
              <w:rPr>
                <w:rFonts w:ascii="Times New Roman" w:cs="Times New Roman" w:eastAsia="Times New Roman" w:hAnsi="Times New Roman"/>
                <w:sz w:val="29"/>
                <w:szCs w:val="29"/>
                <w:color w:val="auto"/>
                <w:vertAlign w:val="superscript"/>
              </w:rPr>
              <w:t>(5)</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11, 2020</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August 25, 2020</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September 28, 2020</w:t>
            </w:r>
            <w:r>
              <w:rPr>
                <w:rFonts w:ascii="Times New Roman" w:cs="Times New Roman" w:eastAsia="Times New Roman" w:hAnsi="Times New Roman"/>
                <w:sz w:val="29"/>
                <w:szCs w:val="29"/>
                <w:color w:val="auto"/>
                <w:vertAlign w:val="superscript"/>
              </w:rPr>
              <w:t>(6)</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5, 2020</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October 20, 2020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October 28, 2020</w:t>
            </w:r>
            <w:r>
              <w:rPr>
                <w:rFonts w:ascii="Times New Roman" w:cs="Times New Roman" w:eastAsia="Times New Roman" w:hAnsi="Times New Roman"/>
                <w:sz w:val="29"/>
                <w:szCs w:val="29"/>
                <w:color w:val="auto"/>
                <w:vertAlign w:val="superscript"/>
              </w:rPr>
              <w:t>(7)</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November 10, 2020</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November 30, 2020</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16, 2020</w:t>
            </w:r>
            <w:r>
              <w:rPr>
                <w:rFonts w:ascii="Times New Roman" w:cs="Times New Roman" w:eastAsia="Times New Roman" w:hAnsi="Times New Roman"/>
                <w:sz w:val="29"/>
                <w:szCs w:val="29"/>
                <w:color w:val="auto"/>
                <w:vertAlign w:val="superscript"/>
              </w:rPr>
              <w:t>(8)</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30, 2020</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January 15, 2021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January 26, 2021</w:t>
            </w:r>
            <w:r>
              <w:rPr>
                <w:rFonts w:ascii="Times New Roman" w:cs="Times New Roman" w:eastAsia="Times New Roman" w:hAnsi="Times New Roman"/>
                <w:sz w:val="29"/>
                <w:szCs w:val="29"/>
                <w:color w:val="auto"/>
                <w:vertAlign w:val="superscript"/>
              </w:rPr>
              <w:t>(9)</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February 5, 2021</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March 8, 2021</w:t>
            </w:r>
            <w:r>
              <w:rPr>
                <w:rFonts w:ascii="Times New Roman" w:cs="Times New Roman" w:eastAsia="Times New Roman" w:hAnsi="Times New Roman"/>
                <w:sz w:val="29"/>
                <w:szCs w:val="29"/>
                <w:color w:val="auto"/>
                <w:vertAlign w:val="superscript"/>
              </w:rPr>
              <w:t>(10)</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30, 2021</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April 15, 2021</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6"/>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May 4, 2021</w:t>
            </w:r>
            <w:r>
              <w:rPr>
                <w:rFonts w:ascii="Times New Roman" w:cs="Times New Roman" w:eastAsia="Times New Roman" w:hAnsi="Times New Roman"/>
                <w:sz w:val="29"/>
                <w:szCs w:val="29"/>
                <w:color w:val="auto"/>
                <w:vertAlign w:val="superscript"/>
              </w:rPr>
              <w:t>(11)</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May 18, 2021</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June 30, 2021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August 3, 2021</w:t>
            </w:r>
            <w:r>
              <w:rPr>
                <w:rFonts w:ascii="Times New Roman" w:cs="Times New Roman" w:eastAsia="Times New Roman" w:hAnsi="Times New Roman"/>
                <w:sz w:val="29"/>
                <w:szCs w:val="29"/>
                <w:color w:val="auto"/>
                <w:vertAlign w:val="superscript"/>
              </w:rPr>
              <w:t>(12)</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August 18, 2021</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57"/>
        </w:trPr>
        <w:tc>
          <w:tcPr>
            <w:tcW w:w="4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November 2, 2021</w:t>
            </w:r>
            <w:r>
              <w:rPr>
                <w:rFonts w:ascii="Times New Roman" w:cs="Times New Roman" w:eastAsia="Times New Roman" w:hAnsi="Times New Roman"/>
                <w:sz w:val="29"/>
                <w:szCs w:val="29"/>
                <w:color w:val="auto"/>
                <w:vertAlign w:val="superscript"/>
              </w:rPr>
              <w:t>(13)</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17, 2021</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30, 2021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47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December 20, 2021</w:t>
            </w:r>
            <w:r>
              <w:rPr>
                <w:rFonts w:ascii="Times New Roman" w:cs="Times New Roman" w:eastAsia="Times New Roman" w:hAnsi="Times New Roman"/>
                <w:sz w:val="29"/>
                <w:szCs w:val="29"/>
                <w:color w:val="auto"/>
                <w:vertAlign w:val="superscript"/>
              </w:rPr>
              <w:t>(14)</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January 14, 2022</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0"/>
        </w:trPr>
        <w:tc>
          <w:tcPr>
            <w:tcW w:w="474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March 8, 2022</w:t>
            </w:r>
            <w:r>
              <w:rPr>
                <w:rFonts w:ascii="Times New Roman" w:cs="Times New Roman" w:eastAsia="Times New Roman" w:hAnsi="Times New Roman"/>
                <w:sz w:val="29"/>
                <w:szCs w:val="29"/>
                <w:color w:val="auto"/>
                <w:vertAlign w:val="superscript"/>
              </w:rPr>
              <w:t>(15)</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25, 2022</w:t>
            </w:r>
          </w:p>
        </w:tc>
        <w:tc>
          <w:tcPr>
            <w:tcW w:w="2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April 15, 2022</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4"/>
                <w:szCs w:val="24"/>
                <w:color w:val="auto"/>
              </w:rPr>
            </w:pPr>
          </w:p>
        </w:tc>
      </w:tr>
      <w:tr>
        <w:trPr>
          <w:trHeight w:val="217"/>
        </w:trPr>
        <w:tc>
          <w:tcPr>
            <w:tcW w:w="47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jc w:val="both"/>
        <w:ind w:left="340" w:hanging="332"/>
        <w:spacing w:after="0" w:line="253"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5"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distribution of $887,240 on August 24, 2016, $820,753 represented a distribution from realized gains, and $66,487 represented a return of capital.</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$3,512,849 distribution paid on December 12, 2019 represented a distribution from realized gains. None of the distribution represented a return of capital.</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$2,107,709 distribution paid on January 15, 2020 represented a distribution from realized gains. None of the distribution represented a return of capital.</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$2,516,452 distribution paid on August 25, 2020 represented a distribution from realized gains. None of the distribution represented a return of capital.</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$5,071,326 distribution paid on October 20, 2020 represented a distribution from realized gains. None of the distribution represented a return of capital.</w:t>
      </w:r>
    </w:p>
    <w:p>
      <w:pPr>
        <w:ind w:left="340" w:right="20" w:hanging="332"/>
        <w:spacing w:after="0" w:line="26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$4,978,504 distribution paid on November 30, 2020 represented a distribution from realized gains. None of the distribution represented a return of capital.</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332"/>
        <w:spacing w:after="0" w:line="261"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$4,381,084 distribution paid on January 15, 2021 represented a distribution from realized gains. None of the distribution represented a return of capital.</w:t>
      </w:r>
    </w:p>
    <w:p>
      <w:pPr>
        <w:ind w:left="34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$4,981,131 distribution paid on February 19, 2021 represented a distribution from realized gains. None of the distribution represented a return of capital.</w:t>
      </w:r>
    </w:p>
    <w:p>
      <w:pPr>
        <w:ind w:left="34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$6,051,304 distribution paid on April 15, 2021 represented a distribution from realized gains. None of the distribution represented a return of capital.</w:t>
      </w:r>
    </w:p>
    <w:p>
      <w:pPr>
        <w:jc w:val="both"/>
        <w:ind w:left="34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$23,338,915 distribution paid on January 14, 2022 represented a distribution from realized gains. None of the distribution represented a return of capital.</w:t>
      </w:r>
    </w:p>
    <w:p>
      <w:pPr>
        <w:ind w:left="340" w:hanging="332"/>
        <w:spacing w:after="0" w:line="26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$3,441,824 distribution paid on April 15, 2022 represented a distribution from realized gains. None of the distribution represented a return of capital.</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9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consolidated financial statements as of December 31, 2022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2022. The graph assumes that, on December 31, 2017, a person invested $100.00 in our common stock, at the closing price of our common stock on December 31, 2017,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43575" cy="2820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357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12/31/17</w:t>
            </w:r>
          </w:p>
        </w:tc>
        <w:tc>
          <w:tcPr>
            <w:tcW w:w="1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12/31/19</w:t>
            </w:r>
          </w:p>
        </w:tc>
        <w:tc>
          <w:tcPr>
            <w:tcW w:w="1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12/31/20</w:t>
            </w:r>
          </w:p>
        </w:tc>
        <w:tc>
          <w:tcPr>
            <w:tcW w:w="300" w:type="dxa"/>
            <w:vAlign w:val="bottom"/>
          </w:tcPr>
          <w:p>
            <w:pPr>
              <w:spacing w:after="0"/>
              <w:rPr>
                <w:sz w:val="21"/>
                <w:szCs w:val="21"/>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12/31/21</w:t>
            </w:r>
          </w:p>
        </w:tc>
        <w:tc>
          <w:tcPr>
            <w:tcW w:w="2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Pr>
          <w:p>
            <w:pPr>
              <w:spacing w:after="0"/>
              <w:rPr>
                <w:sz w:val="21"/>
                <w:szCs w:val="21"/>
                <w:color w:val="auto"/>
              </w:rPr>
            </w:pPr>
          </w:p>
        </w:tc>
      </w:tr>
      <w:tr>
        <w:trPr>
          <w:trHeight w:val="216"/>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SSSS</w:t>
            </w:r>
          </w:p>
        </w:tc>
        <w:tc>
          <w:tcPr>
            <w:tcW w:w="1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95.78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272.97</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93.76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120.84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140.49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143.61</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Stock Index</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96.12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129.97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186.69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226.63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151.61</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graph and other information furnished under this Part II, Item 5 of this annual report on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We did not sell any equity securities during the period covered in this report that were not registered under the Securities Act of 1933,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9"/>
          <w:szCs w:val="29"/>
          <w:b w:val="1"/>
          <w:bCs w:val="1"/>
          <w:color w:val="auto"/>
          <w:vertAlign w:val="superscript"/>
        </w:rPr>
        <w:t>(1)</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relating to the Company’s purchases of its common stock during the year ended December 31,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60" w:type="dxa"/>
            <w:vAlign w:val="bottom"/>
          </w:tcPr>
          <w:p>
            <w:pPr>
              <w:spacing w:after="0"/>
              <w:rPr>
                <w:sz w:val="16"/>
                <w:szCs w:val="16"/>
                <w:color w:val="auto"/>
              </w:rPr>
            </w:pPr>
          </w:p>
        </w:tc>
        <w:tc>
          <w:tcPr>
            <w:tcW w:w="156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 the Share</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Repurchase</w:t>
            </w:r>
          </w:p>
        </w:tc>
        <w:tc>
          <w:tcPr>
            <w:tcW w:w="0" w:type="dxa"/>
            <w:vAlign w:val="bottom"/>
          </w:tcPr>
          <w:p>
            <w:pPr>
              <w:spacing w:after="0"/>
              <w:rPr>
                <w:sz w:val="1"/>
                <w:szCs w:val="1"/>
                <w:color w:val="auto"/>
              </w:rPr>
            </w:pPr>
          </w:p>
        </w:tc>
      </w:tr>
      <w:tr>
        <w:trPr>
          <w:trHeight w:val="277"/>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2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Purchased</w:t>
            </w:r>
            <w:r>
              <w:rPr>
                <w:rFonts w:ascii="Times New Roman" w:cs="Times New Roman" w:eastAsia="Times New Roman" w:hAnsi="Times New Roman"/>
                <w:sz w:val="29"/>
                <w:szCs w:val="29"/>
                <w:b w:val="1"/>
                <w:bCs w:val="1"/>
                <w:color w:val="auto"/>
                <w:w w:val="94"/>
                <w:vertAlign w:val="superscript"/>
              </w:rPr>
              <w:t>(2)</w:t>
            </w:r>
          </w:p>
        </w:tc>
        <w:tc>
          <w:tcPr>
            <w:tcW w:w="220" w:type="dxa"/>
            <w:vAlign w:val="bottom"/>
          </w:tcPr>
          <w:p>
            <w:pPr>
              <w:spacing w:after="0"/>
              <w:rPr>
                <w:sz w:val="24"/>
                <w:szCs w:val="24"/>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through January 31, 2022</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9,617,312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through February 28, 2022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9,617,312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through March 31, 2022</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153,517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8.86</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153,517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23,257,705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through April 30, 2022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431,134</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19,562,554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through May 31, 2022</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8.09</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17,540,619</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through June 30, 2022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174,025</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through July 31, 2022</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through August 31, 2022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through September 30, 2022</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through October 31, 2022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through November 30, 2022</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4.26</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37"/>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through December 31, 2022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92,508</w:t>
            </w: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16,364,771</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3,151,184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3,008,676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8, 2022, the Company commenced a modified “Dutch Auction” tender offer (the “Modified Dutch Auction Tender Offer”) to purchase up to 2,000,000 shares of its common stock from it’s stockholders, which expired on September 2, 2022. In accordance with the terms of the Modified Dutch Auction Tender Offer, the Company selected the lowest price per share of not less than $6.00 per share and not greater than $7.00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Modified Dutch Auction Tender Offer, the Company repurchased 2,000,000 shares, representing 6.6% of its then outstanding shares, on or about September 12, 2022 at a price of $6.60 per share. The Company used available cash to fund the purchases of its shares of common stock in the Modified Dutch Auction Tender Offer and to pay for all related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jc w:val="both"/>
        <w:ind w:left="340" w:hanging="332"/>
        <w:spacing w:after="0" w:line="255"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w:t>
      </w:r>
    </w:p>
    <w:p>
      <w:pPr>
        <w:spacing w:after="0" w:line="2" w:lineRule="exact"/>
        <w:rPr>
          <w:rFonts w:ascii="Times New Roman" w:cs="Times New Roman" w:eastAsia="Times New Roman" w:hAnsi="Times New Roman"/>
          <w:sz w:val="18"/>
          <w:szCs w:val="18"/>
          <w:color w:val="auto"/>
        </w:rPr>
      </w:pPr>
    </w:p>
    <w:p>
      <w:pPr>
        <w:jc w:val="both"/>
        <w:ind w:left="340" w:hanging="8"/>
        <w:spacing w:after="0" w:line="250" w:lineRule="auto"/>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w:t>
      </w:r>
    </w:p>
    <w:p>
      <w:pPr>
        <w:spacing w:after="0" w:line="3" w:lineRule="exact"/>
        <w:rPr>
          <w:rFonts w:ascii="Times New Roman" w:cs="Times New Roman" w:eastAsia="Times New Roman" w:hAnsi="Times New Roman"/>
          <w:sz w:val="18"/>
          <w:szCs w:val="18"/>
          <w:color w:val="auto"/>
        </w:rPr>
      </w:pPr>
    </w:p>
    <w:p>
      <w:pPr>
        <w:jc w:val="both"/>
        <w:ind w:left="340" w:hanging="8"/>
        <w:spacing w:after="0" w:line="265" w:lineRule="auto"/>
        <w:tabs>
          <w:tab w:leader="none" w:pos="573"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w:t>
      </w:r>
    </w:p>
    <w:p>
      <w:pPr>
        <w:jc w:val="both"/>
        <w:ind w:left="340" w:hanging="8"/>
        <w:spacing w:after="0" w:line="250" w:lineRule="auto"/>
        <w:tabs>
          <w:tab w:leader="none" w:pos="6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$55.0 million in aggregate amount of our common stock. On October 19, 2022, the Company’s Board of Directors approved an extension of the Share Repurchase Program until the earlier of (i) October 31, 2023 or (ii) the repurchase of $55.0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year ended December 31, 2022, we repurchased 1,008,676 shares, respectively, of our common stock under the Share Repurchase Program. As of December 31, 2022, the dollar value of shares that remained available to be purchased by the Company under the Share Repurchase Program was approximately $16.4 million.</w:t>
      </w:r>
    </w:p>
    <w:p>
      <w:pPr>
        <w:spacing w:after="0" w:line="2"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our common stock made on the open market by or on behalf of any “affiliated purchaser,” as defined in Exchange Act Rule 10b-18(a)(3), of the Company.</w:t>
      </w:r>
    </w:p>
    <w:p>
      <w:pPr>
        <w:sectPr>
          <w:pgSz w:w="11900" w:h="16838" w:orient="portrait"/>
          <w:cols w:equalWidth="0" w:num="1">
            <w:col w:w="11240"/>
          </w:cols>
          <w:pgMar w:left="320" w:top="229"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the last ten fiscal years. The report of our independent registered public accounting firm, Marcum LLP, on the senior securities table, as of December 31, 2022, 2021 and 2020, is attached as an exhibit to this annual report on Form 10-K.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Total Amount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Exclusive of</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00" w:type="dxa"/>
            <w:vAlign w:val="bottom"/>
          </w:tcPr>
          <w:p>
            <w:pPr>
              <w:spacing w:after="0"/>
              <w:rPr>
                <w:sz w:val="19"/>
                <w:szCs w:val="19"/>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Asset Coverage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Preference Per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 Market</w:t>
            </w:r>
          </w:p>
        </w:tc>
      </w:tr>
      <w:tr>
        <w:trPr>
          <w:trHeight w:val="277"/>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Class and Year</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500"/>
              <w:spacing w:after="0" w:line="270" w:lineRule="exact"/>
              <w:rPr>
                <w:sz w:val="20"/>
                <w:szCs w:val="20"/>
                <w:color w:val="auto"/>
              </w:rPr>
            </w:pPr>
            <w:r>
              <w:rPr>
                <w:rFonts w:ascii="Times New Roman" w:cs="Times New Roman" w:eastAsia="Times New Roman" w:hAnsi="Times New Roman"/>
                <w:sz w:val="18"/>
                <w:szCs w:val="18"/>
                <w:b w:val="1"/>
                <w:bCs w:val="1"/>
                <w:color w:val="auto"/>
                <w:w w:val="94"/>
              </w:rPr>
              <w:t>Securities</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4"/>
                <w:szCs w:val="24"/>
                <w:color w:val="auto"/>
              </w:rPr>
            </w:pPr>
          </w:p>
        </w:tc>
        <w:tc>
          <w:tcPr>
            <w:tcW w:w="1720" w:type="dxa"/>
            <w:vAlign w:val="bottom"/>
            <w:gridSpan w:val="2"/>
          </w:tcPr>
          <w:p>
            <w:pPr>
              <w:jc w:val="right"/>
              <w:ind w:right="4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Ratio Per Unit</w:t>
            </w:r>
            <w:r>
              <w:rPr>
                <w:rFonts w:ascii="Times New Roman" w:cs="Times New Roman" w:eastAsia="Times New Roman" w:hAnsi="Times New Roman"/>
                <w:sz w:val="29"/>
                <w:szCs w:val="29"/>
                <w:b w:val="1"/>
                <w:bCs w:val="1"/>
                <w:color w:val="auto"/>
                <w:w w:val="95"/>
                <w:vertAlign w:val="superscript"/>
              </w:rPr>
              <w:t>(2)</w:t>
            </w:r>
          </w:p>
        </w:tc>
        <w:tc>
          <w:tcPr>
            <w:tcW w:w="1600" w:type="dxa"/>
            <w:vAlign w:val="bottom"/>
            <w:gridSpan w:val="2"/>
          </w:tcPr>
          <w:p>
            <w:pPr>
              <w:jc w:val="center"/>
              <w:ind w:right="160"/>
              <w:spacing w:after="0" w:line="270" w:lineRule="exact"/>
              <w:rPr>
                <w:sz w:val="20"/>
                <w:szCs w:val="20"/>
                <w:color w:val="auto"/>
              </w:rPr>
            </w:pPr>
            <w:r>
              <w:rPr>
                <w:rFonts w:ascii="Times New Roman" w:cs="Times New Roman" w:eastAsia="Times New Roman" w:hAnsi="Times New Roman"/>
                <w:sz w:val="18"/>
                <w:szCs w:val="18"/>
                <w:b w:val="1"/>
                <w:bCs w:val="1"/>
                <w:color w:val="auto"/>
                <w:w w:val="91"/>
              </w:rPr>
              <w:t>Unit</w:t>
            </w:r>
            <w:r>
              <w:rPr>
                <w:rFonts w:ascii="Times New Roman" w:cs="Times New Roman" w:eastAsia="Times New Roman" w:hAnsi="Times New Roman"/>
                <w:sz w:val="29"/>
                <w:szCs w:val="29"/>
                <w:b w:val="1"/>
                <w:bCs w:val="1"/>
                <w:color w:val="auto"/>
                <w:w w:val="91"/>
                <w:vertAlign w:val="superscript"/>
              </w:rPr>
              <w:t>(3)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Per Unit</w:t>
            </w:r>
          </w:p>
        </w:tc>
      </w:tr>
      <w:tr>
        <w:trPr>
          <w:trHeight w:val="196"/>
        </w:trPr>
        <w:tc>
          <w:tcPr>
            <w:tcW w:w="406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00%</w:t>
            </w:r>
            <w:r>
              <w:rPr>
                <w:rFonts w:ascii="Times New Roman" w:cs="Times New Roman" w:eastAsia="Times New Roman" w:hAnsi="Times New Roman"/>
                <w:sz w:val="18"/>
                <w:szCs w:val="18"/>
                <w:color w:val="auto"/>
              </w:rPr>
              <w:t xml:space="preserve"> Notes due 2026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1640" w:type="dxa"/>
            <w:vAlign w:val="bottom"/>
            <w:tcBorders>
              <w:top w:val="single" w:sz="8" w:color="auto"/>
            </w:tcBorders>
            <w:gridSpan w:val="2"/>
          </w:tcPr>
          <w:p>
            <w:pPr>
              <w:spacing w:after="0" w:line="256" w:lineRule="exact"/>
              <w:rPr>
                <w:sz w:val="20"/>
                <w:szCs w:val="20"/>
                <w:color w:val="auto"/>
              </w:rPr>
            </w:pPr>
            <w:r>
              <w:rPr>
                <w:rFonts w:ascii="Times New Roman" w:cs="Times New Roman" w:eastAsia="Times New Roman" w:hAnsi="Times New Roman"/>
                <w:sz w:val="18"/>
                <w:szCs w:val="18"/>
                <w:color w:val="auto"/>
              </w:rPr>
              <w:t>Fiscal 2022</w:t>
            </w:r>
            <w:r>
              <w:rPr>
                <w:rFonts w:ascii="Times New Roman" w:cs="Times New Roman" w:eastAsia="Times New Roman" w:hAnsi="Times New Roman"/>
                <w:sz w:val="29"/>
                <w:szCs w:val="29"/>
                <w:color w:val="auto"/>
                <w:vertAlign w:val="superscript"/>
              </w:rPr>
              <w:t>(4)</w:t>
            </w:r>
          </w:p>
        </w:tc>
        <w:tc>
          <w:tcPr>
            <w:tcW w:w="2420" w:type="dxa"/>
            <w:vAlign w:val="bottom"/>
            <w:tcBorders>
              <w:top w:val="single" w:sz="8" w:color="CCEEFF"/>
            </w:tcBorders>
            <w:gridSpan w:val="2"/>
          </w:tcPr>
          <w:p>
            <w:pPr>
              <w:spacing w:after="0"/>
              <w:rPr>
                <w:sz w:val="22"/>
                <w:szCs w:val="22"/>
                <w:color w:val="auto"/>
              </w:rPr>
            </w:pPr>
          </w:p>
        </w:tc>
        <w:tc>
          <w:tcPr>
            <w:tcW w:w="3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75,000,000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3,800</w:t>
            </w:r>
          </w:p>
        </w:tc>
        <w:tc>
          <w:tcPr>
            <w:tcW w:w="1600" w:type="dxa"/>
            <w:vAlign w:val="bottom"/>
            <w:tcBorders>
              <w:top w:val="single" w:sz="8" w:color="CCEEFF"/>
            </w:tcBorders>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r>
      <w:tr>
        <w:trPr>
          <w:trHeight w:val="256"/>
        </w:trPr>
        <w:tc>
          <w:tcPr>
            <w:tcW w:w="406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Fiscal 2021</w:t>
            </w:r>
            <w:r>
              <w:rPr>
                <w:rFonts w:ascii="Times New Roman" w:cs="Times New Roman" w:eastAsia="Times New Roman" w:hAnsi="Times New Roman"/>
                <w:sz w:val="29"/>
                <w:szCs w:val="29"/>
                <w:color w:val="auto"/>
                <w:vertAlign w:val="superscript"/>
              </w:rPr>
              <w:t>(4)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75,000,000</w:t>
            </w: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5,865</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25.52</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8,892</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5,998</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5,884</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3,968</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3,784</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4,884</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4,286</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5,173</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175"/>
        </w:trPr>
        <w:tc>
          <w:tcPr>
            <w:tcW w:w="40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Convertible Senior Notes due 2023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3,800</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406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Fiscal 2021</w:t>
            </w:r>
            <w:r>
              <w:rPr>
                <w:rFonts w:ascii="Times New Roman" w:cs="Times New Roman" w:eastAsia="Times New Roman" w:hAnsi="Times New Roman"/>
                <w:sz w:val="29"/>
                <w:szCs w:val="29"/>
                <w:color w:val="auto"/>
                <w:vertAlign w:val="superscript"/>
              </w:rPr>
              <w:t>(5)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5,865</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406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Fiscal 2020</w:t>
            </w:r>
            <w:r>
              <w:rPr>
                <w:rFonts w:ascii="Times New Roman" w:cs="Times New Roman" w:eastAsia="Times New Roman" w:hAnsi="Times New Roman"/>
                <w:sz w:val="29"/>
                <w:szCs w:val="29"/>
                <w:color w:val="auto"/>
                <w:vertAlign w:val="superscript"/>
              </w:rPr>
              <w:t>(5)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38,215,000</w:t>
            </w: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8,892</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5,998</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5,884</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3,968</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3,784</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4,884</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4,286</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5,173</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196"/>
        </w:trPr>
        <w:tc>
          <w:tcPr>
            <w:tcW w:w="306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5.</w:t>
            </w:r>
            <w:r>
              <w:rPr>
                <w:rFonts w:ascii="Times New Roman" w:cs="Times New Roman" w:eastAsia="Times New Roman" w:hAnsi="Times New Roman"/>
                <w:sz w:val="18"/>
                <w:szCs w:val="18"/>
                <w:u w:val="single" w:color="auto"/>
                <w:color w:val="auto"/>
                <w:w w:val="99"/>
              </w:rPr>
              <w:t>25%</w:t>
            </w:r>
            <w:r>
              <w:rPr>
                <w:rFonts w:ascii="Times New Roman" w:cs="Times New Roman" w:eastAsia="Times New Roman" w:hAnsi="Times New Roman"/>
                <w:sz w:val="18"/>
                <w:szCs w:val="18"/>
                <w:color w:val="auto"/>
                <w:w w:val="99"/>
              </w:rPr>
              <w:t xml:space="preserve"> Convertible Senior Notes due 2018</w:t>
            </w: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2022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3,800</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5,865</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8,892</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5,998</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06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Fiscal 2018</w:t>
            </w:r>
            <w:r>
              <w:rPr>
                <w:rFonts w:ascii="Times New Roman" w:cs="Times New Roman" w:eastAsia="Times New Roman" w:hAnsi="Times New Roman"/>
                <w:sz w:val="29"/>
                <w:szCs w:val="29"/>
                <w:color w:val="auto"/>
                <w:vertAlign w:val="superscript"/>
              </w:rPr>
              <w:t>(6)</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5,884</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3,968</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3,784</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4,884</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4,286</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5,173</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175"/>
        </w:trPr>
        <w:tc>
          <w:tcPr>
            <w:tcW w:w="40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3,800</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5,865</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8,892</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06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Fiscal 2019</w:t>
            </w:r>
            <w:r>
              <w:rPr>
                <w:rFonts w:ascii="Times New Roman" w:cs="Times New Roman" w:eastAsia="Times New Roman" w:hAnsi="Times New Roman"/>
                <w:sz w:val="29"/>
                <w:szCs w:val="29"/>
                <w:color w:val="auto"/>
                <w:vertAlign w:val="superscript"/>
              </w:rPr>
              <w:t>(7)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5,998</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06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Fiscal 2018</w:t>
            </w:r>
            <w:r>
              <w:rPr>
                <w:rFonts w:ascii="Times New Roman" w:cs="Times New Roman" w:eastAsia="Times New Roman" w:hAnsi="Times New Roman"/>
                <w:sz w:val="29"/>
                <w:szCs w:val="29"/>
                <w:color w:val="auto"/>
                <w:vertAlign w:val="superscript"/>
              </w:rPr>
              <w:t>(7)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5,884</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406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Fiscal 2017</w:t>
            </w:r>
            <w:r>
              <w:rPr>
                <w:rFonts w:ascii="Times New Roman" w:cs="Times New Roman" w:eastAsia="Times New Roman" w:hAnsi="Times New Roman"/>
                <w:sz w:val="29"/>
                <w:szCs w:val="29"/>
                <w:color w:val="auto"/>
                <w:vertAlign w:val="superscript"/>
              </w:rPr>
              <w:t>(7)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3,968</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06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Fiscal 2016</w:t>
            </w:r>
            <w:r>
              <w:rPr>
                <w:rFonts w:ascii="Times New Roman" w:cs="Times New Roman" w:eastAsia="Times New Roman" w:hAnsi="Times New Roman"/>
                <w:sz w:val="29"/>
                <w:szCs w:val="29"/>
                <w:color w:val="auto"/>
                <w:vertAlign w:val="superscript"/>
              </w:rPr>
              <w:t>(8)</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3,784</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06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Fiscal 2015</w:t>
            </w:r>
            <w:r>
              <w:rPr>
                <w:rFonts w:ascii="Times New Roman" w:cs="Times New Roman" w:eastAsia="Times New Roman" w:hAnsi="Times New Roman"/>
                <w:sz w:val="29"/>
                <w:szCs w:val="29"/>
                <w:color w:val="auto"/>
                <w:vertAlign w:val="superscript"/>
              </w:rPr>
              <w:t>(8)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4,884</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06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Fiscal 2014</w:t>
            </w:r>
            <w:r>
              <w:rPr>
                <w:rFonts w:ascii="Times New Roman" w:cs="Times New Roman" w:eastAsia="Times New Roman" w:hAnsi="Times New Roman"/>
                <w:sz w:val="29"/>
                <w:szCs w:val="29"/>
                <w:color w:val="auto"/>
                <w:vertAlign w:val="superscript"/>
              </w:rPr>
              <w:t>(8)</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4,286</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5,173</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amount of each class of senior securities outstanding at the end of the period presented, before deduction of discount and debt issuance costs.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for a class of senior securities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the voluntary liquidation of the issuer in preference to any security junior to it. The “—” in this column indicates that the SEC expressly does not require this information to be disclosed for the types of senior securities representing indebtedness issued by the Company as of the stated time periods.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6.00% Notes due 2026 were issued on December 17, 2021.</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the Company issued 174,888 shares of its common stock and cash for fractional shares upon the conversion of $1,785,000 in aggregate principal amount of the 4.75% Convertible Senior Notes due 2023. The 4.75% Convertible Senior Notes due 2023 were repaid in full with interest on March 29, 2021.</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5.25% Convertible Senior Notes due 2018 were repaid in full with interest on September 15, 2018.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under the $12.0 million senior secured revolving Credit Facility with Western Alliance Bank which matured on May 31, 2019.</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under the $18.0 million Credit Facility with SVB which matured on 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Annual Report on Form 10-K contains a reference to fees or expenses paid by “us” or “SuRo Capital,” or that “we” will pay fees or expenses, you will indirectly bear such fees or expenses as an investor in SuRo Capital Corp., however, your responsibility for such fees or expenses is limited to your investment in SuRo Capital Corp. The fee table and example below include all fees and expenses of our consolidated subsidiaries.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5"/>
        </w:trPr>
        <w:tc>
          <w:tcPr>
            <w:tcW w:w="8220" w:type="dxa"/>
            <w:vAlign w:val="bottom"/>
          </w:tcPr>
          <w:p>
            <w:pPr>
              <w:spacing w:after="0"/>
              <w:rPr>
                <w:sz w:val="20"/>
                <w:szCs w:val="20"/>
                <w:color w:val="auto"/>
              </w:rPr>
            </w:pPr>
            <w:r>
              <w:rPr>
                <w:rFonts w:ascii="Times New Roman" w:cs="Times New Roman" w:eastAsia="Times New Roman" w:hAnsi="Times New Roman"/>
                <w:sz w:val="1"/>
                <w:szCs w:val="1"/>
                <w:color w:val="auto"/>
              </w:rPr>
              <w:t>Sales load (as a percentage of offering price)</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
                <w:szCs w:val="1"/>
                <w:color w:val="auto"/>
              </w:rPr>
              <w:t>—%</w:t>
            </w:r>
          </w:p>
        </w:tc>
      </w:tr>
      <w:tr>
        <w:trPr>
          <w:trHeight w:val="197"/>
        </w:trPr>
        <w:tc>
          <w:tcPr>
            <w:tcW w:w="82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
        </w:trPr>
        <w:tc>
          <w:tcPr>
            <w:tcW w:w="822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Offering expenses (as a percentage of offering price)</w:t>
            </w:r>
          </w:p>
        </w:tc>
        <w:tc>
          <w:tcPr>
            <w:tcW w:w="1880" w:type="dxa"/>
            <w:vAlign w:val="bottom"/>
            <w:gridSpan w:val="3"/>
            <w:shd w:val="clear" w:color="auto" w:fill="CCEEFF"/>
          </w:tcPr>
          <w:p>
            <w:pPr>
              <w:jc w:val="right"/>
              <w:ind w:right="160"/>
              <w:spacing w:after="0" w:line="19" w:lineRule="exact"/>
              <w:rPr>
                <w:sz w:val="20"/>
                <w:szCs w:val="20"/>
                <w:color w:val="auto"/>
              </w:rPr>
            </w:pPr>
            <w:r>
              <w:rPr>
                <w:rFonts w:ascii="Times New Roman" w:cs="Times New Roman" w:eastAsia="Times New Roman" w:hAnsi="Times New Roman"/>
                <w:sz w:val="2"/>
                <w:szCs w:val="2"/>
                <w:color w:val="auto"/>
              </w:rPr>
              <w:t>—%</w:t>
            </w:r>
          </w:p>
        </w:tc>
      </w:tr>
      <w:tr>
        <w:trPr>
          <w:trHeight w:val="201"/>
        </w:trPr>
        <w:tc>
          <w:tcPr>
            <w:tcW w:w="8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3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p>
        </w:tc>
      </w:tr>
      <w:tr>
        <w:trPr>
          <w:trHeight w:val="15"/>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Total stockholder transaction expenses (as a percentage of offering price)</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6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201"/>
        </w:trPr>
        <w:tc>
          <w:tcPr>
            <w:tcW w:w="8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56"/>
        </w:trPr>
        <w:tc>
          <w:tcPr>
            <w:tcW w:w="82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Annual expenses (as a percentage of net assets attributable to common stock)</w:t>
            </w:r>
            <w:r>
              <w:rPr>
                <w:rFonts w:ascii="Times New Roman" w:cs="Times New Roman" w:eastAsia="Times New Roman" w:hAnsi="Times New Roman"/>
                <w:sz w:val="29"/>
                <w:szCs w:val="29"/>
                <w:b w:val="1"/>
                <w:bCs w:val="1"/>
                <w:color w:val="auto"/>
                <w:vertAlign w:val="superscript"/>
              </w:rPr>
              <w:t>(8)</w:t>
            </w:r>
            <w:r>
              <w:rPr>
                <w:rFonts w:ascii="Times New Roman" w:cs="Times New Roman" w:eastAsia="Times New Roman" w:hAnsi="Times New Roman"/>
                <w:sz w:val="18"/>
                <w:szCs w:val="18"/>
                <w:b w:val="1"/>
                <w:bCs w:val="1"/>
                <w:color w:val="auto"/>
              </w:rPr>
              <w:t>:</w:t>
            </w: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5"/>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Operating expenses</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
                <w:szCs w:val="1"/>
                <w:color w:val="auto"/>
              </w:rPr>
              <w:t>5.55%</w:t>
            </w:r>
          </w:p>
        </w:tc>
        <w:tc>
          <w:tcPr>
            <w:tcW w:w="140" w:type="dxa"/>
            <w:vAlign w:val="bottom"/>
            <w:shd w:val="clear" w:color="auto" w:fill="CCEEFF"/>
          </w:tcPr>
          <w:p>
            <w:pPr>
              <w:spacing w:after="0" w:line="20" w:lineRule="exact"/>
              <w:rPr>
                <w:sz w:val="1"/>
                <w:szCs w:val="1"/>
                <w:color w:val="auto"/>
              </w:rPr>
            </w:pPr>
          </w:p>
        </w:tc>
      </w:tr>
      <w:tr>
        <w:trPr>
          <w:trHeight w:val="197"/>
        </w:trPr>
        <w:tc>
          <w:tcPr>
            <w:tcW w:w="82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9"/>
        </w:trPr>
        <w:tc>
          <w:tcPr>
            <w:tcW w:w="822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Interest payments on borrowed funds</w:t>
            </w:r>
          </w:p>
        </w:tc>
        <w:tc>
          <w:tcPr>
            <w:tcW w:w="1740" w:type="dxa"/>
            <w:vAlign w:val="bottom"/>
            <w:gridSpan w:val="2"/>
          </w:tcPr>
          <w:p>
            <w:pPr>
              <w:jc w:val="right"/>
              <w:ind w:right="20"/>
              <w:spacing w:after="0" w:line="19" w:lineRule="exact"/>
              <w:rPr>
                <w:sz w:val="20"/>
                <w:szCs w:val="20"/>
                <w:color w:val="auto"/>
              </w:rPr>
            </w:pPr>
            <w:r>
              <w:rPr>
                <w:rFonts w:ascii="Times New Roman" w:cs="Times New Roman" w:eastAsia="Times New Roman" w:hAnsi="Times New Roman"/>
                <w:sz w:val="2"/>
                <w:szCs w:val="2"/>
                <w:color w:val="auto"/>
              </w:rPr>
              <w:t>2.34%</w:t>
            </w:r>
          </w:p>
        </w:tc>
        <w:tc>
          <w:tcPr>
            <w:tcW w:w="140" w:type="dxa"/>
            <w:vAlign w:val="bottom"/>
          </w:tcPr>
          <w:p>
            <w:pPr>
              <w:spacing w:after="0" w:line="20" w:lineRule="exact"/>
              <w:rPr>
                <w:sz w:val="1"/>
                <w:szCs w:val="1"/>
                <w:color w:val="auto"/>
              </w:rPr>
            </w:pPr>
          </w:p>
        </w:tc>
      </w:tr>
      <w:tr>
        <w:trPr>
          <w:trHeight w:val="197"/>
        </w:trPr>
        <w:tc>
          <w:tcPr>
            <w:tcW w:w="82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5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80" w:type="dxa"/>
            <w:vAlign w:val="bottom"/>
            <w:gridSpan w:val="3"/>
            <w:shd w:val="clear" w:color="auto" w:fill="CCEEFF"/>
          </w:tcPr>
          <w:p>
            <w:pPr>
              <w:jc w:val="right"/>
              <w:spacing w:after="0" w:line="233" w:lineRule="exact"/>
              <w:rPr>
                <w:sz w:val="20"/>
                <w:szCs w:val="20"/>
                <w:color w:val="auto"/>
              </w:rPr>
            </w:pPr>
            <w:r>
              <w:rPr>
                <w:rFonts w:ascii="Times New Roman" w:cs="Times New Roman" w:eastAsia="Times New Roman" w:hAnsi="Times New Roman"/>
                <w:sz w:val="17"/>
                <w:szCs w:val="17"/>
                <w:color w:val="auto"/>
              </w:rPr>
              <w:t>0.76%</w:t>
            </w:r>
            <w:r>
              <w:rPr>
                <w:rFonts w:ascii="Times New Roman" w:cs="Times New Roman" w:eastAsia="Times New Roman" w:hAnsi="Times New Roman"/>
                <w:sz w:val="27"/>
                <w:szCs w:val="27"/>
                <w:color w:val="auto"/>
                <w:vertAlign w:val="superscript"/>
              </w:rPr>
              <w:t>(7)</w:t>
            </w:r>
          </w:p>
        </w:tc>
      </w:tr>
      <w:tr>
        <w:trPr>
          <w:trHeight w:val="216"/>
        </w:trPr>
        <w:tc>
          <w:tcPr>
            <w:tcW w:w="8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annual expenses</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our securities are sold to or through underwriters, a corresponding prospectus or prospectus supplement will disclose the applicable sales load.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right="2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conduct an offering of our securities, a corresponding prospectus or prospectus supplement will disclose the estimated offering expenses. Our common stockholders will bear, directly or indirectly, the expenses of any offering of our securities, including debt securities.</w:t>
      </w: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distribution reinvestment plan (the “DRIP”), the plan administrator’s fees will be paid by us. There will be no brokerage charges or other charges to stockholders who participate in the plan except that, if a participant elects by his or its written or telephonic notice to the plan administrator in advance of termination to have the plan administrator sell part or all of his or its shares and remit the proceeds to the participant, the plan administrator is authorized to deduct a $15 transaction fee plus brokerage commission from the proceeds. The expenses of our DRIP are included in “Other Expenses.”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stockholder transaction expenses may include sales load and will be disclosed in a future prospectus or prospectus supplement, if any.</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this table represent estimated annual operating expenses based upon the actual annual operating expenses of SuRo Capital Corp. and its consolidated subsidiaries for the year ended December 31, 2022. We do not have an investment adviser and are internally managed by our executive officers under the supervision of our Board of Directors.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risks of leverage, which may be considered a speculative investment technique. The use of leverage magnifies the potential for gain and loss on amounts invested and, therefore, increases the risks associated with an investment in us. Interest payments on borrowed funds represents our estimated annual interest payments based on actual interest rate terms under our outstanding 6.00% Notes due 2026 as of December 31, 2022.</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which we calculate to equal approximately $1.6 million, are estimated based upon actual “Other expenses” for the year ended December 31, 2022.</w:t>
      </w:r>
    </w:p>
    <w:p>
      <w:pPr>
        <w:ind w:left="340" w:right="20" w:hanging="332"/>
        <w:spacing w:after="0" w:line="26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stock,” which we calculate to equal approximately $210.0 million, reflect our net assets for the year ended December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See footnote 6 above for additional information regarding certain assumptions regarding our level of leverage.</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184"/>
        </w:trPr>
        <w:tc>
          <w:tcPr>
            <w:tcW w:w="45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You would pay the following expenses on a $1,000</w:t>
            </w:r>
          </w:p>
        </w:tc>
        <w:tc>
          <w:tcPr>
            <w:tcW w:w="1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3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assuming a 5% annual return</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106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example and the expenses in the tables above should not be considered a representation of our future expenses, and actual expenses may be greater or less than those shown. While the example assumes, as required by the SEC, a 5.0% annual return, our performance will vary and may result in a return greater or less than 5.0%. In addition, while the example assumes reinvestment of all dividends at net asset value participants in our DRIP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“Market for Registrant’s Common Equity, Related Stockholder Matters and Issuer Purchases of Equity Securities - Distributions” for additional information regarding our DRIP.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involve risks and uncertainties, including, without limitation, statements as to:</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investment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inflation or an inflationary economic environment could adversely affect our portfolio companies’ operating results, causing us to suffer losses in our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annual report on Form 10-K. The following analysis of our financial condition and results of operations should be read in conjunction with our consolidated financial statements and the related notes thereto contained elsewhere in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 philosophy is based on a disciplined approach of identifying promising investments in high-growth, venture-backed companies across several key industry themes which may include, among others, social/mobile,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seek to create a low-turnover portfolio that includes investments in companies representing a broad range of investment themes.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and effective June 22, 2020, we changed our name to “SuRo Capital Corp.” from “Sutter Rock Capital Corp.”</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our Internalization, and we began operating as an internally-managed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this Form 10-K discusses our business and operations as an internally-managed BDC during the period covered by this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2022, of all of our portfolio investments, excluding U.S. Treasury bills, was $157,188,578.</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funded investments in an aggregate amount of $23,665,080 (not including capitalized transaction costs or investments in short-term U.S. Treasury investments) as shown in the following table:</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Gross Payments</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Shogun Enterprises, Inc. (d/b/a Hearth)</w:t>
            </w:r>
          </w:p>
        </w:tc>
        <w:tc>
          <w:tcPr>
            <w:tcW w:w="2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Convertible Note 0.5%, Due 4/18/2024</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5/2/2022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EDGE Markets, Inc.</w:t>
            </w:r>
          </w:p>
        </w:tc>
        <w:tc>
          <w:tcPr>
            <w:tcW w:w="3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Preferred shares, Series Seed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5/18/2022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Whoop, Inc.</w:t>
            </w:r>
          </w:p>
        </w:tc>
        <w:tc>
          <w:tcPr>
            <w:tcW w:w="34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6/30/2022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Xgroup Holdings Limited (d/b/a Xpoint)</w:t>
            </w:r>
          </w:p>
        </w:tc>
        <w:tc>
          <w:tcPr>
            <w:tcW w:w="3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Convertible Note 6%, Due 8/17/2023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8/17/2022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198"/>
        </w:trPr>
        <w:tc>
          <w:tcPr>
            <w:tcW w:w="3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Simple Agreement for Future Equity</w:t>
            </w: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34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(SAFE)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57"/>
        </w:trPr>
        <w:tc>
          <w:tcPr>
            <w:tcW w:w="3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Forge Global, Inc.</w:t>
            </w:r>
            <w:r>
              <w:rPr>
                <w:rFonts w:ascii="Times New Roman" w:cs="Times New Roman" w:eastAsia="Times New Roman" w:hAnsi="Times New Roman"/>
                <w:sz w:val="29"/>
                <w:szCs w:val="29"/>
                <w:color w:val="auto"/>
                <w:vertAlign w:val="superscript"/>
              </w:rPr>
              <w:t>(1)</w:t>
            </w:r>
          </w:p>
        </w:tc>
        <w:tc>
          <w:tcPr>
            <w:tcW w:w="3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shares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9/30/2022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915,076</w:t>
            </w:r>
          </w:p>
        </w:tc>
      </w:tr>
      <w:tr>
        <w:trPr>
          <w:trHeight w:val="198"/>
        </w:trPr>
        <w:tc>
          <w:tcPr>
            <w:tcW w:w="3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YouBet Technology, Inc. (d/b/a FanPower)</w:t>
            </w:r>
          </w:p>
        </w:tc>
        <w:tc>
          <w:tcPr>
            <w:tcW w:w="34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Series Seed-2</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249,999</w:t>
            </w:r>
          </w:p>
        </w:tc>
      </w:tr>
      <w:tr>
        <w:trPr>
          <w:trHeight w:val="237"/>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Locus Robotics Corp.</w:t>
            </w:r>
          </w:p>
        </w:tc>
        <w:tc>
          <w:tcPr>
            <w:tcW w:w="3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Preferred shares, Series F</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10,000,005</w:t>
            </w:r>
          </w:p>
        </w:tc>
      </w:tr>
      <w:tr>
        <w:trPr>
          <w:trHeight w:val="229"/>
        </w:trPr>
        <w:tc>
          <w:tcPr>
            <w:tcW w:w="34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23,665,080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effective August 5, 2022, SuRo Capital Corp.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we capitalized fees of $33,384.</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exited or received proceeds from investments in the amount of $9,063,919, net of transaction costs, and realized a net gain/(loss) on investments of $(5,905,453) (including adjustments to amounts held in escrow receivable) as shown in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Average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Realized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Share Price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41"/>
              <w:spacing w:after="0" w:line="202" w:lineRule="exact"/>
              <w:rPr>
                <w:sz w:val="20"/>
                <w:szCs w:val="20"/>
                <w:color w:val="auto"/>
              </w:rPr>
            </w:pPr>
            <w:r>
              <w:rPr>
                <w:rFonts w:ascii="Times New Roman" w:cs="Times New Roman" w:eastAsia="Times New Roman" w:hAnsi="Times New Roman"/>
                <w:sz w:val="18"/>
                <w:szCs w:val="18"/>
                <w:b w:val="1"/>
                <w:bCs w:val="1"/>
                <w:color w:val="auto"/>
                <w:w w:val="99"/>
              </w:rPr>
              <w:t>Gain/(Loss)</w:t>
            </w:r>
          </w:p>
        </w:tc>
        <w:tc>
          <w:tcPr>
            <w:tcW w:w="0" w:type="dxa"/>
            <w:vAlign w:val="bottom"/>
          </w:tcPr>
          <w:p>
            <w:pPr>
              <w:spacing w:after="0"/>
              <w:rPr>
                <w:sz w:val="1"/>
                <w:szCs w:val="1"/>
                <w:color w:val="auto"/>
              </w:rPr>
            </w:pPr>
          </w:p>
        </w:tc>
      </w:tr>
      <w:tr>
        <w:trPr>
          <w:trHeight w:val="24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center"/>
              <w:ind w:right="172"/>
              <w:spacing w:after="0"/>
              <w:rPr>
                <w:sz w:val="20"/>
                <w:szCs w:val="20"/>
                <w:color w:val="auto"/>
              </w:rPr>
            </w:pPr>
            <w:r>
              <w:rPr>
                <w:rFonts w:ascii="Times New Roman" w:cs="Times New Roman" w:eastAsia="Times New Roman" w:hAnsi="Times New Roman"/>
                <w:sz w:val="15"/>
                <w:szCs w:val="15"/>
                <w:b w:val="1"/>
                <w:bCs w:val="1"/>
                <w:color w:val="auto"/>
                <w:w w:val="91"/>
              </w:rPr>
              <w:t>(1)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w w:val="91"/>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7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NewLake Capital Partners, Inc. (f/k/a GreenAcreage Real Estate</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96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Corp.)</w:t>
            </w:r>
            <w:r>
              <w:rPr>
                <w:rFonts w:ascii="Times New Roman" w:cs="Times New Roman" w:eastAsia="Times New Roman" w:hAnsi="Times New Roman"/>
                <w:sz w:val="29"/>
                <w:szCs w:val="29"/>
                <w:color w:val="auto"/>
                <w:vertAlign w:val="superscript"/>
              </w:rPr>
              <w:t>(3)</w:t>
            </w: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Various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48,713</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1,144,774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170,103</w:t>
            </w: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Rover Group, Inc.</w:t>
            </w:r>
            <w:r>
              <w:rPr>
                <w:rFonts w:ascii="Times New Roman" w:cs="Times New Roman" w:eastAsia="Times New Roman" w:hAnsi="Times New Roman"/>
                <w:sz w:val="29"/>
                <w:szCs w:val="29"/>
                <w:color w:val="auto"/>
                <w:vertAlign w:val="superscript"/>
              </w:rPr>
              <w:t>(4)</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Various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838,381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4,131,112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1,624,993</w:t>
            </w:r>
          </w:p>
        </w:tc>
        <w:tc>
          <w:tcPr>
            <w:tcW w:w="0" w:type="dxa"/>
            <w:vAlign w:val="bottom"/>
          </w:tcPr>
          <w:p>
            <w:pPr>
              <w:spacing w:after="0"/>
              <w:rPr>
                <w:sz w:val="1"/>
                <w:szCs w:val="1"/>
                <w:color w:val="auto"/>
              </w:rPr>
            </w:pPr>
          </w:p>
        </w:tc>
      </w:tr>
      <w:tr>
        <w:trPr>
          <w:trHeight w:val="256"/>
        </w:trPr>
        <w:tc>
          <w:tcPr>
            <w:tcW w:w="4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Rent the Runway, Inc.</w:t>
            </w:r>
            <w:r>
              <w:rPr>
                <w:rFonts w:ascii="Times New Roman" w:cs="Times New Roman" w:eastAsia="Times New Roman" w:hAnsi="Times New Roman"/>
                <w:sz w:val="29"/>
                <w:szCs w:val="29"/>
                <w:color w:val="auto"/>
                <w:vertAlign w:val="superscript"/>
              </w:rPr>
              <w:t>(5)</w:t>
            </w: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Various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260,000</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925,289</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(3,025,364)</w:t>
            </w: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Residential Homes for Rent, LLC (d/b/a Second Avenue)</w:t>
            </w:r>
            <w:r>
              <w:rPr>
                <w:rFonts w:ascii="Times New Roman" w:cs="Times New Roman" w:eastAsia="Times New Roman" w:hAnsi="Times New Roman"/>
                <w:sz w:val="29"/>
                <w:szCs w:val="29"/>
                <w:color w:val="auto"/>
                <w:vertAlign w:val="superscript"/>
              </w:rPr>
              <w:t>(6)</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Various</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True Global Ventures 4 Plus Pte Ltd</w:t>
            </w:r>
            <w:r>
              <w:rPr>
                <w:rFonts w:ascii="Times New Roman" w:cs="Times New Roman" w:eastAsia="Times New Roman" w:hAnsi="Times New Roman"/>
                <w:sz w:val="29"/>
                <w:szCs w:val="29"/>
                <w:color w:val="auto"/>
                <w:vertAlign w:val="superscript"/>
              </w:rPr>
              <w:t>(7)</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5/31/2022</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874,470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160,965</w:t>
            </w: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Palantir Lending Trust SPV I</w:t>
            </w:r>
            <w:r>
              <w:rPr>
                <w:rFonts w:ascii="Times New Roman" w:cs="Times New Roman" w:eastAsia="Times New Roman" w:hAnsi="Times New Roman"/>
                <w:sz w:val="29"/>
                <w:szCs w:val="29"/>
                <w:color w:val="auto"/>
                <w:vertAlign w:val="superscript"/>
              </w:rPr>
              <w:t>(8)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7/14/2022</w:t>
            </w:r>
          </w:p>
        </w:tc>
        <w:tc>
          <w:tcPr>
            <w:tcW w:w="220" w:type="dxa"/>
            <w:vAlign w:val="bottom"/>
          </w:tcPr>
          <w:p>
            <w:pPr>
              <w:spacing w:after="0"/>
              <w:rPr>
                <w:sz w:val="22"/>
                <w:szCs w:val="22"/>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611,930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610,790</w:t>
            </w:r>
          </w:p>
        </w:tc>
        <w:tc>
          <w:tcPr>
            <w:tcW w:w="0" w:type="dxa"/>
            <w:vAlign w:val="bottom"/>
          </w:tcPr>
          <w:p>
            <w:pPr>
              <w:spacing w:after="0"/>
              <w:rPr>
                <w:sz w:val="1"/>
                <w:szCs w:val="1"/>
                <w:color w:val="auto"/>
              </w:rPr>
            </w:pPr>
          </w:p>
        </w:tc>
      </w:tr>
      <w:tr>
        <w:trPr>
          <w:trHeight w:val="257"/>
        </w:trPr>
        <w:tc>
          <w:tcPr>
            <w:tcW w:w="4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Enjoy Technology, Inc.</w:t>
            </w:r>
            <w:r>
              <w:rPr>
                <w:rFonts w:ascii="Times New Roman" w:cs="Times New Roman" w:eastAsia="Times New Roman" w:hAnsi="Times New Roman"/>
                <w:sz w:val="29"/>
                <w:szCs w:val="29"/>
                <w:color w:val="auto"/>
                <w:vertAlign w:val="superscript"/>
              </w:rPr>
              <w:t>(9)</w:t>
            </w: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Various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947,297</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246,134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(5,280,642)</w:t>
            </w:r>
          </w:p>
        </w:tc>
        <w:tc>
          <w:tcPr>
            <w:tcW w:w="0" w:type="dxa"/>
            <w:vAlign w:val="bottom"/>
          </w:tcPr>
          <w:p>
            <w:pPr>
              <w:spacing w:after="0"/>
              <w:rPr>
                <w:sz w:val="1"/>
                <w:szCs w:val="1"/>
                <w:color w:val="auto"/>
              </w:rPr>
            </w:pPr>
          </w:p>
        </w:tc>
      </w:tr>
      <w:tr>
        <w:trPr>
          <w:trHeight w:val="277"/>
        </w:trPr>
        <w:tc>
          <w:tcPr>
            <w:tcW w:w="49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Kahoot! ASA</w:t>
            </w:r>
            <w:r>
              <w:rPr>
                <w:rFonts w:ascii="Times New Roman" w:cs="Times New Roman" w:eastAsia="Times New Roman" w:hAnsi="Times New Roman"/>
                <w:sz w:val="29"/>
                <w:szCs w:val="29"/>
                <w:color w:val="auto"/>
                <w:vertAlign w:val="superscript"/>
              </w:rPr>
              <w:t>(10)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10/19/2022</w:t>
            </w:r>
          </w:p>
        </w:tc>
        <w:tc>
          <w:tcPr>
            <w:tcW w:w="2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61,367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(151,861)</w:t>
            </w:r>
          </w:p>
        </w:tc>
        <w:tc>
          <w:tcPr>
            <w:tcW w:w="0" w:type="dxa"/>
            <w:vAlign w:val="bottom"/>
          </w:tcPr>
          <w:p>
            <w:pPr>
              <w:spacing w:after="0"/>
              <w:rPr>
                <w:sz w:val="1"/>
                <w:szCs w:val="1"/>
                <w:color w:val="auto"/>
              </w:rPr>
            </w:pPr>
          </w:p>
        </w:tc>
      </w:tr>
      <w:tr>
        <w:trPr>
          <w:trHeight w:val="230"/>
        </w:trPr>
        <w:tc>
          <w:tcPr>
            <w:tcW w:w="4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9,063,919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(5,891,016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gain/(loss)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SuRo Capital Corp. held 229,758 remaining NewLake Capital Partners, Inc. public common shares.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11, 2022, SuRo Capital Corp. had sold all its public common shares of Rover Group, Inc.</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SuRo Capital Corp. held 79,191 remaining Rent the Runway, Inc. public common shares.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approximately $1.2 million has been received from Residential Homes for Rent, LLC (d/b/a Second Avenue) related to the 15% term loan due December 23, 2023. Of the proceeds received, approximately $1.0 million repaid a portion of the outstanding principal and the remaining was attributed to interest.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SuRo Capital Corp. received an $874,470 cash distribution from True Global Ventures 4 Plus Pte Ltd.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14, 2022, a final payment was received for the remaining 512,290 Class A common shares of Palantir Technologies, Inc. that comprised the beneficial equity interest in underlying shares. The realized gain from SuRo Capital Corp.’s investment in Palantir Lending Trust SPV I is generated by the proceeds from the sale of shares collateralizing the repaid promissory note to Palantir Lending Trust SPV I and attributable to the Equity Participation in Underlying Collateral.</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12, 2022, SuRo Capital Corp. had sold all its public common shares of Enjoy Technology, Inc.</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SuRo Capital Corp. held 38,305 remaining Kahoot! ASA public common shares.</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did not write-off any investments and our OneValley, Inc. (f/k/a NestGSV, Inc.) Series B preferred warrants with a strike price of $2.31 expired on May 29, 2022.</w:t>
      </w:r>
    </w:p>
    <w:p>
      <w:pPr>
        <w:sectPr>
          <w:pgSz w:w="11900" w:h="16838" w:orient="portrait"/>
          <w:cols w:equalWidth="0" w:num="1">
            <w:col w:w="11240"/>
          </w:cols>
          <w:pgMar w:left="320" w:top="229" w:right="339" w:bottom="407"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407"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2021, we funded investments in an aggregate amount of $81,668,146 (not including capitalized transaction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shown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4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Payments</w:t>
            </w: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NewLake Capital Partners, Inc. (f/k/a GreenAcreage Real</w:t>
            </w:r>
          </w:p>
        </w:tc>
        <w:tc>
          <w:tcPr>
            <w:tcW w:w="240" w:type="dxa"/>
            <w:vAlign w:val="bottom"/>
            <w:tcBorders>
              <w:top w:val="single" w:sz="8" w:color="CCEEFF"/>
            </w:tcBorders>
            <w:shd w:val="clear" w:color="auto" w:fill="CCEEFF"/>
          </w:tcPr>
          <w:p>
            <w:pPr>
              <w:spacing w:after="0"/>
              <w:rPr>
                <w:sz w:val="17"/>
                <w:szCs w:val="17"/>
                <w:color w:val="auto"/>
              </w:rPr>
            </w:pPr>
          </w:p>
        </w:tc>
        <w:tc>
          <w:tcPr>
            <w:tcW w:w="3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34"/>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Estate Corp.)</w:t>
            </w:r>
          </w:p>
        </w:tc>
        <w:tc>
          <w:tcPr>
            <w:tcW w:w="4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shares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2/12/2021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499,986</w:t>
            </w: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Churchill Sponsor VI LLC</w:t>
            </w:r>
            <w:r>
              <w:rPr>
                <w:rFonts w:ascii="Times New Roman" w:cs="Times New Roman" w:eastAsia="Times New Roman" w:hAnsi="Times New Roman"/>
                <w:sz w:val="29"/>
                <w:szCs w:val="29"/>
                <w:color w:val="auto"/>
                <w:vertAlign w:val="superscript"/>
              </w:rPr>
              <w:t>(1)</w:t>
            </w:r>
          </w:p>
        </w:tc>
        <w:tc>
          <w:tcPr>
            <w:tcW w:w="4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share units &amp; Warrant units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Churchill Sponsor VII LLC</w:t>
            </w:r>
            <w:r>
              <w:rPr>
                <w:rFonts w:ascii="Times New Roman" w:cs="Times New Roman" w:eastAsia="Times New Roman" w:hAnsi="Times New Roman"/>
                <w:sz w:val="29"/>
                <w:szCs w:val="29"/>
                <w:color w:val="auto"/>
                <w:vertAlign w:val="superscript"/>
              </w:rPr>
              <w:t>(2)</w:t>
            </w:r>
          </w:p>
        </w:tc>
        <w:tc>
          <w:tcPr>
            <w:tcW w:w="4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share units &amp; Warrant units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56"/>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Shogun Enterprises, Inc.</w:t>
            </w:r>
            <w:r>
              <w:rPr>
                <w:rFonts w:ascii="Times New Roman" w:cs="Times New Roman" w:eastAsia="Times New Roman" w:hAnsi="Times New Roman"/>
                <w:sz w:val="29"/>
                <w:szCs w:val="29"/>
                <w:color w:val="auto"/>
                <w:vertAlign w:val="superscript"/>
              </w:rPr>
              <w:t>(3)</w:t>
            </w:r>
          </w:p>
        </w:tc>
        <w:tc>
          <w:tcPr>
            <w:tcW w:w="4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Preferred shares, Series B-1 &amp; Series B-2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2/26/2021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6,999,992</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Streaming Solutions Inc. (d/b/a BettorView)</w:t>
            </w:r>
          </w:p>
        </w:tc>
        <w:tc>
          <w:tcPr>
            <w:tcW w:w="4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Simple Agreement for Future Equity (“SAFE”)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3/26/2021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Churchill Capital Corp. II</w:t>
            </w:r>
            <w:r>
              <w:rPr>
                <w:rFonts w:ascii="Times New Roman" w:cs="Times New Roman" w:eastAsia="Times New Roman" w:hAnsi="Times New Roman"/>
                <w:sz w:val="29"/>
                <w:szCs w:val="29"/>
                <w:color w:val="auto"/>
                <w:vertAlign w:val="superscript"/>
              </w:rPr>
              <w:t>(4)</w:t>
            </w:r>
          </w:p>
        </w:tc>
        <w:tc>
          <w:tcPr>
            <w:tcW w:w="4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shares, Class 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Trax Ltd.</w:t>
            </w:r>
          </w:p>
        </w:tc>
        <w:tc>
          <w:tcPr>
            <w:tcW w:w="4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shares &amp; Investec Preferred shares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4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Preferred shares, Series 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4,999,987</w:t>
            </w:r>
          </w:p>
        </w:tc>
      </w:tr>
      <w:tr>
        <w:trPr>
          <w:trHeight w:val="256"/>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Colombier Sponsor LLC</w:t>
            </w:r>
            <w:r>
              <w:rPr>
                <w:rFonts w:ascii="Times New Roman" w:cs="Times New Roman" w:eastAsia="Times New Roman" w:hAnsi="Times New Roman"/>
                <w:sz w:val="29"/>
                <w:szCs w:val="29"/>
                <w:color w:val="auto"/>
                <w:vertAlign w:val="superscript"/>
              </w:rPr>
              <w:t>(5)</w:t>
            </w:r>
          </w:p>
        </w:tc>
        <w:tc>
          <w:tcPr>
            <w:tcW w:w="4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B Units &amp; Class W Units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2,711,842</w:t>
            </w:r>
          </w:p>
        </w:tc>
      </w:tr>
      <w:tr>
        <w:trPr>
          <w:trHeight w:val="257"/>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AltC Sponsor LLC</w:t>
            </w:r>
            <w:r>
              <w:rPr>
                <w:rFonts w:ascii="Times New Roman" w:cs="Times New Roman" w:eastAsia="Times New Roman" w:hAnsi="Times New Roman"/>
                <w:sz w:val="29"/>
                <w:szCs w:val="29"/>
                <w:color w:val="auto"/>
                <w:vertAlign w:val="superscript"/>
              </w:rPr>
              <w:t>(6)</w:t>
            </w:r>
          </w:p>
        </w:tc>
        <w:tc>
          <w:tcPr>
            <w:tcW w:w="4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 units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7/21/2021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PayJoy, Inc.</w:t>
            </w:r>
          </w:p>
        </w:tc>
        <w:tc>
          <w:tcPr>
            <w:tcW w:w="4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Preferred shares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7/23/2021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2,500,002</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Orchard Technologies, Inc.</w:t>
            </w:r>
          </w:p>
        </w:tc>
        <w:tc>
          <w:tcPr>
            <w:tcW w:w="4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Preferred shares, Series 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9,999,996</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Varo Money, Inc.</w:t>
            </w:r>
          </w:p>
        </w:tc>
        <w:tc>
          <w:tcPr>
            <w:tcW w:w="4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shares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10,000,371</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YouBet Technology, Inc. (d/b/a PickUp)</w:t>
            </w:r>
          </w:p>
        </w:tc>
        <w:tc>
          <w:tcPr>
            <w:tcW w:w="4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Preferred shares, Series Seed-2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8/26/2021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499,999</w:t>
            </w: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True Global Ventures 4 Plus Pte Ltd</w:t>
            </w:r>
            <w:r>
              <w:rPr>
                <w:rFonts w:ascii="Times New Roman" w:cs="Times New Roman" w:eastAsia="Times New Roman" w:hAnsi="Times New Roman"/>
                <w:sz w:val="29"/>
                <w:szCs w:val="29"/>
                <w:color w:val="auto"/>
                <w:vertAlign w:val="superscript"/>
              </w:rPr>
              <w:t>(7)</w:t>
            </w:r>
          </w:p>
        </w:tc>
        <w:tc>
          <w:tcPr>
            <w:tcW w:w="4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Limited Partner Fund Investment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8/27/2021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706,000</w:t>
            </w:r>
          </w:p>
        </w:tc>
      </w:tr>
      <w:tr>
        <w:trPr>
          <w:trHeight w:val="256"/>
        </w:trPr>
        <w:tc>
          <w:tcPr>
            <w:tcW w:w="4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Architect Capital PayJoy SPV, LLC</w:t>
            </w:r>
            <w:r>
              <w:rPr>
                <w:rFonts w:ascii="Times New Roman" w:cs="Times New Roman" w:eastAsia="Times New Roman" w:hAnsi="Times New Roman"/>
                <w:sz w:val="29"/>
                <w:szCs w:val="29"/>
                <w:color w:val="auto"/>
                <w:vertAlign w:val="superscript"/>
              </w:rPr>
              <w:t>(8)</w:t>
            </w:r>
          </w:p>
        </w:tc>
        <w:tc>
          <w:tcPr>
            <w:tcW w:w="4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Membership Interest in Lending SPV</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Rebric, Inc. (d/b/a Compliable)</w:t>
            </w:r>
          </w:p>
        </w:tc>
        <w:tc>
          <w:tcPr>
            <w:tcW w:w="4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Preferred shares, Series Seed-4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3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Course Hero, Inc.</w:t>
            </w:r>
          </w:p>
        </w:tc>
        <w:tc>
          <w:tcPr>
            <w:tcW w:w="4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Preferred shares, Series 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9,999,971</w:t>
            </w:r>
          </w:p>
        </w:tc>
      </w:tr>
      <w:tr>
        <w:trPr>
          <w:trHeight w:val="230"/>
        </w:trPr>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81,668,146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Sponsor VI LLC is the sponsor of Churchill Capital Corp VI, a special purpose acquisition company formed for the purpose of effecting a merger, capital stock exchange, asset acquisition, stock purchase, reorganization or similar business combination with one or more businesses. Our investment in Churchill Sponsor VI LLC constituted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Churchill Sponsor VII LLC is the sponsor of Churchill Capital Corp VII, a special purpose acquisition company formed for the purpose of effecting a merger, capital stock exchange, asset acquisition, stock purchase, reorganization or similar business combination with one or more businesses. Our investment in Churchill Sponsor VII LLC constituted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initial investment in Shogun Enterprises, Inc. on February 26, 2021 constituted a “remote-affiliate” transaction for purposes of the 1940 Act in light of the fact that Keri Findley, a former senior managing director of the Company until her departure on March 9, 2022, is a non-controlling member of the board of directors of Shogun Enterprises, Inc., and holds a minority equity interest in such portfolio company.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This investment constituted a “remote-affiliate” transaction for purposes of the 1940 Act in light of the fact that Mark Klein, our Chairman, CEO and President, has a non-controlling interest in the entity that controls Churchill Sponsor II LLC, the sponsor of Churchill Capital Corp II, and is a non-controlling board member of Churchill Capital Corp II.</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 Keri Findley, a former senior managing director of the Company until her departure on March 9, 2022, and Claire Councill, a former investment professional of the Company until her departure on April 15, 2022, are non-controlling members of the board of directors of Colombier Acquisition Corp., a special purpose acquisition company, which is sponsored by Colombier Sponsor LLC, one of the Company’s portfolio companies.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AltC Sponsor LLC is the sponsor of AltC Acquisition Corp., a special purpose acquisition company formed for the purpose of effecting a merger, capital stock exchange, asset acquisition, stock purchase, reorganization or similar business combination with one or more businesses. The Company’s investment in AltC Sponsor LLC constituted a “remote-affiliate” transaction for purposes of the 1940 Act in light of the fact that Mark D. Klein, the Company’s Chairman, Chief Executive Officer and President, has a non-controlling interest in one of the entities that controls AltC Sponsor LLC, and Allison Green, the Company’s Chief Financial Officer, Chief Compliance Officer, Treasurer and Secretary, is a non-controlling member of the board of directors of AltC Acquisition Corp.</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$0.7 million of a $2.0 million capital commitment to True Global Ventures 4 Plus Fund LP had been called and funded.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total $10.0 million capital commitment representing SuRo Capital Corp.’s Membership Interest in Architect Capital PayJoy SPV, LLC had been called and funded.</w:t>
      </w:r>
    </w:p>
    <w:p>
      <w:pPr>
        <w:sectPr>
          <w:pgSz w:w="11900" w:h="16838" w:orient="portrait"/>
          <w:cols w:equalWidth="0" w:num="1">
            <w:col w:w="11240"/>
          </w:cols>
          <w:pgMar w:left="320" w:top="229"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2021, we capitalized fees of $47,893.</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exited or received proceeds from investments in an amount of $259,698,537, net of transaction costs, and realized a net gain on investments of $218,735,504 (including adjustments to amounts held in escrow receivable) as shown in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Average Net Share</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Realized Gain</w:t>
            </w:r>
            <w:r>
              <w:rPr>
                <w:rFonts w:ascii="Times New Roman" w:cs="Times New Roman" w:eastAsia="Times New Roman" w:hAnsi="Times New Roman"/>
                <w:sz w:val="29"/>
                <w:szCs w:val="29"/>
                <w:b w:val="1"/>
                <w:bCs w:val="1"/>
                <w:color w:val="auto"/>
                <w:w w:val="97"/>
                <w:vertAlign w:val="superscript"/>
              </w:rPr>
              <w:t>(2)</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9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Price </w:t>
            </w:r>
            <w:r>
              <w:rPr>
                <w:rFonts w:ascii="Times New Roman" w:cs="Times New Roman" w:eastAsia="Times New Roman" w:hAnsi="Times New Roman"/>
                <w:sz w:val="29"/>
                <w:szCs w:val="29"/>
                <w:b w:val="1"/>
                <w:bCs w:val="1"/>
                <w:color w:val="auto"/>
                <w:vertAlign w:val="superscript"/>
              </w:rPr>
              <w:t>(1)</w:t>
            </w: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Palantir Technologies, Inc.</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4,618,952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123,419,184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110,544,068</w:t>
            </w: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Palantir Lending Trust SPV I</w:t>
            </w:r>
            <w:r>
              <w:rPr>
                <w:rFonts w:ascii="Times New Roman" w:cs="Times New Roman" w:eastAsia="Times New Roman" w:hAnsi="Times New Roman"/>
                <w:sz w:val="29"/>
                <w:szCs w:val="29"/>
                <w:color w:val="auto"/>
                <w:vertAlign w:val="superscript"/>
              </w:rPr>
              <w:t>(4)</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2"/>
                <w:szCs w:val="22"/>
                <w:color w:val="auto"/>
              </w:rPr>
            </w:pPr>
          </w:p>
        </w:tc>
        <w:tc>
          <w:tcPr>
            <w:tcW w:w="1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2"/>
                <w:szCs w:val="22"/>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2,172,637</w:t>
            </w:r>
          </w:p>
        </w:tc>
        <w:tc>
          <w:tcPr>
            <w:tcW w:w="12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2,172,637</w:t>
            </w: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Residential Homes for Rent, LLC</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2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(d/b/a Second Avenue)</w:t>
            </w:r>
            <w:r>
              <w:rPr>
                <w:rFonts w:ascii="Times New Roman" w:cs="Times New Roman" w:eastAsia="Times New Roman" w:hAnsi="Times New Roman"/>
                <w:sz w:val="29"/>
                <w:szCs w:val="29"/>
                <w:color w:val="auto"/>
                <w:vertAlign w:val="superscript"/>
              </w:rPr>
              <w:t>(5)</w:t>
            </w:r>
          </w:p>
        </w:tc>
        <w:tc>
          <w:tcPr>
            <w:tcW w:w="1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1,386,457</w:t>
            </w: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 Holdings Group,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4/28/2021</w:t>
            </w:r>
          </w:p>
        </w:tc>
        <w:tc>
          <w:tcPr>
            <w:tcW w:w="22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2,542,587</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490,246</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490,246</w:t>
            </w:r>
          </w:p>
        </w:tc>
        <w:tc>
          <w:tcPr>
            <w:tcW w:w="0" w:type="dxa"/>
            <w:vAlign w:val="bottom"/>
          </w:tcPr>
          <w:p>
            <w:pPr>
              <w:spacing w:after="0"/>
              <w:rPr>
                <w:sz w:val="1"/>
                <w:szCs w:val="1"/>
                <w:color w:val="auto"/>
              </w:rPr>
            </w:pPr>
          </w:p>
        </w:tc>
      </w:tr>
      <w:tr>
        <w:trPr>
          <w:trHeight w:val="257"/>
        </w:trPr>
        <w:tc>
          <w:tcPr>
            <w:tcW w:w="2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CUX, Inc. (d/b/a CorpU)</w:t>
            </w:r>
            <w:r>
              <w:rPr>
                <w:rFonts w:ascii="Times New Roman" w:cs="Times New Roman" w:eastAsia="Times New Roman" w:hAnsi="Times New Roman"/>
                <w:sz w:val="29"/>
                <w:szCs w:val="29"/>
                <w:color w:val="auto"/>
                <w:vertAlign w:val="superscript"/>
              </w:rPr>
              <w:t>(6)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8/24/2021</w:t>
            </w:r>
          </w:p>
        </w:tc>
        <w:tc>
          <w:tcPr>
            <w:tcW w:w="2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6,009,092</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1,968,218</w:t>
            </w:r>
          </w:p>
        </w:tc>
        <w:tc>
          <w:tcPr>
            <w:tcW w:w="0" w:type="dxa"/>
            <w:vAlign w:val="bottom"/>
          </w:tcPr>
          <w:p>
            <w:pPr>
              <w:spacing w:after="0"/>
              <w:rPr>
                <w:sz w:val="1"/>
                <w:szCs w:val="1"/>
                <w:color w:val="auto"/>
              </w:rPr>
            </w:pPr>
          </w:p>
        </w:tc>
      </w:tr>
      <w:tr>
        <w:trPr>
          <w:trHeight w:val="256"/>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Clever, Inc.</w:t>
            </w:r>
            <w:r>
              <w:rPr>
                <w:rFonts w:ascii="Times New Roman" w:cs="Times New Roman" w:eastAsia="Times New Roman" w:hAnsi="Times New Roman"/>
                <w:sz w:val="29"/>
                <w:szCs w:val="29"/>
                <w:color w:val="auto"/>
                <w:vertAlign w:val="superscript"/>
              </w:rPr>
              <w:t>(7)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9/3/2021</w:t>
            </w:r>
          </w:p>
        </w:tc>
        <w:tc>
          <w:tcPr>
            <w:tcW w:w="220" w:type="dxa"/>
            <w:vAlign w:val="bottom"/>
          </w:tcPr>
          <w:p>
            <w:pPr>
              <w:spacing w:after="0"/>
              <w:rPr>
                <w:sz w:val="22"/>
                <w:szCs w:val="22"/>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1,799,047</w:t>
            </w:r>
          </w:p>
        </w:tc>
        <w:tc>
          <w:tcPr>
            <w:tcW w:w="28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2"/>
                <w:szCs w:val="22"/>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3,011,486</w:t>
            </w:r>
          </w:p>
        </w:tc>
        <w:tc>
          <w:tcPr>
            <w:tcW w:w="12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1,010,886</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Skillsoft Corp.</w:t>
            </w:r>
          </w:p>
        </w:tc>
        <w:tc>
          <w:tcPr>
            <w:tcW w:w="1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18,157</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229,269</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47,699</w:t>
            </w:r>
          </w:p>
        </w:tc>
        <w:tc>
          <w:tcPr>
            <w:tcW w:w="0" w:type="dxa"/>
            <w:vAlign w:val="bottom"/>
          </w:tcPr>
          <w:p>
            <w:pPr>
              <w:spacing w:after="0"/>
              <w:rPr>
                <w:sz w:val="1"/>
                <w:szCs w:val="1"/>
                <w:color w:val="auto"/>
              </w:rPr>
            </w:pPr>
          </w:p>
        </w:tc>
      </w:tr>
      <w:tr>
        <w:trPr>
          <w:trHeight w:val="256"/>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Coursera, Inc.</w:t>
            </w:r>
            <w:r>
              <w:rPr>
                <w:rFonts w:ascii="Times New Roman" w:cs="Times New Roman" w:eastAsia="Times New Roman" w:hAnsi="Times New Roman"/>
                <w:sz w:val="29"/>
                <w:szCs w:val="29"/>
                <w:color w:val="auto"/>
                <w:vertAlign w:val="superscript"/>
              </w:rPr>
              <w:t>(8)</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3,128,361</w:t>
            </w:r>
          </w:p>
        </w:tc>
        <w:tc>
          <w:tcPr>
            <w:tcW w:w="28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36.86</w:t>
            </w:r>
          </w:p>
        </w:tc>
        <w:tc>
          <w:tcPr>
            <w:tcW w:w="180" w:type="dxa"/>
            <w:vAlign w:val="bottom"/>
          </w:tcPr>
          <w:p>
            <w:pPr>
              <w:spacing w:after="0"/>
              <w:rPr>
                <w:sz w:val="22"/>
                <w:szCs w:val="22"/>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115,325,000</w:t>
            </w:r>
          </w:p>
        </w:tc>
        <w:tc>
          <w:tcPr>
            <w:tcW w:w="12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97,965,464</w:t>
            </w: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Tynker (f/k/a Neuron Fuel, Inc.)</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12/6/2021</w:t>
            </w:r>
          </w:p>
        </w:tc>
        <w:tc>
          <w:tcPr>
            <w:tcW w:w="220" w:type="dxa"/>
            <w:vAlign w:val="bottom"/>
            <w:shd w:val="clear" w:color="auto" w:fill="CCEEFF"/>
          </w:tcPr>
          <w:p>
            <w:pPr>
              <w:spacing w:after="0"/>
              <w:rPr>
                <w:sz w:val="17"/>
                <w:szCs w:val="17"/>
                <w:color w:val="auto"/>
              </w:rPr>
            </w:pPr>
          </w:p>
        </w:tc>
        <w:tc>
          <w:tcPr>
            <w:tcW w:w="19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534,162</w:t>
            </w:r>
          </w:p>
        </w:tc>
        <w:tc>
          <w:tcPr>
            <w:tcW w:w="280" w:type="dxa"/>
            <w:vAlign w:val="bottom"/>
            <w:shd w:val="clear" w:color="auto" w:fill="CCEEFF"/>
          </w:tcPr>
          <w:p>
            <w:pPr>
              <w:spacing w:after="0"/>
              <w:rPr>
                <w:sz w:val="17"/>
                <w:szCs w:val="17"/>
                <w:color w:val="auto"/>
              </w:rPr>
            </w:pPr>
          </w:p>
        </w:tc>
        <w:tc>
          <w:tcPr>
            <w:tcW w:w="16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shd w:val="clear" w:color="auto" w:fill="CCEEFF"/>
          </w:tcPr>
          <w:p>
            <w:pPr>
              <w:spacing w:after="0"/>
              <w:rPr>
                <w:sz w:val="17"/>
                <w:szCs w:val="17"/>
                <w:color w:val="auto"/>
              </w:rPr>
            </w:pPr>
          </w:p>
        </w:tc>
        <w:tc>
          <w:tcPr>
            <w:tcW w:w="17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2,907,951</w:t>
            </w:r>
          </w:p>
        </w:tc>
        <w:tc>
          <w:tcPr>
            <w:tcW w:w="12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2,598,640</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NewLake Capital Partners, Inc.</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(f/k/a GreenAcreage Real Estate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Various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167,755</w:t>
            </w:r>
          </w:p>
        </w:tc>
        <w:tc>
          <w:tcPr>
            <w:tcW w:w="28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28.30</w:t>
            </w:r>
          </w:p>
        </w:tc>
        <w:tc>
          <w:tcPr>
            <w:tcW w:w="180" w:type="dxa"/>
            <w:vAlign w:val="bottom"/>
          </w:tcPr>
          <w:p>
            <w:pPr>
              <w:spacing w:after="0"/>
              <w:rPr>
                <w:sz w:val="22"/>
                <w:szCs w:val="22"/>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4,747,215</w:t>
            </w:r>
          </w:p>
        </w:tc>
        <w:tc>
          <w:tcPr>
            <w:tcW w:w="12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1,390,636</w:t>
            </w:r>
          </w:p>
        </w:tc>
        <w:tc>
          <w:tcPr>
            <w:tcW w:w="0" w:type="dxa"/>
            <w:vAlign w:val="bottom"/>
          </w:tcPr>
          <w:p>
            <w:pPr>
              <w:spacing w:after="0"/>
              <w:rPr>
                <w:sz w:val="1"/>
                <w:szCs w:val="1"/>
                <w:color w:val="auto"/>
              </w:rPr>
            </w:pPr>
          </w:p>
        </w:tc>
      </w:tr>
      <w:tr>
        <w:trPr>
          <w:trHeight w:val="229"/>
        </w:trPr>
        <w:tc>
          <w:tcPr>
            <w:tcW w:w="27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259,698,537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218,188,494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4, 2021, all remaining shares of Palantir Technologies, Inc. held by us had been sold.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Palantir Lending Trust SPV I promissory note was initially collateralized with 2,260,000 Class A common shares of Palantir Technologies, Inc. to which SuRo Capital Corp. retains a beneficial equity upside interest. As of December 31, 2021, 512,290 Class A common shares remain in Palantir Lending Trust SPV I, none of which are subject to lock-up restrictions. 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approximately $1.4 million has been received from Residential Homes for Rent, LLC (d/b/a Second Avenue) related to the 15% term loan due December 23, 2023. Of the proceeds received, approximately $1.0 million repaid a portion of the outstanding principal and approximately $0.4 million was attributed to interest.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net proceeds includes approximately $0.3 million in additional proceeds currently held in escrow.</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 2021, Clever, Inc. completed its sale to Kahoot! ASA. In connection with this transaction, SuRo Capital Corp. received 86,800 common shares in Kahoot! ASA in addition to cash proceeds and amounts currently held in escrow. SuRo Capital Corp. is also eligible to receive cash and Kahoot! ASA common shares subject to certain earn-out provisions and contingencies. As of December 31, 2021, SuRo Capital Corp.’s common shares in Kahoot! ASA were subject to certain lock-up restrictions.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4, 2021, all remaining shares of Coursera, Inc. held by us had been sold.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net proceeds includes approximately $0.4 million in additional proceeds currently held in escrow.</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realized a net investment loss of $0.1 million due to the expiration of our OneValley, Inc. (f/k/a NestGSV, Inc.) Series A-4 preferred warrants with a strike price of $1.33 on July 18, 2021, and our OneValley, Inc. (f/k/a NestGSV, Inc.) Series B preferred warrants with a strike price of $2.31 on November 29,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did not write-off any investments and our OneValley, Inc. (f/k/a NestGSV, Inc.) Series A-3 preferred warrants with a strike price of $1.33 expired on April 4, 2021, and our OneValley, Inc. (f/k/a NestGSV, Inc.) Series A-4 preferred warrants with a strike price of $1.33 expired on October 6,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2020, we funded investments in an aggregate amount of $31,242,228 (not including capitalized transaction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shown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r>
      <w:tr>
        <w:trPr>
          <w:trHeight w:val="24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Neutron Holdings, Inc. (d/b/a Lime)</w:t>
            </w:r>
          </w:p>
        </w:tc>
        <w:tc>
          <w:tcPr>
            <w:tcW w:w="24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Junior Preferred Convertible Note 4% Due 5/11/2027</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the Runway, Inc.</w:t>
            </w:r>
          </w:p>
        </w:tc>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Preferred Shares, Series G</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5,000,001</w:t>
            </w:r>
          </w:p>
        </w:tc>
        <w:tc>
          <w:tcPr>
            <w:tcW w:w="8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Palantir Lending Trust SPV I</w:t>
            </w:r>
          </w:p>
        </w:tc>
        <w:tc>
          <w:tcPr>
            <w:tcW w:w="4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Collateralized Loan 15% Due 6/19/2022</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6/19/2020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6,870,000</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Coursera, Inc.</w:t>
            </w:r>
          </w:p>
        </w:tc>
        <w:tc>
          <w:tcPr>
            <w:tcW w:w="4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Preferred Shares, Series F</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7/15/2020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2,838,354</w:t>
            </w:r>
          </w:p>
        </w:tc>
        <w:tc>
          <w:tcPr>
            <w:tcW w:w="8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4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10/27/2020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4,999,995</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4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Preferred Shares, Series C</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4,999,987</w:t>
            </w:r>
          </w:p>
        </w:tc>
        <w:tc>
          <w:tcPr>
            <w:tcW w:w="8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Enjoy Technology, Inc.</w:t>
            </w:r>
          </w:p>
        </w:tc>
        <w:tc>
          <w:tcPr>
            <w:tcW w:w="4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Convertible Note 14% Due 1/30/2024</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11/30/2020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521,112</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GreenAcreage Real Estate Corp.</w:t>
            </w:r>
          </w:p>
        </w:tc>
        <w:tc>
          <w:tcPr>
            <w:tcW w:w="4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12/17/2020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503,220</w:t>
            </w:r>
          </w:p>
        </w:tc>
        <w:tc>
          <w:tcPr>
            <w:tcW w:w="8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GreenAcreage Real Estate Corp.</w:t>
            </w:r>
          </w:p>
        </w:tc>
        <w:tc>
          <w:tcPr>
            <w:tcW w:w="4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Common Shares</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12/29/2020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503,220</w:t>
            </w:r>
          </w:p>
        </w:tc>
        <w:tc>
          <w:tcPr>
            <w:tcW w:w="80" w:type="dxa"/>
            <w:vAlign w:val="bottom"/>
            <w:shd w:val="clear" w:color="auto" w:fill="CCEEFF"/>
          </w:tcPr>
          <w:p>
            <w:pPr>
              <w:spacing w:after="0"/>
              <w:rPr>
                <w:sz w:val="18"/>
                <w:szCs w:val="18"/>
                <w:color w:val="auto"/>
              </w:rPr>
            </w:pP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Residential Homes for Rent, LLC</w:t>
            </w:r>
          </w:p>
        </w:tc>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(d/b/a Second Avenue)</w:t>
            </w:r>
          </w:p>
        </w:tc>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Term Loan 15% Due 12/23/2023</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12/23/2020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Pr>
          <w:p>
            <w:pPr>
              <w:spacing w:after="0"/>
              <w:rPr>
                <w:sz w:val="20"/>
                <w:szCs w:val="20"/>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Homes for Rent, LLC</w:t>
            </w:r>
          </w:p>
        </w:tc>
        <w:tc>
          <w:tcPr>
            <w:tcW w:w="3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(d/b/a Second Avenue)</w:t>
            </w:r>
          </w:p>
        </w:tc>
        <w:tc>
          <w:tcPr>
            <w:tcW w:w="4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12/23/2020</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23"/>
                <w:szCs w:val="23"/>
                <w:color w:val="auto"/>
              </w:rPr>
            </w:pPr>
          </w:p>
        </w:tc>
      </w:tr>
      <w:tr>
        <w:trPr>
          <w:trHeight w:val="216"/>
        </w:trPr>
        <w:tc>
          <w:tcPr>
            <w:tcW w:w="36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31,242,228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0" w:gutter="0" w:footer="0" w:header="0"/>
        </w:sectPr>
      </w:pPr>
    </w:p>
    <w:bookmarkStart w:id="66" w:name="page67"/>
    <w:bookmarkEnd w:id="66"/>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2020, we capitalized fees of $190,799.</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we exited investments in an amount of $31,245,944, net of transaction costs, and realized a net gain on investments of $16,441,223 (including U.S. Treasury investments and adjustments to amounts held in escrow receivable) as shown in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6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32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Realized Gain/(Loss)</w:t>
            </w:r>
            <w:r>
              <w:rPr>
                <w:rFonts w:ascii="Times New Roman" w:cs="Times New Roman" w:eastAsia="Times New Roman" w:hAnsi="Times New Roman"/>
                <w:sz w:val="29"/>
                <w:szCs w:val="29"/>
                <w:b w:val="1"/>
                <w:bCs w:val="1"/>
                <w:color w:val="auto"/>
                <w:w w:val="99"/>
                <w:vertAlign w:val="superscript"/>
              </w:rPr>
              <w:t>(1)</w:t>
            </w:r>
          </w:p>
        </w:tc>
        <w:tc>
          <w:tcPr>
            <w:tcW w:w="180" w:type="dxa"/>
            <w:vAlign w:val="bottom"/>
            <w:tcBorders>
              <w:bottom w:val="single" w:sz="8" w:color="CCEEFF"/>
            </w:tcBorders>
          </w:tcPr>
          <w:p>
            <w:pPr>
              <w:spacing w:after="0"/>
              <w:rPr>
                <w:sz w:val="24"/>
                <w:szCs w:val="24"/>
                <w:color w:val="auto"/>
              </w:rPr>
            </w:pPr>
          </w:p>
        </w:tc>
      </w:tr>
      <w:tr>
        <w:trPr>
          <w:trHeight w:val="257"/>
        </w:trPr>
        <w:tc>
          <w:tcPr>
            <w:tcW w:w="6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Parchment, Inc.</w:t>
            </w:r>
            <w:r>
              <w:rPr>
                <w:rFonts w:ascii="Times New Roman" w:cs="Times New Roman" w:eastAsia="Times New Roman" w:hAnsi="Times New Roman"/>
                <w:sz w:val="29"/>
                <w:szCs w:val="29"/>
                <w:color w:val="auto"/>
                <w:vertAlign w:val="superscript"/>
              </w:rPr>
              <w:t>(2)</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10,876,621</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6,785,364</w:t>
            </w:r>
          </w:p>
        </w:tc>
      </w:tr>
      <w:tr>
        <w:trPr>
          <w:trHeight w:val="257"/>
        </w:trPr>
        <w:tc>
          <w:tcPr>
            <w:tcW w:w="6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4C Insights (f/k/a The Echo Systems Corp.)</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807,952</w:t>
            </w:r>
          </w:p>
        </w:tc>
        <w:tc>
          <w:tcPr>
            <w:tcW w:w="600" w:type="dxa"/>
            <w:vAlign w:val="bottom"/>
          </w:tcPr>
          <w:p>
            <w:pPr>
              <w:spacing w:after="0"/>
              <w:rPr>
                <w:sz w:val="22"/>
                <w:szCs w:val="22"/>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(628,452)</w:t>
            </w:r>
          </w:p>
        </w:tc>
      </w:tr>
      <w:tr>
        <w:trPr>
          <w:trHeight w:val="257"/>
        </w:trPr>
        <w:tc>
          <w:tcPr>
            <w:tcW w:w="6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Palantir Technologies, Inc.</w:t>
            </w:r>
            <w:r>
              <w:rPr>
                <w:rFonts w:ascii="Times New Roman" w:cs="Times New Roman" w:eastAsia="Times New Roman" w:hAnsi="Times New Roman"/>
                <w:sz w:val="29"/>
                <w:szCs w:val="29"/>
                <w:color w:val="auto"/>
                <w:vertAlign w:val="superscript"/>
              </w:rPr>
              <w:t>(4)</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11,671,878</w:t>
            </w:r>
          </w:p>
        </w:tc>
        <w:tc>
          <w:tcPr>
            <w:tcW w:w="6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8,357,068</w:t>
            </w:r>
          </w:p>
        </w:tc>
      </w:tr>
      <w:tr>
        <w:trPr>
          <w:trHeight w:val="277"/>
        </w:trPr>
        <w:tc>
          <w:tcPr>
            <w:tcW w:w="67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Palantir Lending Trust SPV I</w:t>
            </w:r>
            <w:r>
              <w:rPr>
                <w:rFonts w:ascii="Times New Roman" w:cs="Times New Roman" w:eastAsia="Times New Roman" w:hAnsi="Times New Roman"/>
                <w:sz w:val="29"/>
                <w:szCs w:val="29"/>
                <w:color w:val="auto"/>
                <w:vertAlign w:val="superscript"/>
              </w:rPr>
              <w:t>(5)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7,889,493</w:t>
            </w:r>
          </w:p>
        </w:tc>
        <w:tc>
          <w:tcPr>
            <w:tcW w:w="600" w:type="dxa"/>
            <w:vAlign w:val="bottom"/>
          </w:tcPr>
          <w:p>
            <w:pPr>
              <w:spacing w:after="0"/>
              <w:rPr>
                <w:sz w:val="24"/>
                <w:szCs w:val="24"/>
                <w:color w:val="auto"/>
              </w:rPr>
            </w:pPr>
          </w:p>
        </w:tc>
        <w:tc>
          <w:tcPr>
            <w:tcW w:w="148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988,892</w:t>
            </w:r>
            <w:r>
              <w:rPr>
                <w:rFonts w:ascii="Times New Roman" w:cs="Times New Roman" w:eastAsia="Times New Roman" w:hAnsi="Times New Roman"/>
                <w:sz w:val="29"/>
                <w:szCs w:val="29"/>
                <w:color w:val="auto"/>
                <w:vertAlign w:val="superscript"/>
              </w:rPr>
              <w:t>(6)</w:t>
            </w:r>
          </w:p>
        </w:tc>
      </w:tr>
      <w:tr>
        <w:trPr>
          <w:trHeight w:val="229"/>
        </w:trPr>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31,245,944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15,502,872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2820" w:type="dxa"/>
            <w:vAlign w:val="bottom"/>
            <w:tcBorders>
              <w:bottom w:val="single" w:sz="8" w:color="auto"/>
            </w:tcBorders>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11" w:lineRule="exact"/>
        <w:rPr>
          <w:sz w:val="20"/>
          <w:szCs w:val="20"/>
          <w:color w:val="auto"/>
        </w:rPr>
      </w:pPr>
    </w:p>
    <w:p>
      <w:pPr>
        <w:ind w:left="6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gain/(loss) does not include amounts held in escrow receivable or any realized gain/(loss) incurred on the maturity of our U.S. Treasury investments.</w:t>
      </w:r>
    </w:p>
    <w:p>
      <w:pPr>
        <w:ind w:left="660" w:hanging="652"/>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2020, Parchment, Inc. closed a merger with Credentials Solutions. As a result of the transaction, we received $10,876,621 in net proceeds. As of December 31, 2020, we received all escrow proceeds of $90,275.</w:t>
      </w:r>
    </w:p>
    <w:p>
      <w:pPr>
        <w:jc w:val="both"/>
        <w:ind w:left="660" w:hanging="652"/>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 As of December 31, 2020, we have received $12,900 in escrow proceeds, and expect to receive $43,223 in additional escrow proceeds in 2021.</w:t>
      </w:r>
    </w:p>
    <w:p>
      <w:pPr>
        <w:spacing w:after="0" w:line="1"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2020, we held 4,618,952 remaining Class A common shares of Palantir Technologies, Inc., all of which were subject to lock-up restrictions.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ind w:left="660" w:hanging="652"/>
        <w:spacing w:after="0" w:line="253"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Palantir Lending Trust SPV I promissory note was initially collateralized with 2,260,000 Class A common shares of Palantir Technologies, Inc. The collateralized loan to Palantir Lending Trust SPV I matures on June 19, 2022 and includes a 15% interest rate. Through the collateralized loan, SuRo Capital Corp. participated in additional upside in a future Palantir Technologies, Inc. liquidity event by receiving a percentage of the share price appreciation as captured in the Equity Participation in Underlying Collateral security. As of December 31, 2020, the balance of the loan and all guaranteed interest has been fully repaid, and SuRo Capital Corp. retains the right to upside on 1,312,290 shares as captured in the Equity Participation in Underlying Collateral security. The net proceeds figure does not include accrued guaranteed interest received of $782,125.</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we did not write-off any investments and our CUX, Inc. (d/b/a CorpU) Series D preferred warrants with a strike price of $4.59, expired on February 14,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2021, and 2020</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results for the years ended December 31, 2022, 2021, and 2020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3,456,193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1,470,842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1,824,127</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2,914,954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897,772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1,006,510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541,239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573,070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817,617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18,164,201</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11,401,661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16,338,543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7,566,452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6,162,716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8,801,841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675,716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752,442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3,395,260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2,665,689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2,962,781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4,845,549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693,526</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2,247,817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82,238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9,347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43,574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1,598,986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1,117,941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1,837,530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(14,708,008)</w:t>
            </w:r>
          </w:p>
        </w:tc>
        <w:tc>
          <w:tcPr>
            <w:tcW w:w="6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(9,930,819)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(14,514,416)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3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(5,905,453)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218,735,504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16,441,223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(111,563,592)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(61,732,964)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73,410,631</w:t>
            </w: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Net Assets Resulting from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(132,177,053)</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147,071,721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75,337,438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2022 as compared to the year ended December 31, 2021</w:t>
      </w:r>
    </w:p>
    <w:p>
      <w:pPr>
        <w:spacing w:after="0" w:line="22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Investment income increased to $3,456,193 for the year ended December 31, 2022 from $1,470,842 for the year ended December 31, 2021. The net increase between periods was due to increases in interest income from U.S. Treasury Bills, Xgroup Holdings Limited (d/b/a Xpoint), Architect Capital PayJoy SPV, LLC, and Shogun Enterprises, Inc. (d/b/a Hearth) plus an increase in dividend income from NewLake Capital Partners, Inc. (f/k/a GreenAcreage Real Estate Corp.) and interest on idle cash. The increase was offset by a decrease in interest income from Residential Homes for Rent, LLC (d/b/a Second Avenue) and Neutron Holdings, Inc. (d/b/a/ Lime), plus a cessation in dividend income from Treehouse Real Estate Investment Trust, Inc. during the year ended December 31, 2022, relative to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2021 as compared to the year ended December 31, 2020</w:t>
      </w:r>
    </w:p>
    <w:p>
      <w:pPr>
        <w:spacing w:after="0" w:line="227"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Investment income decreased to $1,470,842 for the year ended December 31, 2021 from $1,824,127 for the year ended December 31, 2020. The net decrease between periods was due to a decrease in dividend income from SPBRX, Inc. (f/k/a GSV Sustainability Partners, Inc.), and a decrease in accrued interest income from Palantir Lending Trust SPV I. The decrease was offset by an increase in dividend income from Aventine Property Group, Inc., Treehouse Real Estate Investment Trust, Inc., and NewLake Capital Partners, Inc. (f/k/a GreenAcreage Real Estate Corp.), and interest income from the Residential Homes for Rent, LLC (d/b/a Second Avenue) term loan, Enjoy Technology, Inc. convertible promissory note, and Architect Capital PayJoy SPV, LLC membership interest in lending SPV during the year ended December 31, 2021, relative to the year ended December 31,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2022 as compared to the year ended December 31, 2021</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operating expenses increased to $18,164,201 for the year ended December 31, 2022 from $11,401,661 for the year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 was primarily due to an increase in interest expense, compensation expense, and professional fees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relative to the year ended December 31, 2021.</w:t>
      </w:r>
    </w:p>
    <w:p>
      <w:pPr>
        <w:sectPr>
          <w:pgSz w:w="11900" w:h="16838" w:orient="portrait"/>
          <w:cols w:equalWidth="0" w:num="1">
            <w:col w:w="11240"/>
          </w:cols>
          <w:pgMar w:left="320" w:top="229"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2021 as compared to the year ended December 31, 2020</w:t>
      </w:r>
    </w:p>
    <w:p>
      <w:pPr>
        <w:spacing w:after="0" w:line="22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Total operating expenses decreased to $11,401,661 for the year ended December 31, 2021 from $16,338,543 for the year ended December 31, 2020. The decrease in operating expense was primarily due to the decrease in the recognition of all unvested and unrecognized compensation cost related to the stock-based compensation plan upon cancellation of all outstanding options on April 28, 2020, as well as a decrease in interest expense, professional fees, income tax expense, and other expenses during the year ended December 31, 2021, relative to the year ended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2022 as compared to the year ended December 31, 2021</w:t>
      </w:r>
    </w:p>
    <w:p>
      <w:pPr>
        <w:spacing w:after="0" w:line="22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recognized a net investment loss of $14,708,008, compared to a net investment loss of $9,930,819 for the year ended December 31, 2021. The change between periods resulted from the increase in operating expenses offset by an increase in total investment income between periods during the year ended December 31, 2022, relative to the year ended December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2021 as compared to the year ended December 31, 2020</w:t>
      </w:r>
    </w:p>
    <w:p>
      <w:pPr>
        <w:spacing w:after="0" w:line="22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recognized net investment loss of $9,930,819, compared to net investment loss of $14,514,416 for the year ended December 31, 2020. The change between periods resulted from the decrease in operating expenses between periods during the year ended December 31, 2021, relative to the year ended December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Gain/(Loss) on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2022 as compared to the year ended December 31, 2021</w:t>
      </w:r>
    </w:p>
    <w:p>
      <w:pPr>
        <w:spacing w:after="0" w:line="22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we recognized a net realized loss on our investments of $5,905,453, compared to a net realized gain of $218,735,504 for the year ended December 31, 2021. The components of our net realized gains on portfolio investments for the year ended December 31, 2022 and 2021, excluding U.S. Treasury investments and fluctuations in escrow receivables estimates, are reflected in the tables above, under “—Portfolio and Investment Activity.”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2021 as compared to the year ended December 31, 2020</w:t>
      </w:r>
    </w:p>
    <w:p>
      <w:pPr>
        <w:spacing w:after="0" w:line="22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recognized a net realized gain on our investments of $218,735,504, compared to a net realized gain of $16,441,223 for the year ended December 31, 2020. The components of our net realized gains on portfolio investments for the year ended December 31, 2021 and 2020, excluding U.S. Treasury investments, are reflected in the tables above, under “—Portfolio and Investment Activity.”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Appreciation/(Depreciation) of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 we had a net change in unrealized appreciation/(depreciation) of $(111,563,592). For the year ended December 31, 2021, we had a net change in unrealized appreciation/(depreciation) of $(61,732,964). For the year ended December 31, 2020, we had a net change in unrealized appreciation/(depreciation) of $73,410,631. The following tables summarize, by portfolio company, the significant changes in unrealized appreciation/(depreciation) of our investment portfolio for the year ended December 31, 2022, 2021,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Net Change in</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8"/>
              </w:rPr>
              <w:t>Appreciation/(Depreciation)</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0" w:type="dxa"/>
            <w:vAlign w:val="bottom"/>
          </w:tcPr>
          <w:p>
            <w:pPr>
              <w:spacing w:after="0"/>
              <w:rPr>
                <w:sz w:val="1"/>
                <w:szCs w:val="1"/>
                <w:color w:val="auto"/>
              </w:rPr>
            </w:pPr>
          </w:p>
        </w:tc>
      </w:tr>
      <w:tr>
        <w:trPr>
          <w:trHeight w:val="238"/>
        </w:trPr>
        <w:tc>
          <w:tcPr>
            <w:tcW w:w="790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80" w:type="dxa"/>
            <w:vAlign w:val="bottom"/>
          </w:tcPr>
          <w:p>
            <w:pPr>
              <w:spacing w:after="0"/>
              <w:rPr>
                <w:sz w:val="20"/>
                <w:szCs w:val="20"/>
                <w:color w:val="auto"/>
              </w:rPr>
            </w:pPr>
          </w:p>
        </w:tc>
        <w:tc>
          <w:tcPr>
            <w:tcW w:w="20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140" w:type="dxa"/>
            <w:vAlign w:val="bottom"/>
          </w:tcPr>
          <w:p>
            <w:pPr>
              <w:spacing w:after="0"/>
              <w:rPr>
                <w:sz w:val="22"/>
                <w:szCs w:val="22"/>
                <w:color w:val="auto"/>
              </w:rPr>
            </w:pPr>
          </w:p>
        </w:tc>
        <w:tc>
          <w:tcPr>
            <w:tcW w:w="65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True Global Ventures 4 Plus Pte Ltd</w:t>
            </w:r>
            <w:r>
              <w:rPr>
                <w:rFonts w:ascii="Times New Roman" w:cs="Times New Roman" w:eastAsia="Times New Roman" w:hAnsi="Times New Roman"/>
                <w:sz w:val="29"/>
                <w:szCs w:val="29"/>
                <w:color w:val="auto"/>
                <w:vertAlign w:val="superscript"/>
              </w:rPr>
              <w:t>(1)</w:t>
            </w:r>
          </w:p>
        </w:tc>
        <w:tc>
          <w:tcPr>
            <w:tcW w:w="200" w:type="dxa"/>
            <w:vAlign w:val="bottom"/>
            <w:tcBorders>
              <w:right w:val="single" w:sz="8" w:color="CCEEFF"/>
            </w:tcBorders>
            <w:vMerge w:val="continue"/>
            <w:shd w:val="clear" w:color="auto" w:fill="CCEEFF"/>
          </w:tcPr>
          <w:p>
            <w:pPr>
              <w:spacing w:after="0"/>
              <w:rPr>
                <w:sz w:val="22"/>
                <w:szCs w:val="22"/>
                <w:color w:val="auto"/>
              </w:rPr>
            </w:pPr>
          </w:p>
        </w:tc>
        <w:tc>
          <w:tcPr>
            <w:tcW w:w="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3,106,863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676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Rent the Runway</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1,773,329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(1,879,887)</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676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NewLake Capital Partners, Inc. (f/k/a GreenAcreage Real Estate Corp.)</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(3,331,136)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Blink Health, Inc.</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(3,365,627)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Whoop, Inc.</w:t>
            </w:r>
          </w:p>
        </w:tc>
        <w:tc>
          <w:tcPr>
            <w:tcW w:w="1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(3,927,419)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Neutron Holdings, Inc. (d/b/a/ Lime)</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(3,991,353)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Shogun Enterprises, Inc. (d/b/a Hearth)</w:t>
            </w:r>
          </w:p>
        </w:tc>
        <w:tc>
          <w:tcPr>
            <w:tcW w:w="1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(4,225,397)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Aspiration Partners, Inc.</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(4,514,232)</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676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Rover Group, Inc.</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(5,259,385)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Varo Money, Inc.</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(7,254,893)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Trax Ltd.</w:t>
            </w:r>
          </w:p>
        </w:tc>
        <w:tc>
          <w:tcPr>
            <w:tcW w:w="1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(7,442,485)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Skillsoft Corp.</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(7,707,467)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Nextdoor Holdings, Inc.</w:t>
            </w:r>
          </w:p>
        </w:tc>
        <w:tc>
          <w:tcPr>
            <w:tcW w:w="1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(8,726,545)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(17,594,073)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Learneo, Inc. (f/k/a Course Hero, Inc.)</w:t>
            </w:r>
          </w:p>
        </w:tc>
        <w:tc>
          <w:tcPr>
            <w:tcW w:w="1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(37,290,369)</w:t>
            </w:r>
          </w:p>
        </w:tc>
        <w:tc>
          <w:tcPr>
            <w:tcW w:w="0" w:type="dxa"/>
            <w:vAlign w:val="bottom"/>
          </w:tcPr>
          <w:p>
            <w:pPr>
              <w:spacing w:after="0"/>
              <w:rPr>
                <w:sz w:val="1"/>
                <w:szCs w:val="1"/>
                <w:color w:val="auto"/>
              </w:rPr>
            </w:pPr>
          </w:p>
        </w:tc>
      </w:tr>
      <w:tr>
        <w:trPr>
          <w:trHeight w:val="290"/>
        </w:trPr>
        <w:tc>
          <w:tcPr>
            <w:tcW w:w="1140" w:type="dxa"/>
            <w:vAlign w:val="bottom"/>
          </w:tcPr>
          <w:p>
            <w:pPr>
              <w:spacing w:after="0"/>
              <w:rPr>
                <w:sz w:val="24"/>
                <w:szCs w:val="24"/>
                <w:color w:val="auto"/>
              </w:rPr>
            </w:pPr>
          </w:p>
        </w:tc>
        <w:tc>
          <w:tcPr>
            <w:tcW w:w="6760" w:type="dxa"/>
            <w:vAlign w:val="bottom"/>
            <w:tcBorders>
              <w:bottom w:val="single" w:sz="8" w:color="CCEEFF"/>
              <w:right w:val="single" w:sz="8" w:color="CCEEFF"/>
            </w:tcBorders>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18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(111,563,592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investments, including U.S. Treasury bills, for which individual changes in unrealized appreciation/(depreciation) was less than $1.0 million for the year ended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60" w:type="dxa"/>
            <w:vAlign w:val="bottom"/>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Net Change in Unrealized</w:t>
            </w: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Change in Unrealized</w:t>
            </w:r>
          </w:p>
        </w:tc>
      </w:tr>
      <w:tr>
        <w:trPr>
          <w:trHeight w:val="216"/>
        </w:trPr>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Appreciation/(Depreciation)</w:t>
            </w: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Appreciation/(Depreciation)</w:t>
            </w:r>
          </w:p>
        </w:tc>
      </w:tr>
      <w:tr>
        <w:trPr>
          <w:trHeight w:val="216"/>
        </w:trPr>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r>
      <w:tr>
        <w:trPr>
          <w:trHeight w:val="245"/>
        </w:trPr>
        <w:tc>
          <w:tcPr>
            <w:tcW w:w="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00" w:type="dxa"/>
            <w:vAlign w:val="bottom"/>
            <w:tcBorders>
              <w:bottom w:val="single" w:sz="8" w:color="CCEEFF"/>
            </w:tcBorders>
            <w:gridSpan w:val="2"/>
          </w:tcPr>
          <w:p>
            <w:pPr>
              <w:spacing w:after="0"/>
              <w:rPr>
                <w:sz w:val="21"/>
                <w:szCs w:val="21"/>
                <w:color w:val="auto"/>
              </w:rPr>
            </w:pPr>
          </w:p>
        </w:tc>
      </w:tr>
      <w:tr>
        <w:trPr>
          <w:trHeight w:val="257"/>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Course Hero,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42,752,699</w:t>
            </w:r>
          </w:p>
        </w:tc>
        <w:tc>
          <w:tcPr>
            <w:tcW w:w="1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Palantir Technologies, Inc.</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66,368,123</w:t>
            </w:r>
          </w:p>
        </w:tc>
        <w:tc>
          <w:tcPr>
            <w:tcW w:w="80" w:type="dxa"/>
            <w:vAlign w:val="bottom"/>
            <w:shd w:val="clear" w:color="auto" w:fill="CCEEFF"/>
          </w:tcPr>
          <w:p>
            <w:pPr>
              <w:spacing w:after="0"/>
              <w:rPr>
                <w:sz w:val="22"/>
                <w:szCs w:val="22"/>
                <w:color w:val="auto"/>
              </w:rPr>
            </w:pPr>
          </w:p>
        </w:tc>
      </w:tr>
      <w:tr>
        <w:trPr>
          <w:trHeight w:val="216"/>
        </w:trPr>
        <w:tc>
          <w:tcPr>
            <w:tcW w:w="3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100" w:type="dxa"/>
            <w:vAlign w:val="bottom"/>
          </w:tcPr>
          <w:p>
            <w:pPr>
              <w:spacing w:after="0"/>
              <w:rPr>
                <w:sz w:val="18"/>
                <w:szCs w:val="18"/>
                <w:color w:val="auto"/>
              </w:rPr>
            </w:pPr>
          </w:p>
        </w:tc>
        <w:tc>
          <w:tcPr>
            <w:tcW w:w="2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10,976,202</w:t>
            </w:r>
          </w:p>
        </w:tc>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Coursera, Inc.</w:t>
            </w:r>
          </w:p>
        </w:tc>
        <w:tc>
          <w:tcPr>
            <w:tcW w:w="8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16,772,218</w:t>
            </w:r>
          </w:p>
        </w:tc>
        <w:tc>
          <w:tcPr>
            <w:tcW w:w="80" w:type="dxa"/>
            <w:vAlign w:val="bottom"/>
          </w:tcPr>
          <w:p>
            <w:pPr>
              <w:spacing w:after="0"/>
              <w:rPr>
                <w:sz w:val="18"/>
                <w:szCs w:val="18"/>
                <w:color w:val="auto"/>
              </w:rPr>
            </w:pPr>
          </w:p>
        </w:tc>
      </w:tr>
      <w:tr>
        <w:trPr>
          <w:trHeight w:val="216"/>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Aspiration Partners, Inc.</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7,597,596</w:t>
            </w:r>
          </w:p>
        </w:tc>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Course Hero, Inc.</w:t>
            </w:r>
          </w:p>
        </w:tc>
        <w:tc>
          <w:tcPr>
            <w:tcW w:w="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9,405,053</w:t>
            </w:r>
          </w:p>
        </w:tc>
        <w:tc>
          <w:tcPr>
            <w:tcW w:w="80" w:type="dxa"/>
            <w:vAlign w:val="bottom"/>
            <w:shd w:val="clear" w:color="auto" w:fill="CCEEFF"/>
          </w:tcPr>
          <w:p>
            <w:pPr>
              <w:spacing w:after="0"/>
              <w:rPr>
                <w:sz w:val="18"/>
                <w:szCs w:val="18"/>
                <w:color w:val="auto"/>
              </w:rPr>
            </w:pPr>
          </w:p>
        </w:tc>
      </w:tr>
      <w:tr>
        <w:trPr>
          <w:trHeight w:val="257"/>
        </w:trPr>
        <w:tc>
          <w:tcPr>
            <w:tcW w:w="3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Rover Group, Inc.</w:t>
            </w:r>
          </w:p>
        </w:tc>
        <w:tc>
          <w:tcPr>
            <w:tcW w:w="100" w:type="dxa"/>
            <w:vAlign w:val="bottom"/>
          </w:tcPr>
          <w:p>
            <w:pPr>
              <w:spacing w:after="0"/>
              <w:rPr>
                <w:sz w:val="22"/>
                <w:szCs w:val="22"/>
                <w:color w:val="auto"/>
              </w:rPr>
            </w:pPr>
          </w:p>
        </w:tc>
        <w:tc>
          <w:tcPr>
            <w:tcW w:w="2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6,290,626</w:t>
            </w:r>
          </w:p>
        </w:tc>
        <w:tc>
          <w:tcPr>
            <w:tcW w:w="340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Forge Global, Inc.</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2"/>
                <w:szCs w:val="22"/>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7,513,356</w:t>
            </w:r>
          </w:p>
        </w:tc>
        <w:tc>
          <w:tcPr>
            <w:tcW w:w="80" w:type="dxa"/>
            <w:vAlign w:val="bottom"/>
          </w:tcPr>
          <w:p>
            <w:pPr>
              <w:spacing w:after="0"/>
              <w:rPr>
                <w:sz w:val="22"/>
                <w:szCs w:val="22"/>
                <w:color w:val="auto"/>
              </w:rPr>
            </w:pPr>
          </w:p>
        </w:tc>
      </w:tr>
      <w:tr>
        <w:trPr>
          <w:trHeight w:val="257"/>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StormWind, LLC</w:t>
            </w:r>
          </w:p>
        </w:tc>
        <w:tc>
          <w:tcPr>
            <w:tcW w:w="1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3,872,381</w:t>
            </w:r>
          </w:p>
        </w:tc>
        <w:tc>
          <w:tcPr>
            <w:tcW w:w="3400" w:type="dxa"/>
            <w:vAlign w:val="bottom"/>
            <w:gridSpan w:val="3"/>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Palantir Lending Trust SPV I</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2,550,762</w:t>
            </w:r>
          </w:p>
        </w:tc>
        <w:tc>
          <w:tcPr>
            <w:tcW w:w="80" w:type="dxa"/>
            <w:vAlign w:val="bottom"/>
            <w:shd w:val="clear" w:color="auto" w:fill="CCEEFF"/>
          </w:tcPr>
          <w:p>
            <w:pPr>
              <w:spacing w:after="0"/>
              <w:rPr>
                <w:sz w:val="22"/>
                <w:szCs w:val="22"/>
                <w:color w:val="auto"/>
              </w:rPr>
            </w:pPr>
          </w:p>
        </w:tc>
      </w:tr>
      <w:tr>
        <w:trPr>
          <w:trHeight w:val="257"/>
        </w:trPr>
        <w:tc>
          <w:tcPr>
            <w:tcW w:w="3240" w:type="dxa"/>
            <w:vAlign w:val="bottom"/>
            <w:gridSpan w:val="5"/>
          </w:tcPr>
          <w:p>
            <w:pPr>
              <w:spacing w:after="0" w:line="256" w:lineRule="exact"/>
              <w:rPr>
                <w:sz w:val="20"/>
                <w:szCs w:val="20"/>
                <w:color w:val="auto"/>
              </w:rPr>
            </w:pPr>
            <w:r>
              <w:rPr>
                <w:rFonts w:ascii="Times New Roman" w:cs="Times New Roman" w:eastAsia="Times New Roman" w:hAnsi="Times New Roman"/>
                <w:sz w:val="18"/>
                <w:szCs w:val="18"/>
                <w:color w:val="auto"/>
              </w:rPr>
              <w:t>CUX, Inc. (d/b/a CorpU)</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2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3,654,203</w:t>
            </w:r>
          </w:p>
        </w:tc>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Nextdoor Holdings, Inc.</w:t>
            </w:r>
          </w:p>
        </w:tc>
        <w:tc>
          <w:tcPr>
            <w:tcW w:w="80" w:type="dxa"/>
            <w:vAlign w:val="bottom"/>
          </w:tcPr>
          <w:p>
            <w:pPr>
              <w:spacing w:after="0"/>
              <w:rPr>
                <w:sz w:val="22"/>
                <w:szCs w:val="22"/>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1,968,755</w:t>
            </w:r>
          </w:p>
        </w:tc>
        <w:tc>
          <w:tcPr>
            <w:tcW w:w="80" w:type="dxa"/>
            <w:vAlign w:val="bottom"/>
          </w:tcPr>
          <w:p>
            <w:pPr>
              <w:spacing w:after="0"/>
              <w:rPr>
                <w:sz w:val="22"/>
                <w:szCs w:val="22"/>
                <w:color w:val="auto"/>
              </w:rPr>
            </w:pPr>
          </w:p>
        </w:tc>
      </w:tr>
      <w:tr>
        <w:trPr>
          <w:trHeight w:val="201"/>
        </w:trPr>
        <w:tc>
          <w:tcPr>
            <w:tcW w:w="3240" w:type="dxa"/>
            <w:vAlign w:val="bottom"/>
            <w:gridSpan w:val="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NewLake Capital Partners, Inc. (f/k/a</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0" w:type="dxa"/>
            <w:vAlign w:val="bottom"/>
            <w:gridSpan w:val="3"/>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4C Insights (f/k/a The Echo Systems</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1"/>
        </w:trPr>
        <w:tc>
          <w:tcPr>
            <w:tcW w:w="3240" w:type="dxa"/>
            <w:vAlign w:val="bottom"/>
            <w:gridSpan w:val="5"/>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GreenAcreage Real Estate Corp.)</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2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1,905,116</w:t>
            </w:r>
          </w:p>
        </w:tc>
        <w:tc>
          <w:tcPr>
            <w:tcW w:w="3400" w:type="dxa"/>
            <w:vAlign w:val="bottom"/>
            <w:gridSpan w:val="3"/>
            <w:shd w:val="clear" w:color="auto" w:fill="CCEEFF"/>
          </w:tcPr>
          <w:p>
            <w:pPr>
              <w:ind w:left="120"/>
              <w:spacing w:after="0" w:line="271" w:lineRule="exact"/>
              <w:rPr>
                <w:sz w:val="20"/>
                <w:szCs w:val="20"/>
                <w:color w:val="auto"/>
              </w:rPr>
            </w:pPr>
            <w:r>
              <w:rPr>
                <w:rFonts w:ascii="Times New Roman" w:cs="Times New Roman" w:eastAsia="Times New Roman" w:hAnsi="Times New Roman"/>
                <w:sz w:val="18"/>
                <w:szCs w:val="18"/>
                <w:color w:val="auto"/>
              </w:rPr>
              <w:t>Corp.)</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1,414,905</w:t>
            </w:r>
          </w:p>
        </w:tc>
        <w:tc>
          <w:tcPr>
            <w:tcW w:w="80" w:type="dxa"/>
            <w:vAlign w:val="bottom"/>
            <w:shd w:val="clear" w:color="auto" w:fill="CCEEFF"/>
          </w:tcPr>
          <w:p>
            <w:pPr>
              <w:spacing w:after="0"/>
              <w:rPr>
                <w:sz w:val="23"/>
                <w:szCs w:val="23"/>
                <w:color w:val="auto"/>
              </w:rPr>
            </w:pPr>
          </w:p>
        </w:tc>
      </w:tr>
      <w:tr>
        <w:trPr>
          <w:trHeight w:val="216"/>
        </w:trPr>
        <w:tc>
          <w:tcPr>
            <w:tcW w:w="3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Varo Money, Inc.</w:t>
            </w:r>
          </w:p>
        </w:tc>
        <w:tc>
          <w:tcPr>
            <w:tcW w:w="100" w:type="dxa"/>
            <w:vAlign w:val="bottom"/>
          </w:tcPr>
          <w:p>
            <w:pPr>
              <w:spacing w:after="0"/>
              <w:rPr>
                <w:sz w:val="18"/>
                <w:szCs w:val="18"/>
                <w:color w:val="auto"/>
              </w:rPr>
            </w:pPr>
          </w:p>
        </w:tc>
        <w:tc>
          <w:tcPr>
            <w:tcW w:w="2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(1,463,873)</w:t>
            </w:r>
          </w:p>
        </w:tc>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Aspiration Partners, Inc.</w:t>
            </w:r>
          </w:p>
        </w:tc>
        <w:tc>
          <w:tcPr>
            <w:tcW w:w="80" w:type="dxa"/>
            <w:vAlign w:val="bottom"/>
          </w:tcPr>
          <w:p>
            <w:pPr>
              <w:spacing w:after="0"/>
              <w:rPr>
                <w:sz w:val="18"/>
                <w:szCs w:val="18"/>
                <w:color w:val="auto"/>
              </w:rPr>
            </w:pP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(1,334,698)</w:t>
            </w:r>
          </w:p>
        </w:tc>
      </w:tr>
      <w:tr>
        <w:trPr>
          <w:trHeight w:val="216"/>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Palantir Lending Trust SPV I</w:t>
            </w:r>
          </w:p>
        </w:tc>
        <w:tc>
          <w:tcPr>
            <w:tcW w:w="1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(1,620,240)</w:t>
            </w:r>
          </w:p>
        </w:tc>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StormWind, LLC</w:t>
            </w:r>
          </w:p>
        </w:tc>
        <w:tc>
          <w:tcPr>
            <w:tcW w:w="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(1,342,526)</w:t>
            </w:r>
          </w:p>
        </w:tc>
      </w:tr>
      <w:tr>
        <w:trPr>
          <w:trHeight w:val="216"/>
        </w:trPr>
        <w:tc>
          <w:tcPr>
            <w:tcW w:w="3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Enjoy Technology, Inc.</w:t>
            </w:r>
          </w:p>
        </w:tc>
        <w:tc>
          <w:tcPr>
            <w:tcW w:w="100" w:type="dxa"/>
            <w:vAlign w:val="bottom"/>
          </w:tcPr>
          <w:p>
            <w:pPr>
              <w:spacing w:after="0"/>
              <w:rPr>
                <w:sz w:val="18"/>
                <w:szCs w:val="18"/>
                <w:color w:val="auto"/>
              </w:rPr>
            </w:pPr>
          </w:p>
        </w:tc>
        <w:tc>
          <w:tcPr>
            <w:tcW w:w="2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(2,514,243)</w:t>
            </w:r>
          </w:p>
        </w:tc>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NestGSV, Inc. (d/b/a GSV Labs, Inc.)</w:t>
            </w:r>
          </w:p>
        </w:tc>
        <w:tc>
          <w:tcPr>
            <w:tcW w:w="80" w:type="dxa"/>
            <w:vAlign w:val="bottom"/>
          </w:tcPr>
          <w:p>
            <w:pPr>
              <w:spacing w:after="0"/>
              <w:rPr>
                <w:sz w:val="18"/>
                <w:szCs w:val="18"/>
                <w:color w:val="auto"/>
              </w:rPr>
            </w:pP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(2,326,760)</w:t>
            </w:r>
          </w:p>
        </w:tc>
      </w:tr>
      <w:tr>
        <w:trPr>
          <w:trHeight w:val="198"/>
        </w:trPr>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Treehouse Real Estate Investment Trust,</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the Runway, Inc.</w:t>
            </w: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(2,581,146)</w:t>
            </w:r>
          </w:p>
        </w:tc>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8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(4,063,112)</w:t>
            </w:r>
          </w:p>
        </w:tc>
      </w:tr>
      <w:tr>
        <w:trPr>
          <w:trHeight w:val="256"/>
        </w:trPr>
        <w:tc>
          <w:tcPr>
            <w:tcW w:w="3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Ozy Media, Inc.</w:t>
            </w:r>
          </w:p>
        </w:tc>
        <w:tc>
          <w:tcPr>
            <w:tcW w:w="100" w:type="dxa"/>
            <w:vAlign w:val="bottom"/>
          </w:tcPr>
          <w:p>
            <w:pPr>
              <w:spacing w:after="0"/>
              <w:rPr>
                <w:sz w:val="22"/>
                <w:szCs w:val="22"/>
                <w:color w:val="auto"/>
              </w:rPr>
            </w:pPr>
          </w:p>
        </w:tc>
        <w:tc>
          <w:tcPr>
            <w:tcW w:w="2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(10,098,381)</w:t>
            </w:r>
          </w:p>
        </w:tc>
        <w:tc>
          <w:tcPr>
            <w:tcW w:w="340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SharesPost, Inc.</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2"/>
                <w:szCs w:val="22"/>
                <w:color w:val="auto"/>
              </w:rPr>
            </w:pP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(4,693,514)</w:t>
            </w:r>
          </w:p>
        </w:tc>
      </w:tr>
      <w:tr>
        <w:trPr>
          <w:trHeight w:val="257"/>
        </w:trPr>
        <w:tc>
          <w:tcPr>
            <w:tcW w:w="3240" w:type="dxa"/>
            <w:vAlign w:val="bottom"/>
            <w:gridSpan w:val="5"/>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Coursera, Inc.</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(35,822,601)</w:t>
            </w:r>
          </w:p>
        </w:tc>
        <w:tc>
          <w:tcPr>
            <w:tcW w:w="3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Ozy Media, Inc.</w:t>
            </w:r>
          </w:p>
        </w:tc>
        <w:tc>
          <w:tcPr>
            <w:tcW w:w="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(5,585,800)</w:t>
            </w:r>
          </w:p>
        </w:tc>
      </w:tr>
      <w:tr>
        <w:trPr>
          <w:trHeight w:val="257"/>
        </w:trPr>
        <w:tc>
          <w:tcPr>
            <w:tcW w:w="3240" w:type="dxa"/>
            <w:vAlign w:val="bottom"/>
            <w:gridSpan w:val="5"/>
          </w:tcPr>
          <w:p>
            <w:pPr>
              <w:spacing w:after="0" w:line="256" w:lineRule="exact"/>
              <w:rPr>
                <w:sz w:val="20"/>
                <w:szCs w:val="20"/>
                <w:color w:val="auto"/>
              </w:rPr>
            </w:pPr>
            <w:r>
              <w:rPr>
                <w:rFonts w:ascii="Times New Roman" w:cs="Times New Roman" w:eastAsia="Times New Roman" w:hAnsi="Times New Roman"/>
                <w:sz w:val="18"/>
                <w:szCs w:val="18"/>
                <w:color w:val="auto"/>
              </w:rPr>
              <w:t>Palantir Technologies, Inc.</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2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(81,760,272)</w:t>
            </w:r>
          </w:p>
        </w:tc>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Neutron Holdings, Inc. (d/b/a/ Lime)</w:t>
            </w:r>
          </w:p>
        </w:tc>
        <w:tc>
          <w:tcPr>
            <w:tcW w:w="80" w:type="dxa"/>
            <w:vAlign w:val="bottom"/>
          </w:tcPr>
          <w:p>
            <w:pPr>
              <w:spacing w:after="0"/>
              <w:rPr>
                <w:sz w:val="22"/>
                <w:szCs w:val="22"/>
                <w:color w:val="auto"/>
              </w:rPr>
            </w:pP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(6,515,508)</w:t>
            </w:r>
          </w:p>
        </w:tc>
      </w:tr>
      <w:tr>
        <w:trPr>
          <w:trHeight w:val="257"/>
        </w:trPr>
        <w:tc>
          <w:tcPr>
            <w:tcW w:w="3240" w:type="dxa"/>
            <w:vAlign w:val="bottom"/>
            <w:gridSpan w:val="5"/>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(2,921,031)</w:t>
            </w:r>
          </w:p>
        </w:tc>
        <w:tc>
          <w:tcPr>
            <w:tcW w:w="3400" w:type="dxa"/>
            <w:vAlign w:val="bottom"/>
            <w:gridSpan w:val="3"/>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Parchment, Inc.</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2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(6,895,603)</w:t>
            </w:r>
          </w:p>
        </w:tc>
      </w:tr>
      <w:tr>
        <w:trPr>
          <w:trHeight w:val="256"/>
        </w:trPr>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80" w:type="dxa"/>
            <w:vAlign w:val="bottom"/>
          </w:tcPr>
          <w:p>
            <w:pPr>
              <w:spacing w:after="0"/>
              <w:rPr>
                <w:sz w:val="22"/>
                <w:szCs w:val="22"/>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174,980</w:t>
            </w:r>
          </w:p>
        </w:tc>
        <w:tc>
          <w:tcPr>
            <w:tcW w:w="80" w:type="dxa"/>
            <w:vAlign w:val="bottom"/>
          </w:tcPr>
          <w:p>
            <w:pPr>
              <w:spacing w:after="0"/>
              <w:rPr>
                <w:sz w:val="22"/>
                <w:szCs w:val="2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3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(61,732,964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73,410,631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340" w:right="20" w:hanging="332"/>
        <w:spacing w:after="0" w:line="26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investments (including U.S. Treasury bills) for which individual change in unrealized appreciation/(depreciation) was less than $1.0 million for the year ended December 31, 2021 and 2020.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Please refer to “Note 12—Subsequent Events” to our consolidated financial statements as of December 31, 2022 for details regarding activity in our investment portfolio from January 1, 2023 through March 15, 2023.</w:t>
      </w:r>
    </w:p>
    <w:p>
      <w:pPr>
        <w:spacing w:after="0" w:line="16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Terminating Custody Agreements</w:t>
      </w:r>
    </w:p>
    <w:p>
      <w:pPr>
        <w:spacing w:after="0" w:line="256"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On March 10, 2023, the Company and U.S. Bank Trust Company, National Association (the ““Securities Custodian”) ”) and U.S. Bank National Association (the “Document Custodian” and, together with the Custodian, the “U.S. Bank Entities”) agreed to terminate, effective as of May 9, 2023 or such later date as the parties mutually agree, the Custody Agreement, dated as of October 28, 2022, between the Company and the Custodian (the “Securities Custody Agreement”), and the Document Custody Agreement, dated as of October 28, 2022, between the Company and the Document Custodian (the “Document Custody Agreement” and, together with the Securities Custody Agreement, the “Custody Agreements”). We have commenced a transition process with the U.S. Bank Entities, and we are currently in discussions with a number of reputable qualified custodians that we expect will be able to fulfill the Company’s needs in providing the custodial services currently provided by the U.S. Bank Entities without disruption. The termination of the Custody Agreements followed a determination by the parties that the arrangements set forth by the Custody Agreements were no longer mutually beneficial. We do not believe that such termination will have a material adverse impact on our operations or financial condition. See “Item 9B. Other Information” of this Form 10-K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In addition, on March 28, 2018, we issued $40.0 million aggregate principal amount of 4.75% Convertible Senior Notes due 2023, the outstanding principal amount of which we redeemed in full on March 29, 2021. On December 17, 2021, we issued $75.0 million aggregate principal amount of 6.00% Notes due 2026, all of which remain outstanding. For additional information, see below and “Note 10—Debt Capital Activities” to our consolidated financial statements as of December 31, 2022.</w:t>
      </w:r>
    </w:p>
    <w:p>
      <w:pPr>
        <w:spacing w:after="0" w:line="18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Our primary uses of cash are to make investments, pay our operating expenses, and make distributions to our stockholders. For the year ended December 31, 2022, our operating expenses were $18,164,201. For the years ended December 31, 2021 and 2020, our operating expenses were $11,401,661 and $16,338,543,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Reserves and Liquid Securities</w:t>
            </w:r>
          </w:p>
        </w:tc>
        <w:tc>
          <w:tcPr>
            <w:tcW w:w="160" w:type="dxa"/>
            <w:vAlign w:val="bottom"/>
          </w:tcPr>
          <w:p>
            <w:pPr>
              <w:spacing w:after="0"/>
              <w:rPr>
                <w:sz w:val="21"/>
                <w:szCs w:val="21"/>
                <w:color w:val="auto"/>
              </w:rPr>
            </w:pPr>
          </w:p>
        </w:tc>
        <w:tc>
          <w:tcPr>
            <w:tcW w:w="2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21"/>
                <w:szCs w:val="21"/>
                <w:color w:val="auto"/>
              </w:rPr>
            </w:pPr>
          </w:p>
        </w:tc>
        <w:tc>
          <w:tcPr>
            <w:tcW w:w="2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4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40,117,598</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198,437,078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45,793,724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47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U.S. Treasury bills</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85,056,817</w:t>
            </w:r>
          </w:p>
        </w:tc>
        <w:tc>
          <w:tcPr>
            <w:tcW w:w="16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47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Unrestricted securities</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13,298,992</w:t>
            </w:r>
          </w:p>
        </w:tc>
        <w:tc>
          <w:tcPr>
            <w:tcW w:w="16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16,970,411</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740" w:type="dxa"/>
            <w:vAlign w:val="bottom"/>
            <w:gridSpan w:val="3"/>
          </w:tcPr>
          <w:p>
            <w:pPr>
              <w:ind w:left="180"/>
              <w:spacing w:after="0" w:line="270" w:lineRule="exact"/>
              <w:rPr>
                <w:sz w:val="20"/>
                <w:szCs w:val="20"/>
                <w:color w:val="auto"/>
              </w:rPr>
            </w:pPr>
            <w:r>
              <w:rPr>
                <w:rFonts w:ascii="Times New Roman" w:cs="Times New Roman" w:eastAsia="Times New Roman" w:hAnsi="Times New Roman"/>
                <w:sz w:val="18"/>
                <w:szCs w:val="18"/>
                <w:color w:val="auto"/>
              </w:rPr>
              <w:t>Subject to other sales restrictions</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4"/>
                <w:szCs w:val="24"/>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24,493</w:t>
            </w:r>
          </w:p>
        </w:tc>
        <w:tc>
          <w:tcPr>
            <w:tcW w:w="160" w:type="dxa"/>
            <w:vAlign w:val="bottom"/>
          </w:tcPr>
          <w:p>
            <w:pPr>
              <w:spacing w:after="0"/>
              <w:rPr>
                <w:sz w:val="24"/>
                <w:szCs w:val="24"/>
                <w:color w:val="auto"/>
              </w:rPr>
            </w:pP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27,602,814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94,635,398</w:t>
            </w:r>
          </w:p>
        </w:tc>
      </w:tr>
      <w:tr>
        <w:trPr>
          <w:trHeight w:val="236"/>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of publicly traded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13,323,485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44,573,225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94,635,398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Cash Reserves and Liquid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138,497,900</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243,010,303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140,429,122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securities” represents common stock of our publicly traded companies that are not subject to any restrictions upon sale. We may incur losses if we liquidate these positions to pay operating expenses or fund new investments.</w:t>
      </w:r>
    </w:p>
    <w:p>
      <w:pPr>
        <w:ind w:left="340" w:right="20" w:hanging="332"/>
        <w:spacing w:after="0" w:line="25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publicly traded portfolio companies “subject to other sales restrictions” represents common stock and options of our publicly traded companies that are subject to certain lock-up restrictions.</w:t>
      </w: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short-term U.S. Treasury bills</w:t>
      </w:r>
    </w:p>
    <w:p>
      <w:pPr>
        <w:spacing w:after="0" w:line="20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cash decreased to $40,117,598 from $198,437,078 at the beginning of the year. The decrease in cash was primarily due to the purchase of new investments including U.S. Treasury bills, the payment of our dividends, the Modified Dutch Auction Tender Offer and share repurchases under the Share Repurchase Program, interest on the 6.00% Notes due 2026, and to pay our operating expenses offset by proceeds from the sale of public investments and other investment income received.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significant contractual payment obligations as of December 31, 2022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18"/>
                <w:szCs w:val="18"/>
                <w:b w:val="1"/>
                <w:bCs w:val="1"/>
                <w:i w:val="1"/>
                <w:iCs w:val="1"/>
                <w:color w:val="auto"/>
              </w:rPr>
              <w:t>(in millions)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6"/>
                <w:szCs w:val="16"/>
                <w:color w:val="auto"/>
              </w:rPr>
            </w:pPr>
          </w:p>
        </w:tc>
      </w:tr>
      <w:tr>
        <w:trPr>
          <w:trHeight w:val="245"/>
        </w:trPr>
        <w:tc>
          <w:tcPr>
            <w:tcW w:w="28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r>
      <w:tr>
        <w:trPr>
          <w:trHeight w:val="243"/>
        </w:trPr>
        <w:tc>
          <w:tcPr>
            <w:tcW w:w="28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Notes</w:t>
            </w:r>
            <w:r>
              <w:rPr>
                <w:rFonts w:ascii="Times New Roman" w:cs="Times New Roman" w:eastAsia="Times New Roman" w:hAnsi="Times New Roman"/>
                <w:sz w:val="28"/>
                <w:szCs w:val="28"/>
                <w:color w:val="auto"/>
                <w:vertAlign w:val="superscript"/>
              </w:rPr>
              <w:t>(1)</w:t>
            </w:r>
          </w:p>
        </w:tc>
        <w:tc>
          <w:tcPr>
            <w:tcW w:w="2160" w:type="dxa"/>
            <w:vAlign w:val="bottom"/>
            <w:gridSpan w:val="2"/>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shown for the “Notes” reflects the principal balance payable to investors for the 6.00% Notes due 2026 as of December 31, 2022. Refer to “Note 10—Debt Capital Activities” in our consolidated financial statements as of December 31, 2022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1,008,676 shares of the Company’s common stock under the Share Repurchase Program. During the year ended December 31, 2021, the Company did not repurchase any shares of common stock under the Share Repurchase Program. As of December 31, 2022, the dollar value of shares that remained available to be purchased by the Company under the Share Repurchase Program was approximately $16.4 million.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Exchange Act. For more information on the Share Repurchase Program, see “Part II, Item 5. Market for Registrant’s Common Equity, Related Stockholder Matters and Issuer Purchases of Equity Securities — Issuer Repurchases of Equity Securities” and “Note 5—Common Stock” to our consolidated financial statements as of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8, 2022, the Company commenced a modified “Dutch Auction” tender offer (the “Modified Dutch Auction Tender Offer”) to purchase up to 2,000,000 shares of its common stock from its stockholders, which expired on September 2, 2022. In accordance with the terms of the Modified Dutch Auction Tender Offer, the Company selected the lowest price per share of not less than $6.00 per share and not greater than $7.00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Modified Dutch Auction Tender Offer, the Company repurchased 2,000,000 shares, representing 6.6% of its then outstanding shares, on or about September 12, 2022 at a price of $6.60 per share. The Company used available cash to fund the purchases of its shares of common stock in the Modified Dutch Auction Tender Offer and to pay for all related fees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As of December 31, 2022, we had no off-balance sheet arrangements, including any risk management of commodity pricing or other hedging practices. However, we may employ hedging and other risk management techniques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&amp; Debt Capital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ectPr>
          <w:pgSz w:w="11900" w:h="16838" w:orient="portrait"/>
          <w:cols w:equalWidth="0" w:num="1">
            <w:col w:w="11240"/>
          </w:cols>
          <w:pgMar w:left="320" w:top="229"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issued and sold 17,807 shares under the ATM Program at a weighted-average price of $13.01 per share, for gross proceeds of $231,677 and net proceeds of $229,896, after deducting commissions to the Agents on Shares sold. As of December 31, 2022, up to approximately $98.8 million in aggregate amount of the Shares remain available for sale under the ATM Program.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issued and sold 5,900 shares under the ATM Program at a weighted-average price of $13.42 per share, for gross proceeds of $79,198 and net proceeds of $78,608, after deducting commissions to the Agents on shares sold. As of December 31, 2021, up to approximately $99.0 million in aggregate amount of the shares remain available for sale under the ATM Program.</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5—Common Stock” to our consolidated financial statements as of December 31, 2022 for more information regarding the ATM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4.75% Convertible Senior Notes due 2023</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28, 2018, we issued $40.0 million aggregate principal amount of 4.75% Convertible Senior Notes due 2023, which bore interest at a fixed rate of 4.75% per year, payable semi-annually in arrears on March 31 and September 30 of each year, commencing on September 30, 2018. We received approximately $38.2 million in proceeds from the offering, net of underwriting discounts and commissions and other offering expenses. The 4.75% Convertible Senior Notes due 2023 had a maturity date of March 28, 2023, unless previously repurchased or converted in accordance with their terms. We did not have the right to redeem the 4.75% Convertible Senior Notes due 2023 prior to March 27,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29, 2021, the Company redeemed $0.3 million in aggregate principal amount of the 4.75% Convertible Senior Notes due 2023 at a redemption price equal to 100% of their principal amount ($1,000 per convertible note), plus accrued and unpaid interest thereon, which amounted to approximately $0.8 million. As a result of this redemption and prior conversions of the 4.75% Convertible Senior Notes due 2023 into shares of our common stock by the holders thereof, the 4.75% Convertible Senior Notes due 2023 were no longer outstanding as of March 29, 2021.</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10—Debt Capital Activities” to our consolidated financial statements as of December 31, 2022 for more information regarding the 4.75% Convertible Senior Notes due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6.00% Notes due 2026</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10—Debt Capital Activities” to our consolidated financial statements as of December 31, 2022 for more information regarding the 6.00% Notes due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See “Market for Registrant’s Common Equity, Related Stockholder Matters and Issuer Purchases of Equity Securities” in Part II, Item 5 of this Form 10-K for a list of our past distributions, including dividends and returns of capital, if any, per share that we have declared since our formation through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consolidated financial statements as of December 31, 2022 for further detail regarding our critical accounting policies and recently issued or adopted accounting pronouncements.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3—Related-Party Arrangements” to our consolidated financial statements as of December 31, 2022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investments may not have a readily available market quotation, as such term is defined in Rule 2a-5, and we value these investments at fair value as determined in good faith by our Board of Directors in accordance with our valuation policy, as applicable.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2022, all of our debt investments and outstanding borrowings bore fixed rates of interest.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880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6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10680" w:type="dxa"/>
            <w:vAlign w:val="bottom"/>
            <w:tcBorders>
              <w:top w:val="single" w:sz="8" w:color="CCEE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5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Assets and Liabilities as of December 31, 2022 and 2021</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2022, 2021 and 2020</w:t>
            </w:r>
          </w:p>
        </w:tc>
        <w:tc>
          <w:tcPr>
            <w:tcW w:w="3820" w:type="dxa"/>
            <w:vAlign w:val="bottom"/>
            <w:tcBorders>
              <w:bottom w:val="single" w:sz="8" w:color="CCEEFF"/>
            </w:tcBorders>
            <w:gridSpan w:val="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Net Assets for the years ended December 31, 2022, 2021 and 2020</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2022, 2021 and 2020</w:t>
            </w:r>
          </w:p>
        </w:tc>
        <w:tc>
          <w:tcPr>
            <w:tcW w:w="3760" w:type="dxa"/>
            <w:vAlign w:val="bottom"/>
            <w:tcBorders>
              <w:bottom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Schedule of Investments as of December 31, 2022</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Schedule of Investments as of December 31, 2021</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Borders>
              <w:top w:val="single" w:sz="8" w:color="0000EE"/>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1460" w:type="dxa"/>
            <w:vAlign w:val="bottom"/>
            <w:tcBorders>
              <w:top w:val="single" w:sz="8" w:color="0000EE"/>
            </w:tcBorders>
            <w:gridSpan w:val="2"/>
          </w:tcPr>
          <w:p>
            <w:pPr>
              <w:spacing w:after="0"/>
              <w:rPr>
                <w:sz w:val="15"/>
                <w:szCs w:val="15"/>
                <w:color w:val="auto"/>
              </w:rPr>
            </w:pPr>
          </w:p>
        </w:tc>
        <w:tc>
          <w:tcPr>
            <w:tcW w:w="6060" w:type="dxa"/>
            <w:vAlign w:val="bottom"/>
            <w:tcBorders>
              <w:top w:val="single" w:sz="8" w:color="CCEEFF"/>
            </w:tcBorders>
            <w:gridSpan w:val="5"/>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6140" w:type="dxa"/>
            <w:vAlign w:val="bottom"/>
            <w:tcBorders>
              <w:bottom w:val="single" w:sz="8" w:color="auto"/>
            </w:tcBorders>
            <w:gridSpan w:val="6"/>
          </w:tcPr>
          <w:p>
            <w:pPr>
              <w:ind w:left="5540"/>
              <w:spacing w:after="0"/>
              <w:rPr>
                <w:sz w:val="20"/>
                <w:szCs w:val="20"/>
                <w:color w:val="auto"/>
              </w:rPr>
            </w:pPr>
            <w:r>
              <w:rPr>
                <w:rFonts w:ascii="Times New Roman" w:cs="Times New Roman" w:eastAsia="Times New Roman" w:hAnsi="Times New Roman"/>
                <w:sz w:val="18"/>
                <w:szCs w:val="18"/>
                <w:color w:val="auto"/>
              </w:rPr>
              <w:t>71</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Shareholders and Board of Directors of </w:t>
      </w:r>
      <w:r>
        <w:rPr>
          <w:rFonts w:ascii="Times New Roman" w:cs="Times New Roman" w:eastAsia="Times New Roman" w:hAnsi="Times New Roman"/>
          <w:sz w:val="18"/>
          <w:szCs w:val="18"/>
          <w:b w:val="1"/>
          <w:bCs w:val="1"/>
          <w:color w:val="auto"/>
        </w:rPr>
        <w:t>SuRo Capital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assets and liabilities of SuRo Capital Corp. and subsidiaries (the “Company”) including the consolidated schedule of investments as of December 31, 2022 and 2021, the related consolidated statements of operations, cash flows, and changes in net assets for each of the three years in the period ended December 31, 2022, the financial highlights (presented in Note 8) for each of the three years in the period then ended, and the related notes (collectively referred to as the “financial statements”). In our opinion, the financial statements and financial highlights present fairly, in all material respects, the financial position of the Company as of December 31, 2022 and 2021, and the results of its operations, changes in net assets and its cash flows for each of the three years in the period ended December 31, 2022 and the financial highlights for each of the three years in the period then ended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2022 and 2021, by correspondence with the custodian, loan agents, and borrowers; when replies were not received, we performed other auditing procedures.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related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Investments – Level 3 Investments in Preferred Stock, Common Stock, Debt Investments and Options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4 to the financial statements, approximately 59% of the Company’s $242 million total investments in securities as of December 31, 2022 represents investments in level 3 preferred stock, common stock, debt investments and options issued by private companies whose fair value, as disclosed by management, is determined in good faith by the Board of Directors. Management applied significant judgment in determining the fair value of these level 3 investments, which involved the use of significant unobservable inputs with respect to the revenue and/or other multiples utilized, liquidation value, financing risk, term to expiration and discount rates.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level 3 investments in preferred stock, common stock, debt investments and options is a critical audit matter are the significant judgment involved by management in determining the fair value of these level 3 investments, including the use of various valuation techniques and significant unobservable inputs, which in turn led to a high degree of auditor judgment, subjectivity, and effort in performing audit procedures and evaluating the audit evidence obtained relating to the valuation techniques and significant unobservable inputs.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and financial highlights. Our principle audit procedures included, among others:</w:t>
      </w:r>
    </w:p>
    <w:p>
      <w:pPr>
        <w:spacing w:after="0" w:line="162" w:lineRule="exact"/>
        <w:rPr>
          <w:sz w:val="20"/>
          <w:szCs w:val="20"/>
          <w:color w:val="auto"/>
        </w:rPr>
      </w:pPr>
    </w:p>
    <w:p>
      <w:pPr>
        <w:jc w:val="both"/>
        <w:ind w:firstLine="8"/>
        <w:spacing w:after="0" w:line="266" w:lineRule="auto"/>
        <w:tabs>
          <w:tab w:leader="none" w:pos="2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management’s valuations, including evaluating the appropriateness of management’s methodologies, evaluating the reasonableness of assumptions and significant unobservable inputs, including revenue and/or other multiples utilized, liquidation value, financing risk, term to expiration and discount rates;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involvement of professionals with specialized skills and knowledge to assist in the assessment of the fair values for a sample of investments, including reviewing the valuation methodologies, assessing the assumptions utilized in developing the estimates, and evaluating the reasonableness of management’s conclusions in deriving the valuations.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ectPr>
          <w:pgSz w:w="11900" w:h="16838" w:orient="portrait"/>
          <w:cols w:equalWidth="0" w:num="1">
            <w:col w:w="11240"/>
          </w:cols>
          <w:pgMar w:left="320" w:top="229" w:right="339" w:bottom="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Non-controlled/non-affiliate investments (cost of $155,103,810 and $146,360,300,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130,901,546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231,768,290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 (cost of $41,140,804 and $41,211,183, respectively)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12,591,162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14,609,089</w:t>
            </w:r>
          </w:p>
        </w:tc>
        <w:tc>
          <w:tcPr>
            <w:tcW w:w="0" w:type="dxa"/>
            <w:vAlign w:val="bottom"/>
          </w:tcPr>
          <w:p>
            <w:pPr>
              <w:spacing w:after="0"/>
              <w:rPr>
                <w:sz w:val="1"/>
                <w:szCs w:val="1"/>
                <w:color w:val="auto"/>
              </w:rPr>
            </w:pPr>
          </w:p>
        </w:tc>
      </w:tr>
      <w:tr>
        <w:trPr>
          <w:trHeight w:val="24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 (cost of $19,883,894 and $19,883,894, respectively)</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13,695,870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13,758,874</w:t>
            </w:r>
          </w:p>
        </w:tc>
        <w:tc>
          <w:tcPr>
            <w:tcW w:w="0" w:type="dxa"/>
            <w:vAlign w:val="bottom"/>
          </w:tcPr>
          <w:p>
            <w:pPr>
              <w:spacing w:after="0"/>
              <w:rPr>
                <w:sz w:val="1"/>
                <w:szCs w:val="1"/>
                <w:color w:val="auto"/>
              </w:rPr>
            </w:pPr>
          </w:p>
        </w:tc>
      </w:tr>
      <w:tr>
        <w:trPr>
          <w:trHeight w:val="226"/>
        </w:trPr>
        <w:tc>
          <w:tcPr>
            <w:tcW w:w="67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Portfolio Investments</w:t>
            </w:r>
          </w:p>
        </w:tc>
        <w:tc>
          <w:tcPr>
            <w:tcW w:w="2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157,188,578</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260,136,253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U.S. Treasury bills (cost of $84,999,598 and $0, respectively)</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85,056,817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Investments (cost of $301,128,106 and $207,455,377, respectively)</w:t>
            </w: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242,245,395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260,136,253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40,117,598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198,437,078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52,493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628,332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2,046,645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83,655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555,761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621,719</w:t>
            </w:r>
          </w:p>
        </w:tc>
        <w:tc>
          <w:tcPr>
            <w:tcW w:w="0" w:type="dxa"/>
            <w:vAlign w:val="bottom"/>
          </w:tcPr>
          <w:p>
            <w:pPr>
              <w:spacing w:after="0"/>
              <w:rPr>
                <w:sz w:val="1"/>
                <w:szCs w:val="1"/>
                <w:color w:val="auto"/>
              </w:rPr>
            </w:pPr>
          </w:p>
        </w:tc>
      </w:tr>
      <w:tr>
        <w:trPr>
          <w:trHeight w:val="277"/>
        </w:trPr>
        <w:tc>
          <w:tcPr>
            <w:tcW w:w="67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Prepaid expenses and other assets</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727,006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937,984</w:t>
            </w:r>
          </w:p>
        </w:tc>
        <w:tc>
          <w:tcPr>
            <w:tcW w:w="0" w:type="dxa"/>
            <w:vAlign w:val="bottom"/>
          </w:tcPr>
          <w:p>
            <w:pPr>
              <w:spacing w:after="0"/>
              <w:rPr>
                <w:sz w:val="1"/>
                <w:szCs w:val="1"/>
                <w:color w:val="auto"/>
              </w:rPr>
            </w:pPr>
          </w:p>
        </w:tc>
      </w:tr>
      <w:tr>
        <w:trPr>
          <w:trHeight w:val="236"/>
        </w:trPr>
        <w:tc>
          <w:tcPr>
            <w:tcW w:w="6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284,412,858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462,315,827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Accounts payable and accrued expenses</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708,827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875,047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296,170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23,390,048</w:t>
            </w:r>
          </w:p>
        </w:tc>
        <w:tc>
          <w:tcPr>
            <w:tcW w:w="0" w:type="dxa"/>
            <w:vAlign w:val="bottom"/>
          </w:tcPr>
          <w:p>
            <w:pPr>
              <w:spacing w:after="0"/>
              <w:rPr>
                <w:sz w:val="1"/>
                <w:szCs w:val="1"/>
                <w:color w:val="auto"/>
              </w:rPr>
            </w:pPr>
          </w:p>
        </w:tc>
      </w:tr>
      <w:tr>
        <w:trPr>
          <w:trHeight w:val="277"/>
        </w:trPr>
        <w:tc>
          <w:tcPr>
            <w:tcW w:w="67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6.00% Notes due December 30, 2026</w:t>
            </w:r>
            <w:r>
              <w:rPr>
                <w:rFonts w:ascii="Times New Roman" w:cs="Times New Roman" w:eastAsia="Times New Roman" w:hAnsi="Times New Roman"/>
                <w:sz w:val="29"/>
                <w:szCs w:val="29"/>
                <w:color w:val="auto"/>
                <w:vertAlign w:val="superscript"/>
              </w:rPr>
              <w:t>(2)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73,387,159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73,029,108</w:t>
            </w:r>
          </w:p>
        </w:tc>
        <w:tc>
          <w:tcPr>
            <w:tcW w:w="0" w:type="dxa"/>
            <w:vAlign w:val="bottom"/>
          </w:tcPr>
          <w:p>
            <w:pPr>
              <w:spacing w:after="0"/>
              <w:rPr>
                <w:sz w:val="1"/>
                <w:szCs w:val="1"/>
                <w:color w:val="auto"/>
              </w:rPr>
            </w:pPr>
          </w:p>
        </w:tc>
      </w:tr>
      <w:tr>
        <w:trPr>
          <w:trHeight w:val="243"/>
        </w:trPr>
        <w:tc>
          <w:tcPr>
            <w:tcW w:w="6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74,392,156</w:t>
            </w: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97,469,203</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7 and 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210,020,702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364,846,624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authorized; 28,429,499 and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31,118,556 issued and outstanding, respectively)</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284,295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311,185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330,899,254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350,079,409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investment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(64,832,605)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(50,124,597)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realized gain on investments, net of distributions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2,552,465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11,899,742</w:t>
            </w:r>
          </w:p>
        </w:tc>
        <w:tc>
          <w:tcPr>
            <w:tcW w:w="0" w:type="dxa"/>
            <w:vAlign w:val="bottom"/>
          </w:tcPr>
          <w:p>
            <w:pPr>
              <w:spacing w:after="0"/>
              <w:rPr>
                <w:sz w:val="1"/>
                <w:szCs w:val="1"/>
                <w:color w:val="auto"/>
              </w:rPr>
            </w:pPr>
          </w:p>
        </w:tc>
      </w:tr>
      <w:tr>
        <w:trPr>
          <w:trHeight w:val="24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appreciation/(depreciation) of investments</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(58,882,707)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52,680,885</w:t>
            </w:r>
          </w:p>
        </w:tc>
        <w:tc>
          <w:tcPr>
            <w:tcW w:w="0" w:type="dxa"/>
            <w:vAlign w:val="bottom"/>
          </w:tcPr>
          <w:p>
            <w:pPr>
              <w:spacing w:after="0"/>
              <w:rPr>
                <w:sz w:val="1"/>
                <w:szCs w:val="1"/>
                <w:color w:val="auto"/>
              </w:rPr>
            </w:pPr>
          </w:p>
        </w:tc>
      </w:tr>
      <w:tr>
        <w:trPr>
          <w:trHeight w:val="257"/>
        </w:trPr>
        <w:tc>
          <w:tcPr>
            <w:tcW w:w="670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210,020,702</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364,846,624</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includes a right of use asset and corresponding operating lease liability, respectively. Refer to “Note 7—Commitments and Contingencies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more detail.</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6.00% Notes due December 30, 2026 (effective interest rate of 6.53%) had a face value $75,000,000. As of December 31, 2021, the 6.00% Notes due December 30, 2026 (effective interest rate of 6.13%) had a face value $75,000,000. Refer to “Note 10—Debt Capital Activities” for a reconciliation of the carrying value to the face value.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Non-controlled/non-affiliate investments: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403,029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507,772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1,035,694</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541,239</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470,438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income/(reversal of accrued interest)</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(29,184)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102,632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317,617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1,685,000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200" w:type="dxa"/>
            <w:vAlign w:val="bottom"/>
          </w:tcPr>
          <w:p>
            <w:pPr>
              <w:spacing w:after="0"/>
              <w:rPr>
                <w:sz w:val="20"/>
                <w:szCs w:val="20"/>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5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U.S. Treasury bills</w:t>
            </w: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826,925</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Investment Income</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3,456,193</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1,470,842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1,824,127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7,566,452</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6,162,716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8,801,841</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Directors’ fees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675,716</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752,442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445,000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3,395,260</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2,665,689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2,962,781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4,845,549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693,526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2,247,817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82,238</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43,574</w:t>
            </w:r>
          </w:p>
        </w:tc>
        <w:tc>
          <w:tcPr>
            <w:tcW w:w="0" w:type="dxa"/>
            <w:vAlign w:val="bottom"/>
          </w:tcPr>
          <w:p>
            <w:pPr>
              <w:spacing w:after="0"/>
              <w:rPr>
                <w:sz w:val="1"/>
                <w:szCs w:val="1"/>
                <w:color w:val="auto"/>
              </w:rPr>
            </w:pPr>
          </w:p>
        </w:tc>
      </w:tr>
      <w:tr>
        <w:trPr>
          <w:trHeight w:val="24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1,598,986</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1,117,941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1,837,530</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18,164,201</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11,401,661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16,338,543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(14,708,008</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(9,930,819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(14,514,416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Realized Gain/(Loss) on Investments: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(5,835,074)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216,870,940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16,441,223</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20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(70,379)</w:t>
            </w:r>
          </w:p>
        </w:tc>
        <w:tc>
          <w:tcPr>
            <w:tcW w:w="2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1,864,564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Realized Gain/(Loss) on Investments</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(5,905,453)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218,735,504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Unrealized Appreciation/(Depreciation) of Investments: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Non-controlled/non-affiliated investments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(109,553,034)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(59,057,641)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82,163,227</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Non-controlled/affiliate investments</w:t>
            </w:r>
          </w:p>
        </w:tc>
        <w:tc>
          <w:tcPr>
            <w:tcW w:w="200" w:type="dxa"/>
            <w:vAlign w:val="bottom"/>
          </w:tcPr>
          <w:p>
            <w:pPr>
              <w:spacing w:after="0"/>
              <w:rPr>
                <w:sz w:val="18"/>
                <w:szCs w:val="18"/>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(1,947,553)</w:t>
            </w:r>
          </w:p>
        </w:tc>
        <w:tc>
          <w:tcPr>
            <w:tcW w:w="2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(2,902,517)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(8,786,596)</w:t>
            </w: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investments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(63,005)</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227,194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Unrealized Appreciation/(Depreciation) of Investments</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(111,563,592</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(61,732,964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73,410,631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(132,177,053</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147,071,721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75,337,438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 per Common Share:</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60"/>
              <w:spacing w:after="0" w:line="277"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6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197"/>
        </w:trPr>
        <w:tc>
          <w:tcPr>
            <w:tcW w:w="6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30,023,202</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25,861,642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17,910,353</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30,023,202</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26,758,367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21,790,898</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340" w:right="20" w:hanging="332"/>
        <w:spacing w:after="0" w:line="26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this balance includes $209,360 of stock-based compensation expense related to the 2020 annual non-employee director grants. Refer to “Note 11—Stock-Based Compensation” for more detail.</w:t>
      </w:r>
    </w:p>
    <w:p>
      <w:pPr>
        <w:jc w:val="both"/>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and 2021, there were no potentially dilutive securities outstanding. For the year ended December 31, 2020, 0 potentially dilutive common shares were excluded from the weighted average common shares outstanding for diluted net change in net assets resulting from operations per common share because the effect of these shares would have been anti-dilutive.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(14,708,008)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(9,930,819)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(14,514,416)</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(5,905,453)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218,735,504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16,441,223</w:t>
            </w:r>
          </w:p>
        </w:tc>
      </w:tr>
      <w:tr>
        <w:trPr>
          <w:trHeight w:val="23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20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(111,563,592)</w:t>
            </w: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(61,732,964)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73,410,631</w:t>
            </w: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(132,177,053)</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147,071,721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75,337,438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(3,441,824)</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(212,197,025)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(16,947,366)</w:t>
            </w:r>
          </w:p>
        </w:tc>
      </w:tr>
      <w:tr>
        <w:trPr>
          <w:trHeight w:val="203"/>
        </w:trPr>
        <w:tc>
          <w:tcPr>
            <w:tcW w:w="676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Distributions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(3,441,824)</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(212,197,025)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(16,947,366)</w:t>
            </w:r>
          </w:p>
        </w:tc>
        <w:tc>
          <w:tcPr>
            <w:tcW w:w="100" w:type="dxa"/>
            <w:vAlign w:val="bottom"/>
            <w:tcBorders>
              <w:top w:val="single" w:sz="8" w:color="CCEEFF"/>
            </w:tcBorders>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public offering</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229,896</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49,882,319</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conversion of 4.75% Convertible Notes due 2023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37,259,819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1,810,956</w:t>
            </w: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2,015,600</w:t>
            </w:r>
          </w:p>
        </w:tc>
        <w:tc>
          <w:tcPr>
            <w:tcW w:w="18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1,306,615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1,962,431</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dividend</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89,743,813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(21,452,541)</w:t>
            </w: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(10,379,994)</w:t>
            </w: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Capital Transactions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(19,207,045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128,388,855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43,275,712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7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Change in Net Assets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(154,825,922</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63,263,551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101,665,784</w:t>
            </w:r>
          </w:p>
        </w:tc>
        <w:tc>
          <w:tcPr>
            <w:tcW w:w="100" w:type="dxa"/>
            <w:vAlign w:val="bottom"/>
            <w:tcBorders>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Beginning of Year</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364,846,624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301,583,073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199,917,289</w:t>
            </w:r>
          </w:p>
        </w:tc>
        <w:tc>
          <w:tcPr>
            <w:tcW w:w="100" w:type="dxa"/>
            <w:vAlign w:val="bottom"/>
            <w:shd w:val="clear" w:color="auto" w:fill="CCEEFF"/>
          </w:tcPr>
          <w:p>
            <w:pPr>
              <w:spacing w:after="0"/>
              <w:rPr>
                <w:sz w:val="18"/>
                <w:szCs w:val="18"/>
                <w:color w:val="auto"/>
              </w:rPr>
            </w:pPr>
          </w:p>
        </w:tc>
      </w:tr>
      <w:tr>
        <w:trPr>
          <w:trHeight w:val="283"/>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at End of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210,020,702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364,846,624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301,583,073</w:t>
            </w:r>
          </w:p>
        </w:tc>
      </w:tr>
      <w:tr>
        <w:trPr>
          <w:trHeight w:val="197"/>
        </w:trPr>
        <w:tc>
          <w:tcPr>
            <w:tcW w:w="6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at beginning of year</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31,118,556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19,914,023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17,564,244</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public offering</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17,807</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3,808,979</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under restricted stock plan,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301,812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21,760</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conversion of 4.75% Convertible Notes due 2023</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4,097,808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174,888</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dividend</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6,731,527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repurchased</w:t>
            </w:r>
          </w:p>
        </w:tc>
        <w:tc>
          <w:tcPr>
            <w:tcW w:w="20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(3,008,676)</w:t>
            </w: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(1,655,848)</w:t>
            </w:r>
          </w:p>
        </w:tc>
      </w:tr>
      <w:tr>
        <w:trPr>
          <w:trHeight w:val="23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Outstanding at End of Year</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28,429,499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31,118,556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this balance includes $1,962,431 of accelerated recognition of compensation cost related to the cancellation of unvested options on April 28, 2020. Refer to “Note 11— Stock-Based Compensation” for more detail.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(132,177,053)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147,071,721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75,337,438</w:t>
            </w:r>
          </w:p>
        </w:tc>
      </w:tr>
      <w:tr>
        <w:trPr>
          <w:trHeight w:val="198"/>
        </w:trPr>
        <w:tc>
          <w:tcPr>
            <w:tcW w:w="6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change in net assets resulting from operations to net cash</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by/(used in) operating activities: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5,905,453</w:t>
            </w:r>
          </w:p>
        </w:tc>
        <w:tc>
          <w:tcPr>
            <w:tcW w:w="18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(218,735,504)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(16,441,223)</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111,563,592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61,732,964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(73,410,631)</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4.75% Convertible Senior Notes due 2023</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76,927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376,802</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6.00% Notes due 2026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425,550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16,310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2,015,600</w:t>
            </w:r>
          </w:p>
        </w:tc>
        <w:tc>
          <w:tcPr>
            <w:tcW w:w="180" w:type="dxa"/>
            <w:vAlign w:val="bottom"/>
          </w:tcPr>
          <w:p>
            <w:pPr>
              <w:spacing w:after="0"/>
              <w:rPr>
                <w:sz w:val="22"/>
                <w:szCs w:val="22"/>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1,306,615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1,962,431</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escrow proceeds receivable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(859,121)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1,934,622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844,825</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interest on 4.75% Convertible Senior Notes due 2023</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102,917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25,996</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investments in: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200" w:type="dxa"/>
            <w:vAlign w:val="bottom"/>
          </w:tcPr>
          <w:p>
            <w:pPr>
              <w:spacing w:after="0"/>
              <w:rPr>
                <w:sz w:val="18"/>
                <w:szCs w:val="18"/>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(22,783,388)</w:t>
            </w:r>
          </w:p>
        </w:tc>
        <w:tc>
          <w:tcPr>
            <w:tcW w:w="18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(81,716,039)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(31,433,027)</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(184,172,673)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(450,000,084)</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or maturity of investments in: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Portfolio investments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9,063,919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257,427,478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31,245,944</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99,173,075</w:t>
            </w:r>
          </w:p>
        </w:tc>
        <w:tc>
          <w:tcPr>
            <w:tcW w:w="18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150,000,000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350,000,000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210,978</w:t>
            </w:r>
          </w:p>
        </w:tc>
        <w:tc>
          <w:tcPr>
            <w:tcW w:w="18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47,566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770,383</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(55,111)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83,343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(82,368)</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receivable</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52,493</w:t>
            </w:r>
          </w:p>
        </w:tc>
        <w:tc>
          <w:tcPr>
            <w:tcW w:w="18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(52,493)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Escrow proceeds receivable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1,418,313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(1,194,183)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(587,154)</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(134,250,000)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89,503,340</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(166,220)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112,735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(381,611)</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to executive officers</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(1,369,873)</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(35,850)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35,850</w:t>
            </w:r>
          </w:p>
        </w:tc>
      </w:tr>
      <w:tr>
        <w:trPr>
          <w:trHeight w:val="23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(175,000)</w:t>
            </w:r>
          </w:p>
        </w:tc>
        <w:tc>
          <w:tcPr>
            <w:tcW w:w="18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(278,803)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(21,197)</w:t>
            </w: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(110,559,593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183,650,326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(23,624,159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229,896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78,608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49,882,319</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6.00% Notes due 2026</w:t>
            </w:r>
          </w:p>
        </w:tc>
        <w:tc>
          <w:tcPr>
            <w:tcW w:w="200" w:type="dxa"/>
            <w:vAlign w:val="bottom"/>
          </w:tcPr>
          <w:p>
            <w:pPr>
              <w:spacing w:after="0"/>
              <w:rPr>
                <w:sz w:val="20"/>
                <w:szCs w:val="20"/>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75,000,000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4.75% Convertible Senior Notes due 2023</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0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(1,970,892)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(21,452,541)</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(10,379,995)</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(26,535,702)</w:t>
            </w:r>
          </w:p>
        </w:tc>
        <w:tc>
          <w:tcPr>
            <w:tcW w:w="18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(103,458,098)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(14,659,850)</w:t>
            </w:r>
          </w:p>
        </w:tc>
      </w:tr>
      <w:tr>
        <w:trPr>
          <w:trHeight w:val="22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(1,540)</w:t>
            </w:r>
          </w:p>
        </w:tc>
        <w:tc>
          <w:tcPr>
            <w:tcW w:w="18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(366,191)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(285,814)</w:t>
            </w: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(47,759,887</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(31,006,972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24,556,620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7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Increase/(Decrease) in Cash Balance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(158,319,480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152,643,354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932,461</w:t>
            </w:r>
          </w:p>
        </w:tc>
        <w:tc>
          <w:tcPr>
            <w:tcW w:w="100" w:type="dxa"/>
            <w:vAlign w:val="bottom"/>
            <w:tcBorders>
              <w:bottom w:val="single" w:sz="8" w:color="CCEEFF"/>
            </w:tcBorders>
          </w:tcPr>
          <w:p>
            <w:pPr>
              <w:spacing w:after="0"/>
              <w:rPr>
                <w:sz w:val="18"/>
                <w:szCs w:val="18"/>
                <w:color w:val="auto"/>
              </w:rPr>
            </w:pPr>
          </w:p>
        </w:tc>
      </w:tr>
      <w:tr>
        <w:trPr>
          <w:trHeight w:val="23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Balance at Beginning of Year</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198,437,078</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45,793,724</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44,861,263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7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Balance at End of Year</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40,117,598</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198,437,078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45,793,724</w:t>
            </w:r>
          </w:p>
        </w:tc>
        <w:tc>
          <w:tcPr>
            <w:tcW w:w="100" w:type="dxa"/>
            <w:vAlign w:val="bottom"/>
            <w:tcBorders>
              <w:bottom w:val="single" w:sz="8" w:color="CCEEFF"/>
            </w:tcBorders>
          </w:tcPr>
          <w:p>
            <w:pPr>
              <w:spacing w:after="0"/>
              <w:rPr>
                <w:sz w:val="18"/>
                <w:szCs w:val="18"/>
                <w:color w:val="auto"/>
              </w:rPr>
            </w:pPr>
          </w:p>
        </w:tc>
      </w:tr>
      <w:tr>
        <w:trPr>
          <w:trHeight w:val="23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paid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4,662,500</w:t>
            </w:r>
          </w:p>
        </w:tc>
        <w:tc>
          <w:tcPr>
            <w:tcW w:w="340" w:type="dxa"/>
            <w:vAlign w:val="bottom"/>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794,206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1,874,294</w:t>
            </w: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82,238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43,499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5,859</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4.75% Convertible Senior Notes due 2023</w:t>
            </w:r>
          </w:p>
        </w:tc>
        <w:tc>
          <w:tcPr>
            <w:tcW w:w="200" w:type="dxa"/>
            <w:vAlign w:val="bottom"/>
          </w:tcPr>
          <w:p>
            <w:pPr>
              <w:spacing w:after="0"/>
              <w:rPr>
                <w:sz w:val="20"/>
                <w:szCs w:val="20"/>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37,925,000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1,785,000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this balance includes $1,962,431 of accelerated recognition of compensation cost related to the cancellation of unvested options on April 28, 2020. Refer to “Note 11— Stock-Based Compensation” for more detail.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21"/>
                <w:szCs w:val="21"/>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43"/>
        </w:trPr>
        <w:tc>
          <w:tcPr>
            <w:tcW w:w="4180" w:type="dxa"/>
            <w:vAlign w:val="bottom"/>
            <w:tcBorders>
              <w:top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NON-CONTROLLED/NON-AFFILIATE</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Learneo, Inc. (f/k/a Course Hero, Inc.)</w:t>
            </w: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Redwood City, CA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9/18/2014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2,145,509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$40,541,403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37"/>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275,659</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9,999,971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9,999,971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14,999,972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50,541,374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280" w:type="dxa"/>
            <w:vAlign w:val="bottom"/>
            <w:gridSpan w:val="2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Blink Health, Inc.</w:t>
            </w:r>
          </w:p>
        </w:tc>
        <w:tc>
          <w:tcPr>
            <w:tcW w:w="154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w w:val="97"/>
              </w:rPr>
              <w:t>New York, NY</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Pharmaceutical</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Technology</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238,095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5,000,423</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949,924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7"/>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261,944</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10,003,917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9,999,974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15,004,340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10,949,898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280" w:type="dxa"/>
            <w:vAlign w:val="bottom"/>
            <w:gridSpan w:val="2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Orchard Technologies, Inc.</w:t>
            </w:r>
          </w:p>
        </w:tc>
        <w:tc>
          <w:tcPr>
            <w:tcW w:w="154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w w:val="97"/>
              </w:rPr>
              <w:t>New York, NY</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Real Estate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Platform</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1,488,139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10,004,034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9,999,996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7"/>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501,663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10,505,697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10,499,996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280" w:type="dxa"/>
            <w:vAlign w:val="bottom"/>
            <w:gridSpan w:val="2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Locus Robotics Corp.</w:t>
            </w:r>
          </w:p>
        </w:tc>
        <w:tc>
          <w:tcPr>
            <w:tcW w:w="154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w w:val="99"/>
              </w:rPr>
              <w:t>Wilmington, MA</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Warehouse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F</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Automation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11/30/2022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232,568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10,004,286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98"/>
        </w:trPr>
        <w:tc>
          <w:tcPr>
            <w:tcW w:w="42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Aspiration Partners, Inc.</w:t>
            </w:r>
          </w:p>
        </w:tc>
        <w:tc>
          <w:tcPr>
            <w:tcW w:w="15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Marina Del Rey,</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80" w:type="dxa"/>
            <w:vAlign w:val="bottom"/>
            <w:gridSpan w:val="22"/>
            <w:vMerge w:val="continue"/>
          </w:tcPr>
          <w:p>
            <w:pPr>
              <w:spacing w:after="0"/>
              <w:rPr>
                <w:sz w:val="16"/>
                <w:szCs w:val="16"/>
                <w:color w:val="auto"/>
              </w:rPr>
            </w:pPr>
          </w:p>
        </w:tc>
        <w:tc>
          <w:tcPr>
            <w:tcW w:w="15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5"/>
              </w:rPr>
              <w:t>CA</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6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540,270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1,001,815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6,229,360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7"/>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 Series C-3</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24,912</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281,190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312,151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1,283,005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6,541,511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280" w:type="dxa"/>
            <w:vAlign w:val="bottom"/>
            <w:gridSpan w:val="2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Whoop, Inc.</w:t>
            </w:r>
          </w:p>
        </w:tc>
        <w:tc>
          <w:tcPr>
            <w:tcW w:w="154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w w:val="98"/>
              </w:rPr>
              <w:t>Boston, MA</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Fitness Technology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13,293,450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10,011,460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6,084,041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148"/>
        </w:trPr>
        <w:tc>
          <w:tcPr>
            <w:tcW w:w="1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Forge Global, Inc.</w:t>
            </w:r>
          </w:p>
        </w:tc>
        <w:tc>
          <w:tcPr>
            <w:tcW w:w="1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vMerge w:val="restart"/>
          </w:tcPr>
          <w:p>
            <w:pPr>
              <w:spacing w:after="0"/>
              <w:rPr>
                <w:sz w:val="12"/>
                <w:szCs w:val="12"/>
                <w:color w:val="auto"/>
              </w:rPr>
            </w:pPr>
          </w:p>
        </w:tc>
        <w:tc>
          <w:tcPr>
            <w:tcW w:w="400" w:type="dxa"/>
            <w:vAlign w:val="bottom"/>
            <w:gridSpan w:val="3"/>
            <w:vMerge w:val="restart"/>
          </w:tcPr>
          <w:p>
            <w:pPr>
              <w:spacing w:after="0"/>
              <w:rPr>
                <w:sz w:val="12"/>
                <w:szCs w:val="12"/>
                <w:color w:val="auto"/>
              </w:rPr>
            </w:pPr>
          </w:p>
        </w:tc>
        <w:tc>
          <w:tcPr>
            <w:tcW w:w="340" w:type="dxa"/>
            <w:vAlign w:val="bottom"/>
            <w:gridSpan w:val="2"/>
            <w:vMerge w:val="restart"/>
          </w:tcPr>
          <w:p>
            <w:pPr>
              <w:spacing w:after="0"/>
              <w:rPr>
                <w:sz w:val="12"/>
                <w:szCs w:val="12"/>
                <w:color w:val="auto"/>
              </w:rPr>
            </w:pPr>
          </w:p>
        </w:tc>
        <w:tc>
          <w:tcPr>
            <w:tcW w:w="620" w:type="dxa"/>
            <w:vAlign w:val="bottom"/>
            <w:gridSpan w:val="2"/>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54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220" w:type="dxa"/>
            <w:vAlign w:val="bottom"/>
            <w:gridSpan w:val="2"/>
            <w:vMerge w:val="restart"/>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400" w:type="dxa"/>
            <w:vAlign w:val="bottom"/>
            <w:tcBorders>
              <w:bottom w:val="single" w:sz="8" w:color="auto"/>
            </w:tcBorders>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Online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(3)(14)</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Marketplace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280" w:type="dxa"/>
            <w:vAlign w:val="bottom"/>
            <w:gridSpan w:val="22"/>
            <w:vMerge w:val="continue"/>
            <w:shd w:val="clear" w:color="auto" w:fill="CCEEFF"/>
          </w:tcPr>
          <w:p>
            <w:pPr>
              <w:spacing w:after="0"/>
              <w:rPr>
                <w:sz w:val="22"/>
                <w:szCs w:val="22"/>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Finance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7/20/2011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2,508,074</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3,443,483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4,338,968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75"/>
        </w:trPr>
        <w:tc>
          <w:tcPr>
            <w:tcW w:w="4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Nextdoor Holdings, Inc.**</w:t>
            </w: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gridSpan w:val="2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Common shares, Class B</w:t>
            </w:r>
            <w:r>
              <w:rPr>
                <w:rFonts w:ascii="Times New Roman" w:cs="Times New Roman" w:eastAsia="Times New Roman" w:hAnsi="Times New Roman"/>
                <w:sz w:val="29"/>
                <w:szCs w:val="29"/>
                <w:color w:val="auto"/>
                <w:vertAlign w:val="superscript"/>
              </w:rPr>
              <w:t>(3)</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Social Networking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9/27/2018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1,802,416</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10,002,666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3,712,977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auto"/>
            </w:tcBorders>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NewLake Capital Partners, Inc. (f/k/a GreenAcreage</w:t>
            </w:r>
          </w:p>
        </w:tc>
        <w:tc>
          <w:tcPr>
            <w:tcW w:w="22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Real Estate Corp.)**</w:t>
            </w:r>
          </w:p>
        </w:tc>
        <w:tc>
          <w:tcPr>
            <w:tcW w:w="15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New Canaan, CT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gridSpan w:val="2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29"/>
                <w:szCs w:val="29"/>
                <w:color w:val="auto"/>
                <w:vertAlign w:val="superscript"/>
              </w:rPr>
              <w:t>***(3)</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Cannabis REIT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8/12/2019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229,758</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4,678,686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3,680,723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75"/>
        </w:trPr>
        <w:tc>
          <w:tcPr>
            <w:tcW w:w="4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Shogun Enterprises, Inc. (d/b/a Hearth)</w:t>
            </w: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Austin, 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Home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Improvement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B-1</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Finance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2/26/2021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436,844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3,501,657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1,403,023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39"/>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 Series B-2</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301,750</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3,501,661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94"/>
        </w:trPr>
        <w:tc>
          <w:tcPr>
            <w:tcW w:w="4280" w:type="dxa"/>
            <w:vAlign w:val="bottom"/>
            <w:gridSpan w:val="22"/>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Convertible Note 0.5%, Due 4/18/2024</w:t>
            </w:r>
            <w:r>
              <w:rPr>
                <w:rFonts w:ascii="Times New Roman" w:cs="Times New Roman" w:eastAsia="Times New Roman" w:hAnsi="Times New Roman"/>
                <w:sz w:val="29"/>
                <w:szCs w:val="29"/>
                <w:color w:val="auto"/>
                <w:vertAlign w:val="superscript"/>
              </w:rPr>
              <w:t>***</w:t>
            </w: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5/2/2022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2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7,503,318</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3,306,047</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2980" w:type="dxa"/>
            <w:vAlign w:val="bottom"/>
            <w:gridSpan w:val="1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True Global Ventures 4 Plus Pte Ltd**</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(8)</w:t>
            </w: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980" w:type="dxa"/>
            <w:vAlign w:val="bottom"/>
            <w:tcBorders>
              <w:bottom w:val="single" w:sz="8" w:color="CCEEFF"/>
            </w:tcBorders>
            <w:gridSpan w:val="16"/>
            <w:vMerge w:val="continue"/>
            <w:shd w:val="clear" w:color="auto" w:fill="CCEEFF"/>
          </w:tcPr>
          <w:p>
            <w:pPr>
              <w:spacing w:after="0"/>
              <w:rPr>
                <w:sz w:val="10"/>
                <w:szCs w:val="10"/>
                <w:color w:val="auto"/>
              </w:rPr>
            </w:pPr>
          </w:p>
        </w:tc>
        <w:tc>
          <w:tcPr>
            <w:tcW w:w="160" w:type="dxa"/>
            <w:vAlign w:val="bottom"/>
            <w:tcBorders>
              <w:bottom w:val="single" w:sz="8" w:color="auto"/>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vMerge w:val="restart"/>
            <w:shd w:val="clear" w:color="auto" w:fill="CCEEFF"/>
          </w:tcPr>
          <w:p>
            <w:pPr>
              <w:spacing w:after="0"/>
              <w:rPr>
                <w:sz w:val="10"/>
                <w:szCs w:val="10"/>
                <w:color w:val="auto"/>
              </w:rPr>
            </w:pPr>
          </w:p>
        </w:tc>
        <w:tc>
          <w:tcPr>
            <w:tcW w:w="600" w:type="dxa"/>
            <w:vAlign w:val="bottom"/>
            <w:tcBorders>
              <w:bottom w:val="single" w:sz="8" w:color="CCEEFF"/>
            </w:tcBorders>
            <w:gridSpan w:val="3"/>
            <w:vMerge w:val="restart"/>
            <w:shd w:val="clear" w:color="auto" w:fill="CCEEFF"/>
          </w:tcPr>
          <w:p>
            <w:pPr>
              <w:spacing w:after="0"/>
              <w:rPr>
                <w:sz w:val="10"/>
                <w:szCs w:val="10"/>
                <w:color w:val="auto"/>
              </w:rPr>
            </w:pPr>
          </w:p>
        </w:tc>
        <w:tc>
          <w:tcPr>
            <w:tcW w:w="1540" w:type="dxa"/>
            <w:vAlign w:val="bottom"/>
            <w:tcBorders>
              <w:bottom w:val="single" w:sz="8" w:color="CCEEFF"/>
            </w:tcBorders>
            <w:gridSpan w:val="2"/>
            <w:vMerge w:val="restart"/>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Singapore</w:t>
            </w:r>
          </w:p>
        </w:tc>
        <w:tc>
          <w:tcPr>
            <w:tcW w:w="10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980" w:type="dxa"/>
            <w:vAlign w:val="bottom"/>
            <w:tcBorders>
              <w:bottom w:val="single" w:sz="8" w:color="auto"/>
            </w:tcBorders>
            <w:gridSpan w:val="16"/>
            <w:vMerge w:val="continue"/>
            <w:shd w:val="clear" w:color="auto" w:fill="CCEEFF"/>
          </w:tcPr>
          <w:p>
            <w:pPr>
              <w:spacing w:after="0"/>
              <w:rPr>
                <w:sz w:val="5"/>
                <w:szCs w:val="5"/>
                <w:color w:val="auto"/>
              </w:rPr>
            </w:pPr>
          </w:p>
        </w:tc>
        <w:tc>
          <w:tcPr>
            <w:tcW w:w="160" w:type="dxa"/>
            <w:vAlign w:val="bottom"/>
            <w:tcBorders>
              <w:bottom w:val="single" w:sz="8" w:color="CCEEFF"/>
            </w:tcBorders>
            <w:gridSpan w:val="2"/>
            <w:shd w:val="clear" w:color="auto" w:fill="CCEEFF"/>
          </w:tcPr>
          <w:p>
            <w:pPr>
              <w:spacing w:after="0"/>
              <w:rPr>
                <w:sz w:val="5"/>
                <w:szCs w:val="5"/>
                <w:color w:val="auto"/>
              </w:rPr>
            </w:pPr>
          </w:p>
        </w:tc>
        <w:tc>
          <w:tcPr>
            <w:tcW w:w="54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tcBorders>
            <w:gridSpan w:val="3"/>
            <w:vMerge w:val="continue"/>
            <w:shd w:val="clear" w:color="auto" w:fill="CCEEFF"/>
          </w:tcPr>
          <w:p>
            <w:pPr>
              <w:spacing w:after="0"/>
              <w:rPr>
                <w:sz w:val="5"/>
                <w:szCs w:val="5"/>
                <w:color w:val="auto"/>
              </w:rPr>
            </w:pPr>
          </w:p>
        </w:tc>
        <w:tc>
          <w:tcPr>
            <w:tcW w:w="154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6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Venture Investment</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Limited Partner Fund Investment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Fund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3,063,358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75"/>
        </w:trPr>
        <w:tc>
          <w:tcPr>
            <w:tcW w:w="4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Residential Homes for Rent, LLC (d/b/a Second</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6"/>
              </w:rPr>
              <w:t>Avenue)</w:t>
            </w:r>
          </w:p>
        </w:tc>
        <w:tc>
          <w:tcPr>
            <w:tcW w:w="3040" w:type="dxa"/>
            <w:vAlign w:val="bottom"/>
            <w:tcBorders>
              <w:top w:val="single" w:sz="8" w:color="auto"/>
              <w:bottom w:val="single" w:sz="8" w:color="CCEEFF"/>
            </w:tcBorders>
            <w:gridSpan w:val="18"/>
            <w:shd w:val="clear" w:color="auto" w:fill="CCEEFF"/>
          </w:tcPr>
          <w:p>
            <w:pPr>
              <w:spacing w:after="0"/>
              <w:rPr>
                <w:sz w:val="21"/>
                <w:szCs w:val="21"/>
                <w:color w:val="auto"/>
              </w:rPr>
            </w:pPr>
          </w:p>
        </w:tc>
        <w:tc>
          <w:tcPr>
            <w:tcW w:w="60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1540" w:type="dxa"/>
            <w:vAlign w:val="bottom"/>
            <w:tcBorders>
              <w:top w:val="single" w:sz="8" w:color="CCEEFF"/>
              <w:bottom w:val="single" w:sz="8" w:color="CCEEFF"/>
            </w:tcBorders>
            <w:gridSpan w:val="2"/>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Chicago, IL</w:t>
            </w: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2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auto"/>
              </w:rPr>
              <w:t>Preferred shares, Series A</w:t>
            </w:r>
            <w:r>
              <w:rPr>
                <w:rFonts w:ascii="Times New Roman" w:cs="Times New Roman" w:eastAsia="Times New Roman" w:hAnsi="Times New Roman"/>
                <w:sz w:val="29"/>
                <w:szCs w:val="29"/>
                <w:color w:val="auto"/>
                <w:vertAlign w:val="superscript"/>
              </w:rPr>
              <w:t>(6)</w:t>
            </w:r>
          </w:p>
        </w:tc>
        <w:tc>
          <w:tcPr>
            <w:tcW w:w="154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Real Estate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280" w:type="dxa"/>
            <w:vAlign w:val="bottom"/>
            <w:gridSpan w:val="22"/>
            <w:vMerge w:val="continue"/>
          </w:tcPr>
          <w:p>
            <w:pPr>
              <w:spacing w:after="0"/>
              <w:rPr>
                <w:sz w:val="22"/>
                <w:szCs w:val="22"/>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Platform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1,959,713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90"/>
        </w:trPr>
        <w:tc>
          <w:tcPr>
            <w:tcW w:w="4280" w:type="dxa"/>
            <w:vAlign w:val="bottom"/>
            <w:gridSpan w:val="2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Term loan 15%, Due 12/23/2023</w:t>
            </w:r>
            <w:r>
              <w:rPr>
                <w:rFonts w:ascii="Times New Roman" w:cs="Times New Roman" w:eastAsia="Times New Roman" w:hAnsi="Times New Roman"/>
                <w:sz w:val="29"/>
                <w:szCs w:val="29"/>
                <w:color w:val="auto"/>
                <w:vertAlign w:val="superscript"/>
              </w:rPr>
              <w:t>***(11)</w:t>
            </w: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2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2,959,713</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428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Trax Ltd.**</w:t>
            </w:r>
          </w:p>
        </w:tc>
        <w:tc>
          <w:tcPr>
            <w:tcW w:w="154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80" w:type="dxa"/>
            <w:vAlign w:val="bottom"/>
            <w:gridSpan w:val="22"/>
            <w:vMerge w:val="continue"/>
            <w:shd w:val="clear" w:color="auto" w:fill="CCEEFF"/>
          </w:tcPr>
          <w:p>
            <w:pPr>
              <w:spacing w:after="0"/>
              <w:rPr>
                <w:sz w:val="16"/>
                <w:szCs w:val="16"/>
                <w:color w:val="auto"/>
              </w:rPr>
            </w:pPr>
          </w:p>
        </w:tc>
        <w:tc>
          <w:tcPr>
            <w:tcW w:w="1540" w:type="dxa"/>
            <w:vAlign w:val="bottom"/>
            <w:gridSpan w:val="2"/>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Singapore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Retail Technology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55,591</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2,781,148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280,797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54"/>
        </w:trPr>
        <w:tc>
          <w:tcPr>
            <w:tcW w:w="42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Investec Series</w:t>
            </w: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144,409</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7,224,600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2,647,017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2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10,005,748</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2,927,814</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PayJoy, Inc.</w:t>
            </w: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Mobile Access</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Technology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7/23/2021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244,117</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2,501,570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Aventine Property Group, Inc.</w:t>
            </w:r>
          </w:p>
        </w:tc>
        <w:tc>
          <w:tcPr>
            <w:tcW w:w="1920" w:type="dxa"/>
            <w:vAlign w:val="bottom"/>
            <w:tcBorders>
              <w:bottom w:val="single" w:sz="8" w:color="CCEEFF"/>
            </w:tcBorders>
            <w:gridSpan w:val="8"/>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Chicago, IL</w:t>
            </w: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Cannabis REIT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2,580,750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1,917,521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176"/>
        </w:trPr>
        <w:tc>
          <w:tcPr>
            <w:tcW w:w="4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Varo Money, Inc.**</w:t>
            </w: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6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0" w:gutter="0" w:footer="0" w:header="0"/>
        </w:sectPr>
      </w:pPr>
    </w:p>
    <w:bookmarkStart w:id="84" w:name="page85"/>
    <w:bookmarkEnd w:id="84"/>
    <w:p>
      <w:pPr>
        <w:spacing w:after="0"/>
        <w:tabs>
          <w:tab w:leader="none" w:pos="4320" w:val="left"/>
          <w:tab w:leader="none" w:pos="5940" w:val="left"/>
          <w:tab w:leader="none" w:pos="7100" w:val="left"/>
          <w:tab w:leader="none" w:pos="8140" w:val="left"/>
          <w:tab w:leader="none" w:pos="9360" w:val="left"/>
          <w:tab w:leader="none" w:pos="10740" w:val="left"/>
        </w:tabs>
        <w:rPr>
          <w:sz w:val="20"/>
          <w:szCs w:val="20"/>
          <w:color w:val="auto"/>
        </w:rPr>
      </w:pPr>
      <w:r>
        <w:rPr>
          <w:rFonts w:ascii="Times New Roman" w:cs="Times New Roman" w:eastAsia="Times New Roman" w:hAnsi="Times New Roman"/>
          <w:sz w:val="18"/>
          <w:szCs w:val="18"/>
          <w:color w:val="auto"/>
        </w:rPr>
        <w:t>Common shares</w:t>
      </w:r>
      <w:r>
        <w:rPr>
          <w:sz w:val="20"/>
          <w:szCs w:val="20"/>
          <w:color w:val="auto"/>
        </w:rPr>
        <w:tab/>
      </w:r>
      <w:r>
        <w:rPr>
          <w:rFonts w:ascii="Times New Roman" w:cs="Times New Roman" w:eastAsia="Times New Roman" w:hAnsi="Times New Roman"/>
          <w:sz w:val="18"/>
          <w:szCs w:val="18"/>
          <w:color w:val="auto"/>
        </w:rPr>
        <w:t>Financial Services</w:t>
      </w:r>
      <w:r>
        <w:rPr>
          <w:sz w:val="20"/>
          <w:szCs w:val="20"/>
          <w:color w:val="auto"/>
        </w:rPr>
        <w:tab/>
      </w:r>
      <w:r>
        <w:rPr>
          <w:rFonts w:ascii="Times New Roman" w:cs="Times New Roman" w:eastAsia="Times New Roman" w:hAnsi="Times New Roman"/>
          <w:sz w:val="18"/>
          <w:szCs w:val="18"/>
          <w:color w:val="auto"/>
        </w:rPr>
        <w:t>8/11/2021</w:t>
      </w:r>
      <w:r>
        <w:rPr>
          <w:sz w:val="20"/>
          <w:szCs w:val="20"/>
          <w:color w:val="auto"/>
        </w:rPr>
        <w:tab/>
      </w:r>
      <w:r>
        <w:rPr>
          <w:rFonts w:ascii="Times New Roman" w:cs="Times New Roman" w:eastAsia="Times New Roman" w:hAnsi="Times New Roman"/>
          <w:sz w:val="18"/>
          <w:szCs w:val="18"/>
          <w:color w:val="auto"/>
        </w:rPr>
        <w:t>1,079,266</w:t>
      </w:r>
      <w:r>
        <w:rPr>
          <w:sz w:val="20"/>
          <w:szCs w:val="20"/>
          <w:color w:val="auto"/>
        </w:rPr>
        <w:tab/>
      </w:r>
      <w:r>
        <w:rPr>
          <w:rFonts w:ascii="Times New Roman" w:cs="Times New Roman" w:eastAsia="Times New Roman" w:hAnsi="Times New Roman"/>
          <w:sz w:val="18"/>
          <w:szCs w:val="18"/>
          <w:color w:val="auto"/>
        </w:rPr>
        <w:t>10,005,548</w:t>
      </w:r>
      <w:r>
        <w:rPr>
          <w:sz w:val="20"/>
          <w:szCs w:val="20"/>
          <w:color w:val="auto"/>
        </w:rPr>
        <w:tab/>
      </w:r>
      <w:r>
        <w:rPr>
          <w:rFonts w:ascii="Times New Roman" w:cs="Times New Roman" w:eastAsia="Times New Roman" w:hAnsi="Times New Roman"/>
          <w:sz w:val="18"/>
          <w:szCs w:val="18"/>
          <w:color w:val="auto"/>
        </w:rPr>
        <w:t>1,286,783</w:t>
      </w:r>
      <w:r>
        <w:rPr>
          <w:sz w:val="20"/>
          <w:szCs w:val="20"/>
          <w:color w:val="auto"/>
        </w:rPr>
        <w:tab/>
      </w:r>
      <w:r>
        <w:rPr>
          <w:rFonts w:ascii="Times New Roman" w:cs="Times New Roman" w:eastAsia="Times New Roman" w:hAnsi="Times New Roman"/>
          <w:sz w:val="17"/>
          <w:szCs w:val="17"/>
          <w:color w:val="auto"/>
        </w:rPr>
        <w:t>0.61%</w:t>
      </w:r>
    </w:p>
    <w:p>
      <w:pPr>
        <w:sectPr>
          <w:pgSz w:w="11900" w:h="16838" w:orient="portrait"/>
          <w:cols w:equalWidth="0" w:num="1">
            <w:col w:w="11220"/>
          </w:cols>
          <w:pgMar w:left="320" w:top="121" w:right="359" w:bottom="1440"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76"/>
        </w:trPr>
        <w:tc>
          <w:tcPr>
            <w:tcW w:w="4000" w:type="dxa"/>
            <w:vAlign w:val="bottom"/>
            <w:tcBorders>
              <w:top w:val="single" w:sz="8" w:color="auto"/>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Skillsoft Corp.**</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Nashua, NH</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00" w:type="dxa"/>
            <w:vAlign w:val="bottom"/>
            <w:gridSpan w:val="25"/>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981,843</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9,818,430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1,276,396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75"/>
        </w:trPr>
        <w:tc>
          <w:tcPr>
            <w:tcW w:w="41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Commercial Streaming Solutions Inc. (d/b/a</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rPr>
              <w:t>BettorView)</w:t>
            </w:r>
          </w:p>
        </w:tc>
        <w:tc>
          <w:tcPr>
            <w:tcW w:w="1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38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3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4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4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4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1520" w:type="dxa"/>
            <w:vAlign w:val="bottom"/>
            <w:tcBorders>
              <w:top w:val="single" w:sz="8" w:color="CCEEFF"/>
              <w:bottom w:val="single" w:sz="8" w:color="CCEEFF"/>
            </w:tcBorders>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Las Vegas, NV</w:t>
            </w: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940" w:type="dxa"/>
            <w:vAlign w:val="bottom"/>
            <w:tcBorders>
              <w:bottom w:val="single" w:sz="8" w:color="auto"/>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80" w:type="dxa"/>
            <w:vAlign w:val="bottom"/>
            <w:tcBorders>
              <w:bottom w:val="single" w:sz="8" w:color="CCEEFF"/>
            </w:tcBorders>
            <w:gridSpan w:val="2"/>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4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Interactive Media</w:t>
            </w: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&amp; Services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1,004,240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48"/>
        </w:trPr>
        <w:tc>
          <w:tcPr>
            <w:tcW w:w="2400" w:type="dxa"/>
            <w:vAlign w:val="bottom"/>
            <w:tcBorders>
              <w:bottom w:val="single" w:sz="8" w:color="CCEEFF"/>
            </w:tcBorders>
            <w:gridSpan w:val="14"/>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Rebric, Inc. (d/b/a Compliable)</w:t>
            </w:r>
          </w:p>
        </w:tc>
        <w:tc>
          <w:tcPr>
            <w:tcW w:w="1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(7)</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4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64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Denver, CO</w:t>
            </w: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400" w:type="dxa"/>
            <w:vAlign w:val="bottom"/>
            <w:tcBorders>
              <w:bottom w:val="single" w:sz="8" w:color="auto"/>
            </w:tcBorders>
            <w:gridSpan w:val="14"/>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4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gridSpan w:val="2"/>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gridSpan w:val="25"/>
          </w:tcPr>
          <w:p>
            <w:pPr>
              <w:spacing w:after="0"/>
              <w:rPr>
                <w:sz w:val="20"/>
                <w:szCs w:val="20"/>
                <w:color w:val="auto"/>
              </w:rPr>
            </w:pPr>
            <w:r>
              <w:rPr>
                <w:rFonts w:ascii="Times New Roman" w:cs="Times New Roman" w:eastAsia="Times New Roman" w:hAnsi="Times New Roman"/>
                <w:sz w:val="18"/>
                <w:szCs w:val="18"/>
                <w:color w:val="auto"/>
              </w:rPr>
              <w:t>Preferred shares, Series Seed-4</w:t>
            </w:r>
          </w:p>
        </w:tc>
        <w:tc>
          <w:tcPr>
            <w:tcW w:w="15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Gaming Licensing</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2,064,409</w:t>
            </w:r>
          </w:p>
        </w:tc>
        <w:tc>
          <w:tcPr>
            <w:tcW w:w="1340" w:type="dxa"/>
            <w:vAlign w:val="bottom"/>
            <w:tcBorders>
              <w:top w:val="single" w:sz="8" w:color="CCEEFF"/>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1,002,755</w:t>
            </w:r>
          </w:p>
        </w:tc>
        <w:tc>
          <w:tcPr>
            <w:tcW w:w="12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48"/>
        </w:trPr>
        <w:tc>
          <w:tcPr>
            <w:tcW w:w="3300" w:type="dxa"/>
            <w:vAlign w:val="bottom"/>
            <w:tcBorders>
              <w:bottom w:val="single" w:sz="8" w:color="CCEEFF"/>
            </w:tcBorders>
            <w:gridSpan w:val="20"/>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Xgroup Holdings Limited (d/b/a Xpoint)**</w:t>
            </w:r>
          </w:p>
        </w:tc>
        <w:tc>
          <w:tcPr>
            <w:tcW w:w="16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(7)</w:t>
            </w:r>
          </w:p>
        </w:tc>
        <w:tc>
          <w:tcPr>
            <w:tcW w:w="64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Dubai, UAE</w:t>
            </w: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300" w:type="dxa"/>
            <w:vAlign w:val="bottom"/>
            <w:tcBorders>
              <w:bottom w:val="single" w:sz="8" w:color="auto"/>
            </w:tcBorders>
            <w:gridSpan w:val="20"/>
            <w:vMerge w:val="continue"/>
            <w:shd w:val="clear" w:color="auto" w:fill="CCEEFF"/>
          </w:tcPr>
          <w:p>
            <w:pPr>
              <w:spacing w:after="0"/>
              <w:rPr>
                <w:sz w:val="5"/>
                <w:szCs w:val="5"/>
                <w:color w:val="auto"/>
              </w:rPr>
            </w:pPr>
          </w:p>
        </w:tc>
        <w:tc>
          <w:tcPr>
            <w:tcW w:w="120" w:type="dxa"/>
            <w:vAlign w:val="bottom"/>
            <w:tcBorders>
              <w:bottom w:val="single" w:sz="8" w:color="CCEEFF"/>
            </w:tcBorders>
            <w:gridSpan w:val="2"/>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Geolocation</w:t>
            </w: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Convertible Note 6%, Due 8/17/2023***</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8/17/2022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1,009,093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48"/>
        </w:trPr>
        <w:tc>
          <w:tcPr>
            <w:tcW w:w="3260" w:type="dxa"/>
            <w:vAlign w:val="bottom"/>
            <w:tcBorders>
              <w:bottom w:val="single" w:sz="8" w:color="CCEEFF"/>
            </w:tcBorders>
            <w:gridSpan w:val="19"/>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YouBet Technology, Inc. (d/b/a FanPower)</w:t>
            </w:r>
          </w:p>
        </w:tc>
        <w:tc>
          <w:tcPr>
            <w:tcW w:w="16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(7)</w:t>
            </w: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64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 York, NY</w:t>
            </w: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260" w:type="dxa"/>
            <w:vAlign w:val="bottom"/>
            <w:tcBorders>
              <w:bottom w:val="single" w:sz="8" w:color="auto"/>
            </w:tcBorders>
            <w:gridSpan w:val="19"/>
            <w:vMerge w:val="continue"/>
            <w:shd w:val="clear" w:color="auto" w:fill="CCEEFF"/>
          </w:tcPr>
          <w:p>
            <w:pPr>
              <w:spacing w:after="0"/>
              <w:rPr>
                <w:sz w:val="5"/>
                <w:szCs w:val="5"/>
                <w:color w:val="auto"/>
              </w:rPr>
            </w:pPr>
          </w:p>
        </w:tc>
        <w:tc>
          <w:tcPr>
            <w:tcW w:w="160" w:type="dxa"/>
            <w:vAlign w:val="bottom"/>
            <w:tcBorders>
              <w:bottom w:val="single" w:sz="8" w:color="CCEEFF"/>
            </w:tcBorders>
            <w:gridSpan w:val="3"/>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Digital Media</w:t>
            </w: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Preferred shares, Series Seed-2</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578,029</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752,943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749,998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EDGE Markets, Inc.</w:t>
            </w:r>
          </w:p>
        </w:tc>
        <w:tc>
          <w:tcPr>
            <w:tcW w:w="1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(7)</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gridSpan w:val="2"/>
            <w:vMerge w:val="restart"/>
            <w:shd w:val="clear" w:color="auto" w:fill="CCEEFF"/>
          </w:tcPr>
          <w:p>
            <w:pPr>
              <w:spacing w:after="0"/>
              <w:rPr>
                <w:sz w:val="12"/>
                <w:szCs w:val="12"/>
                <w:color w:val="auto"/>
              </w:rPr>
            </w:pPr>
          </w:p>
        </w:tc>
        <w:tc>
          <w:tcPr>
            <w:tcW w:w="100" w:type="dxa"/>
            <w:vAlign w:val="bottom"/>
            <w:tcBorders>
              <w:bottom w:val="single" w:sz="8" w:color="CCEEFF"/>
            </w:tcBorders>
            <w:gridSpan w:val="2"/>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640" w:type="dxa"/>
            <w:vAlign w:val="bottom"/>
            <w:tcBorders>
              <w:bottom w:val="single" w:sz="8" w:color="CCEEFF"/>
            </w:tcBorders>
            <w:gridSpan w:val="5"/>
            <w:vMerge w:val="restart"/>
            <w:shd w:val="clear" w:color="auto" w:fill="CCEEFF"/>
          </w:tcPr>
          <w:p>
            <w:pPr>
              <w:spacing w:after="0"/>
              <w:rPr>
                <w:sz w:val="12"/>
                <w:szCs w:val="12"/>
                <w:color w:val="auto"/>
              </w:rPr>
            </w:pPr>
          </w:p>
        </w:tc>
        <w:tc>
          <w:tcPr>
            <w:tcW w:w="64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San Diego, CA</w:t>
            </w: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600" w:type="dxa"/>
            <w:vAlign w:val="bottom"/>
            <w:tcBorders>
              <w:bottom w:val="single" w:sz="8" w:color="auto"/>
            </w:tcBorders>
            <w:gridSpan w:val="6"/>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640" w:type="dxa"/>
            <w:vAlign w:val="bottom"/>
            <w:tcBorders>
              <w:bottom w:val="single" w:sz="8" w:color="CCEEFF"/>
            </w:tcBorders>
            <w:gridSpan w:val="5"/>
            <w:vMerge w:val="continue"/>
            <w:shd w:val="clear" w:color="auto" w:fill="CCEEFF"/>
          </w:tcPr>
          <w:p>
            <w:pPr>
              <w:spacing w:after="0"/>
              <w:rPr>
                <w:sz w:val="5"/>
                <w:szCs w:val="5"/>
                <w:color w:val="auto"/>
              </w:rPr>
            </w:pPr>
          </w:p>
        </w:tc>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Gaming</w:t>
            </w: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Preferred shares, Series Seed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5/18/2022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456,704</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501,330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48"/>
        </w:trPr>
        <w:tc>
          <w:tcPr>
            <w:tcW w:w="2320" w:type="dxa"/>
            <w:vAlign w:val="bottom"/>
            <w:tcBorders>
              <w:bottom w:val="single" w:sz="8" w:color="CCEEFF"/>
            </w:tcBorders>
            <w:gridSpan w:val="1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Churchill Sponsor VII LLC**</w:t>
            </w:r>
          </w:p>
        </w:tc>
        <w:tc>
          <w:tcPr>
            <w:tcW w:w="280" w:type="dxa"/>
            <w:vAlign w:val="bottom"/>
            <w:tcBorders>
              <w:bottom w:val="single" w:sz="8" w:color="auto"/>
            </w:tcBorders>
            <w:gridSpan w:val="4"/>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(12)</w:t>
            </w: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640" w:type="dxa"/>
            <w:vAlign w:val="bottom"/>
            <w:tcBorders>
              <w:bottom w:val="single" w:sz="8" w:color="CCEEFF"/>
            </w:tcBorders>
            <w:gridSpan w:val="5"/>
            <w:vMerge w:val="restart"/>
            <w:shd w:val="clear" w:color="auto" w:fill="CCEEFF"/>
          </w:tcPr>
          <w:p>
            <w:pPr>
              <w:spacing w:after="0"/>
              <w:rPr>
                <w:sz w:val="12"/>
                <w:szCs w:val="12"/>
                <w:color w:val="auto"/>
              </w:rPr>
            </w:pPr>
          </w:p>
        </w:tc>
        <w:tc>
          <w:tcPr>
            <w:tcW w:w="64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 York, NY</w:t>
            </w: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320" w:type="dxa"/>
            <w:vAlign w:val="bottom"/>
            <w:tcBorders>
              <w:bottom w:val="single" w:sz="8" w:color="auto"/>
            </w:tcBorders>
            <w:gridSpan w:val="13"/>
            <w:vMerge w:val="continue"/>
            <w:shd w:val="clear" w:color="auto" w:fill="CCEEFF"/>
          </w:tcPr>
          <w:p>
            <w:pPr>
              <w:spacing w:after="0"/>
              <w:rPr>
                <w:sz w:val="5"/>
                <w:szCs w:val="5"/>
                <w:color w:val="auto"/>
              </w:rPr>
            </w:pPr>
          </w:p>
        </w:tc>
        <w:tc>
          <w:tcPr>
            <w:tcW w:w="180" w:type="dxa"/>
            <w:vAlign w:val="bottom"/>
            <w:tcBorders>
              <w:bottom w:val="single" w:sz="8" w:color="CCEEFF"/>
            </w:tcBorders>
            <w:gridSpan w:val="2"/>
            <w:shd w:val="clear" w:color="auto" w:fill="CCEEFF"/>
          </w:tcPr>
          <w:p>
            <w:pPr>
              <w:spacing w:after="0"/>
              <w:rPr>
                <w:sz w:val="5"/>
                <w:szCs w:val="5"/>
                <w:color w:val="auto"/>
              </w:rPr>
            </w:pPr>
          </w:p>
        </w:tc>
        <w:tc>
          <w:tcPr>
            <w:tcW w:w="100" w:type="dxa"/>
            <w:vAlign w:val="bottom"/>
            <w:tcBorders>
              <w:bottom w:val="single" w:sz="8" w:color="CCEEFF"/>
            </w:tcBorders>
            <w:gridSpan w:val="2"/>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640" w:type="dxa"/>
            <w:vAlign w:val="bottom"/>
            <w:tcBorders>
              <w:bottom w:val="single" w:sz="8" w:color="CCEEFF"/>
            </w:tcBorders>
            <w:gridSpan w:val="5"/>
            <w:vMerge w:val="continue"/>
            <w:shd w:val="clear" w:color="auto" w:fill="CCEEFF"/>
          </w:tcPr>
          <w:p>
            <w:pPr>
              <w:spacing w:after="0"/>
              <w:rPr>
                <w:sz w:val="5"/>
                <w:szCs w:val="5"/>
                <w:color w:val="auto"/>
              </w:rPr>
            </w:pPr>
          </w:p>
        </w:tc>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Acquisition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Company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292,100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205,820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205,820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9"/>
        </w:trPr>
        <w:tc>
          <w:tcPr>
            <w:tcW w:w="41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277,000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94,180</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94,180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gridSpan w:val="25"/>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22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2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35"/>
        </w:trPr>
        <w:tc>
          <w:tcPr>
            <w:tcW w:w="1640" w:type="dxa"/>
            <w:vAlign w:val="bottom"/>
            <w:tcBorders>
              <w:bottom w:val="single" w:sz="8" w:color="CCEEFF"/>
            </w:tcBorders>
            <w:gridSpan w:val="7"/>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AltC Sponsor LLC**</w:t>
            </w:r>
          </w:p>
        </w:tc>
        <w:tc>
          <w:tcPr>
            <w:tcW w:w="260" w:type="dxa"/>
            <w:vAlign w:val="bottom"/>
            <w:tcBorders>
              <w:bottom w:val="single" w:sz="8" w:color="auto"/>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(12)</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3"/>
            <w:vMerge w:val="restart"/>
            <w:shd w:val="clear" w:color="auto" w:fill="CCEEFF"/>
          </w:tcPr>
          <w:p>
            <w:pPr>
              <w:spacing w:after="0"/>
              <w:rPr>
                <w:sz w:val="11"/>
                <w:szCs w:val="11"/>
                <w:color w:val="auto"/>
              </w:rPr>
            </w:pPr>
          </w:p>
        </w:tc>
        <w:tc>
          <w:tcPr>
            <w:tcW w:w="320" w:type="dxa"/>
            <w:vAlign w:val="bottom"/>
            <w:tcBorders>
              <w:bottom w:val="single" w:sz="8" w:color="CCEEFF"/>
            </w:tcBorders>
            <w:gridSpan w:val="3"/>
            <w:vMerge w:val="restart"/>
            <w:shd w:val="clear" w:color="auto" w:fill="CCEEFF"/>
          </w:tcPr>
          <w:p>
            <w:pPr>
              <w:spacing w:after="0"/>
              <w:rPr>
                <w:sz w:val="11"/>
                <w:szCs w:val="11"/>
                <w:color w:val="auto"/>
              </w:rPr>
            </w:pPr>
          </w:p>
        </w:tc>
        <w:tc>
          <w:tcPr>
            <w:tcW w:w="640" w:type="dxa"/>
            <w:vAlign w:val="bottom"/>
            <w:tcBorders>
              <w:bottom w:val="single" w:sz="8" w:color="CCEEFF"/>
            </w:tcBorders>
            <w:gridSpan w:val="5"/>
            <w:vMerge w:val="restart"/>
            <w:shd w:val="clear" w:color="auto" w:fill="CCEEFF"/>
          </w:tcPr>
          <w:p>
            <w:pPr>
              <w:spacing w:after="0"/>
              <w:rPr>
                <w:sz w:val="11"/>
                <w:szCs w:val="11"/>
                <w:color w:val="auto"/>
              </w:rPr>
            </w:pPr>
          </w:p>
        </w:tc>
        <w:tc>
          <w:tcPr>
            <w:tcW w:w="640" w:type="dxa"/>
            <w:vAlign w:val="bottom"/>
            <w:tcBorders>
              <w:bottom w:val="single" w:sz="8" w:color="CCEEFF"/>
            </w:tcBorders>
            <w:gridSpan w:val="2"/>
            <w:vMerge w:val="restart"/>
            <w:shd w:val="clear" w:color="auto" w:fill="CCEEFF"/>
          </w:tcPr>
          <w:p>
            <w:pPr>
              <w:spacing w:after="0"/>
              <w:rPr>
                <w:sz w:val="11"/>
                <w:szCs w:val="11"/>
                <w:color w:val="auto"/>
              </w:rPr>
            </w:pPr>
          </w:p>
        </w:tc>
        <w:tc>
          <w:tcPr>
            <w:tcW w:w="1520" w:type="dxa"/>
            <w:vAlign w:val="bottom"/>
            <w:tcBorders>
              <w:bottom w:val="single" w:sz="8" w:color="CCEEFF"/>
            </w:tcBorders>
            <w:gridSpan w:val="2"/>
            <w:vMerge w:val="restart"/>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New York, NY</w:t>
            </w: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640" w:type="dxa"/>
            <w:vAlign w:val="bottom"/>
            <w:tcBorders>
              <w:bottom w:val="single" w:sz="8" w:color="auto"/>
            </w:tcBorders>
            <w:gridSpan w:val="7"/>
            <w:vMerge w:val="continue"/>
            <w:shd w:val="clear" w:color="auto" w:fill="CCEEFF"/>
          </w:tcPr>
          <w:p>
            <w:pPr>
              <w:spacing w:after="0"/>
              <w:rPr>
                <w:sz w:val="5"/>
                <w:szCs w:val="5"/>
                <w:color w:val="auto"/>
              </w:rPr>
            </w:pPr>
          </w:p>
        </w:tc>
        <w:tc>
          <w:tcPr>
            <w:tcW w:w="160" w:type="dxa"/>
            <w:vAlign w:val="bottom"/>
            <w:tcBorders>
              <w:bottom w:val="single" w:sz="8" w:color="CCEEFF"/>
            </w:tcBorders>
            <w:gridSpan w:val="2"/>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3"/>
            <w:vMerge w:val="continue"/>
            <w:shd w:val="clear" w:color="auto" w:fill="CCEEFF"/>
          </w:tcPr>
          <w:p>
            <w:pPr>
              <w:spacing w:after="0"/>
              <w:rPr>
                <w:sz w:val="5"/>
                <w:szCs w:val="5"/>
                <w:color w:val="auto"/>
              </w:rPr>
            </w:pPr>
          </w:p>
        </w:tc>
        <w:tc>
          <w:tcPr>
            <w:tcW w:w="320" w:type="dxa"/>
            <w:vAlign w:val="bottom"/>
            <w:tcBorders>
              <w:bottom w:val="single" w:sz="8" w:color="CCEEFF"/>
            </w:tcBorders>
            <w:gridSpan w:val="3"/>
            <w:vMerge w:val="continue"/>
            <w:shd w:val="clear" w:color="auto" w:fill="CCEEFF"/>
          </w:tcPr>
          <w:p>
            <w:pPr>
              <w:spacing w:after="0"/>
              <w:rPr>
                <w:sz w:val="5"/>
                <w:szCs w:val="5"/>
                <w:color w:val="auto"/>
              </w:rPr>
            </w:pPr>
          </w:p>
        </w:tc>
        <w:tc>
          <w:tcPr>
            <w:tcW w:w="640" w:type="dxa"/>
            <w:vAlign w:val="bottom"/>
            <w:tcBorders>
              <w:bottom w:val="single" w:sz="8" w:color="CCEEFF"/>
            </w:tcBorders>
            <w:gridSpan w:val="5"/>
            <w:vMerge w:val="continue"/>
            <w:shd w:val="clear" w:color="auto" w:fill="CCEEFF"/>
          </w:tcPr>
          <w:p>
            <w:pPr>
              <w:spacing w:after="0"/>
              <w:rPr>
                <w:sz w:val="5"/>
                <w:szCs w:val="5"/>
                <w:color w:val="auto"/>
              </w:rPr>
            </w:pPr>
          </w:p>
        </w:tc>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Acquisition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Share units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Company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7/21/2021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239,300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250,855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2180" w:type="dxa"/>
            <w:vAlign w:val="bottom"/>
            <w:tcBorders>
              <w:bottom w:val="single" w:sz="8" w:color="CCEEFF"/>
            </w:tcBorders>
            <w:gridSpan w:val="14"/>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New York, NY</w:t>
            </w: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0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5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Subscription</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5"/>
            <w:vMerge w:val="continue"/>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Fashion Rental</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79,191</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1,203,293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241,533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CEEFF"/>
            </w:tcBorders>
            <w:gridSpan w:val="1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Churchill Sponsor VI LLC**</w:t>
            </w:r>
          </w:p>
        </w:tc>
        <w:tc>
          <w:tcPr>
            <w:tcW w:w="24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(12)</w:t>
            </w:r>
          </w:p>
        </w:tc>
        <w:tc>
          <w:tcPr>
            <w:tcW w:w="320" w:type="dxa"/>
            <w:vAlign w:val="bottom"/>
            <w:tcBorders>
              <w:bottom w:val="single" w:sz="8" w:color="CCEEFF"/>
            </w:tcBorders>
            <w:gridSpan w:val="3"/>
            <w:vMerge w:val="restart"/>
            <w:shd w:val="clear" w:color="auto" w:fill="CCEEFF"/>
          </w:tcPr>
          <w:p>
            <w:pPr>
              <w:spacing w:after="0"/>
              <w:rPr>
                <w:sz w:val="12"/>
                <w:szCs w:val="12"/>
                <w:color w:val="auto"/>
              </w:rPr>
            </w:pPr>
          </w:p>
        </w:tc>
        <w:tc>
          <w:tcPr>
            <w:tcW w:w="640" w:type="dxa"/>
            <w:vAlign w:val="bottom"/>
            <w:tcBorders>
              <w:bottom w:val="single" w:sz="8" w:color="CCEEFF"/>
            </w:tcBorders>
            <w:gridSpan w:val="5"/>
            <w:vMerge w:val="restart"/>
            <w:shd w:val="clear" w:color="auto" w:fill="CCEEFF"/>
          </w:tcPr>
          <w:p>
            <w:pPr>
              <w:spacing w:after="0"/>
              <w:rPr>
                <w:sz w:val="12"/>
                <w:szCs w:val="12"/>
                <w:color w:val="auto"/>
              </w:rPr>
            </w:pPr>
          </w:p>
        </w:tc>
        <w:tc>
          <w:tcPr>
            <w:tcW w:w="64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 York, NY</w:t>
            </w: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260" w:type="dxa"/>
            <w:vAlign w:val="bottom"/>
            <w:tcBorders>
              <w:bottom w:val="single" w:sz="8" w:color="auto"/>
            </w:tcBorders>
            <w:gridSpan w:val="12"/>
            <w:vMerge w:val="continue"/>
            <w:shd w:val="clear" w:color="auto" w:fill="CCEEFF"/>
          </w:tcPr>
          <w:p>
            <w:pPr>
              <w:spacing w:after="0"/>
              <w:rPr>
                <w:sz w:val="5"/>
                <w:szCs w:val="5"/>
                <w:color w:val="auto"/>
              </w:rPr>
            </w:pPr>
          </w:p>
        </w:tc>
        <w:tc>
          <w:tcPr>
            <w:tcW w:w="240" w:type="dxa"/>
            <w:vAlign w:val="bottom"/>
            <w:tcBorders>
              <w:bottom w:val="single" w:sz="8" w:color="CCEEFF"/>
            </w:tcBorders>
            <w:gridSpan w:val="3"/>
            <w:shd w:val="clear" w:color="auto" w:fill="CCEEFF"/>
          </w:tcPr>
          <w:p>
            <w:pPr>
              <w:spacing w:after="0"/>
              <w:rPr>
                <w:sz w:val="5"/>
                <w:szCs w:val="5"/>
                <w:color w:val="auto"/>
              </w:rPr>
            </w:pPr>
          </w:p>
        </w:tc>
        <w:tc>
          <w:tcPr>
            <w:tcW w:w="320" w:type="dxa"/>
            <w:vAlign w:val="bottom"/>
            <w:tcBorders>
              <w:bottom w:val="single" w:sz="8" w:color="CCEEFF"/>
            </w:tcBorders>
            <w:gridSpan w:val="3"/>
            <w:vMerge w:val="continue"/>
            <w:shd w:val="clear" w:color="auto" w:fill="CCEEFF"/>
          </w:tcPr>
          <w:p>
            <w:pPr>
              <w:spacing w:after="0"/>
              <w:rPr>
                <w:sz w:val="5"/>
                <w:szCs w:val="5"/>
                <w:color w:val="auto"/>
              </w:rPr>
            </w:pPr>
          </w:p>
        </w:tc>
        <w:tc>
          <w:tcPr>
            <w:tcW w:w="640" w:type="dxa"/>
            <w:vAlign w:val="bottom"/>
            <w:tcBorders>
              <w:bottom w:val="single" w:sz="8" w:color="CCEEFF"/>
            </w:tcBorders>
            <w:gridSpan w:val="5"/>
            <w:vMerge w:val="continue"/>
            <w:shd w:val="clear" w:color="auto" w:fill="CCEEFF"/>
          </w:tcPr>
          <w:p>
            <w:pPr>
              <w:spacing w:after="0"/>
              <w:rPr>
                <w:sz w:val="5"/>
                <w:szCs w:val="5"/>
                <w:color w:val="auto"/>
              </w:rPr>
            </w:pPr>
          </w:p>
        </w:tc>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Acquisition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Company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195,000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134,297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134,297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50"/>
        </w:trPr>
        <w:tc>
          <w:tcPr>
            <w:tcW w:w="41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199,100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65,703</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gridSpan w:val="25"/>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22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2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75"/>
        </w:trPr>
        <w:tc>
          <w:tcPr>
            <w:tcW w:w="41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Kahoot! ASA**</w:t>
            </w:r>
          </w:p>
        </w:tc>
        <w:tc>
          <w:tcPr>
            <w:tcW w:w="15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Oslo, Norway</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10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5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Education</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5"/>
            <w:vMerge w:val="continue"/>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Software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38,305</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176,067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72,888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Neutron Holdings, Inc. (d/b/a/ Lime)</w:t>
            </w:r>
          </w:p>
        </w:tc>
        <w:tc>
          <w:tcPr>
            <w:tcW w:w="1280" w:type="dxa"/>
            <w:vAlign w:val="bottom"/>
            <w:tcBorders>
              <w:bottom w:val="single" w:sz="8" w:color="CCEEFF"/>
            </w:tcBorders>
            <w:gridSpan w:val="7"/>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Junior Preferred shares, Series 1-D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Micromobility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41,237,113</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10,007,322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100" w:type="dxa"/>
            <w:vAlign w:val="bottom"/>
            <w:gridSpan w:val="25"/>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Junior Preferred Convertible Note 4% Due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940" w:type="dxa"/>
            <w:vAlign w:val="bottom"/>
            <w:shd w:val="clear" w:color="auto" w:fill="CCEEFF"/>
          </w:tcPr>
          <w:p>
            <w:pPr>
              <w:spacing w:after="0" w:line="298" w:lineRule="exact"/>
              <w:rPr>
                <w:sz w:val="20"/>
                <w:szCs w:val="20"/>
                <w:color w:val="auto"/>
              </w:rPr>
            </w:pPr>
            <w:r>
              <w:rPr>
                <w:rFonts w:ascii="Times New Roman" w:cs="Times New Roman" w:eastAsia="Times New Roman" w:hAnsi="Times New Roman"/>
                <w:sz w:val="18"/>
                <w:szCs w:val="18"/>
                <w:color w:val="auto"/>
                <w:w w:val="96"/>
              </w:rPr>
              <w:t>5/11/2027</w:t>
            </w:r>
            <w:r>
              <w:rPr>
                <w:rFonts w:ascii="Times New Roman" w:cs="Times New Roman" w:eastAsia="Times New Roman" w:hAnsi="Times New Roman"/>
                <w:sz w:val="29"/>
                <w:szCs w:val="29"/>
                <w:color w:val="auto"/>
                <w:w w:val="96"/>
                <w:vertAlign w:val="superscript"/>
              </w:rPr>
              <w:t>(4)</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506,339</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506,339</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00" w:type="dxa"/>
            <w:vAlign w:val="bottom"/>
            <w:gridSpan w:val="25"/>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 Expiration Date</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5/11/2027</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2,032,967</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00" w:type="dxa"/>
            <w:vAlign w:val="bottom"/>
            <w:tcBorders>
              <w:top w:val="single" w:sz="8" w:color="CCEEFF"/>
              <w:bottom w:val="single" w:sz="8" w:color="CCEEFF"/>
            </w:tcBorders>
            <w:gridSpan w:val="2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4100" w:type="dxa"/>
            <w:vAlign w:val="bottom"/>
            <w:gridSpan w:val="25"/>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Fullbridge, Inc.</w:t>
            </w:r>
          </w:p>
        </w:tc>
        <w:tc>
          <w:tcPr>
            <w:tcW w:w="152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w w:val="99"/>
              </w:rPr>
              <w:t>Cambridge, MA</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Business Education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5/13/2012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517,917</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6,150,506</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100" w:type="dxa"/>
            <w:vAlign w:val="bottom"/>
            <w:gridSpan w:val="25"/>
          </w:tcPr>
          <w:p>
            <w:pPr>
              <w:spacing w:after="0" w:line="270" w:lineRule="exact"/>
              <w:rPr>
                <w:sz w:val="20"/>
                <w:szCs w:val="20"/>
                <w:color w:val="auto"/>
              </w:rPr>
            </w:pPr>
            <w:r>
              <w:rPr>
                <w:rFonts w:ascii="Times New Roman" w:cs="Times New Roman" w:eastAsia="Times New Roman" w:hAnsi="Times New Roman"/>
                <w:sz w:val="18"/>
                <w:szCs w:val="18"/>
                <w:color w:val="auto"/>
              </w:rPr>
              <w:t>Promissory Note 1.47%, Due 11/9/2021</w:t>
            </w:r>
            <w:r>
              <w:rPr>
                <w:rFonts w:ascii="Times New Roman" w:cs="Times New Roman" w:eastAsia="Times New Roman" w:hAnsi="Times New Roman"/>
                <w:sz w:val="29"/>
                <w:szCs w:val="29"/>
                <w:color w:val="auto"/>
                <w:vertAlign w:val="superscript"/>
              </w:rPr>
              <w:t>(4)(13)</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2,270,458</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2,270,858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00" w:type="dxa"/>
            <w:vAlign w:val="bottom"/>
            <w:tcBorders>
              <w:top w:val="single" w:sz="8" w:color="CCEEFF"/>
              <w:bottom w:val="single" w:sz="8" w:color="CCEEFF"/>
            </w:tcBorders>
            <w:gridSpan w:val="2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8,421,364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100" w:type="dxa"/>
            <w:vAlign w:val="bottom"/>
            <w:gridSpan w:val="25"/>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Treehouse Real Estate Investment Trust, Inc.</w:t>
            </w:r>
          </w:p>
        </w:tc>
        <w:tc>
          <w:tcPr>
            <w:tcW w:w="152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w w:val="99"/>
              </w:rPr>
              <w:t>Chicago, IL</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Cannabis REIT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312,500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4,919,250</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1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Kinetiq Holdings, LLC</w:t>
            </w:r>
          </w:p>
        </w:tc>
        <w:tc>
          <w:tcPr>
            <w:tcW w:w="15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Philadelphia, PA</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Social Data</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Platform</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3/30/2012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112,374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Non-controlled/Non-affiliate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$ 155,103,810</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$ 130,901,546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229" w:right="339" w:bottom="123"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23"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r>
              <w:rPr>
                <w:rFonts w:ascii="Times New Roman" w:cs="Times New Roman" w:eastAsia="Times New Roman" w:hAnsi="Times New Roman"/>
                <w:sz w:val="29"/>
                <w:szCs w:val="29"/>
                <w:b w:val="1"/>
                <w:bCs w:val="1"/>
                <w:color w:val="auto"/>
                <w:vertAlign w:val="superscript"/>
              </w:rPr>
              <w: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4140" w:type="dxa"/>
            <w:vAlign w:val="bottom"/>
            <w:gridSpan w:val="8"/>
            <w:vMerge w:val="continue"/>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57"/>
        </w:trPr>
        <w:tc>
          <w:tcPr>
            <w:tcW w:w="4040" w:type="dxa"/>
            <w:vAlign w:val="bottom"/>
            <w:tcBorders>
              <w:top w:val="single" w:sz="8" w:color="auto"/>
            </w:tcBorders>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NON-CONTROLLED/AFFILIATE</w:t>
            </w:r>
            <w:r>
              <w:rPr>
                <w:rFonts w:ascii="Times New Roman" w:cs="Times New Roman" w:eastAsia="Times New Roman" w:hAnsi="Times New Roman"/>
                <w:sz w:val="29"/>
                <w:szCs w:val="29"/>
                <w:b w:val="1"/>
                <w:bCs w:val="1"/>
                <w:color w:val="auto"/>
                <w:vertAlign w:val="superscript"/>
              </w:rPr>
              <w:t>(1)</w:t>
            </w:r>
          </w:p>
        </w:tc>
        <w:tc>
          <w:tcPr>
            <w:tcW w:w="10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StormWind, LLC</w:t>
            </w:r>
          </w:p>
        </w:tc>
        <w:tc>
          <w:tcPr>
            <w:tcW w:w="1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(5)</w:t>
            </w:r>
          </w:p>
        </w:tc>
        <w:tc>
          <w:tcPr>
            <w:tcW w:w="140" w:type="dxa"/>
            <w:vAlign w:val="bottom"/>
            <w:vMerge w:val="restart"/>
          </w:tcPr>
          <w:p>
            <w:pPr>
              <w:spacing w:after="0"/>
              <w:rPr>
                <w:sz w:val="12"/>
                <w:szCs w:val="12"/>
                <w:color w:val="auto"/>
              </w:rPr>
            </w:pPr>
          </w:p>
        </w:tc>
        <w:tc>
          <w:tcPr>
            <w:tcW w:w="1120" w:type="dxa"/>
            <w:vAlign w:val="bottom"/>
            <w:vMerge w:val="restart"/>
          </w:tcPr>
          <w:p>
            <w:pPr>
              <w:spacing w:after="0"/>
              <w:rPr>
                <w:sz w:val="12"/>
                <w:szCs w:val="12"/>
                <w:color w:val="auto"/>
              </w:rPr>
            </w:pPr>
          </w:p>
        </w:tc>
        <w:tc>
          <w:tcPr>
            <w:tcW w:w="1340" w:type="dxa"/>
            <w:vAlign w:val="bottom"/>
            <w:gridSpan w:val="2"/>
            <w:vMerge w:val="restart"/>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Scottsdale, AZ</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80" w:type="dxa"/>
            <w:vAlign w:val="bottom"/>
            <w:tcBorders>
              <w:bottom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Interactive</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Learning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11/26/2019</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329,337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257,267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533,429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4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1/7/2014</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2,779,134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4,000,787</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5,675,081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4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8%</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12/16/2011</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3,279,629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2,019,687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3,550,631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6"/>
        </w:trPr>
        <w:tc>
          <w:tcPr>
            <w:tcW w:w="4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2/25/2014</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366,666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191,694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6"/>
        </w:trPr>
        <w:tc>
          <w:tcPr>
            <w:tcW w:w="414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6,387,741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9,950,835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14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OneValley, Inc. (f/k/a NestGSV, Inc.)</w:t>
            </w:r>
          </w:p>
        </w:tc>
        <w:tc>
          <w:tcPr>
            <w:tcW w:w="150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rPr>
              <w:t>San Mateo,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40" w:type="dxa"/>
            <w:vAlign w:val="bottom"/>
            <w:gridSpan w:val="8"/>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Security, Expiration Date 8/23/2024</w:t>
            </w:r>
            <w:r>
              <w:rPr>
                <w:rFonts w:ascii="Times New Roman" w:cs="Times New Roman" w:eastAsia="Times New Roman" w:hAnsi="Times New Roman"/>
                <w:sz w:val="29"/>
                <w:szCs w:val="29"/>
                <w:color w:val="auto"/>
                <w:vertAlign w:val="superscript"/>
              </w:rPr>
              <w:t>(10)</w:t>
            </w:r>
          </w:p>
        </w:tc>
        <w:tc>
          <w:tcPr>
            <w:tcW w:w="15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Global Innovation</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8"/>
            <w:vMerge w:val="continue"/>
            <w:shd w:val="clear" w:color="auto" w:fill="CCEEFF"/>
          </w:tcPr>
          <w:p>
            <w:pPr>
              <w:spacing w:after="0"/>
              <w:rPr>
                <w:sz w:val="20"/>
                <w:szCs w:val="20"/>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8/23/2019</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8,555,124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652,127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56"/>
        </w:trPr>
        <w:tc>
          <w:tcPr>
            <w:tcW w:w="4140" w:type="dxa"/>
            <w:vAlign w:val="bottom"/>
            <w:gridSpan w:val="8"/>
          </w:tcPr>
          <w:p>
            <w:pPr>
              <w:spacing w:after="0" w:line="256" w:lineRule="exact"/>
              <w:rPr>
                <w:sz w:val="20"/>
                <w:szCs w:val="20"/>
                <w:color w:val="auto"/>
              </w:rPr>
            </w:pPr>
            <w:r>
              <w:rPr>
                <w:rFonts w:ascii="Times New Roman" w:cs="Times New Roman" w:eastAsia="Times New Roman" w:hAnsi="Times New Roman"/>
                <w:sz w:val="18"/>
                <w:szCs w:val="18"/>
                <w:color w:val="auto"/>
              </w:rPr>
              <w:t>Convertible Promissory Note 8% Due 8/23/2024</w:t>
            </w:r>
            <w:r>
              <w:rPr>
                <w:rFonts w:ascii="Times New Roman" w:cs="Times New Roman" w:eastAsia="Times New Roman" w:hAnsi="Times New Roman"/>
                <w:sz w:val="29"/>
                <w:szCs w:val="29"/>
                <w:color w:val="auto"/>
                <w:vertAlign w:val="superscript"/>
              </w:rPr>
              <w:t>(4)(10)</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2/17/2016</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$ 1,010,198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1,030,176</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1,988,200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198"/>
        </w:trPr>
        <w:tc>
          <w:tcPr>
            <w:tcW w:w="414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Warrant Series B, Strike Price $2.31,</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Date 12/31/2023</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gridSpan w:val="8"/>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9,590,380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2,640,327</w:t>
            </w:r>
          </w:p>
        </w:tc>
        <w:tc>
          <w:tcPr>
            <w:tcW w:w="2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4140" w:type="dxa"/>
            <w:vAlign w:val="bottom"/>
            <w:gridSpan w:val="8"/>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Ozy Media, Inc.</w:t>
            </w:r>
          </w:p>
        </w:tc>
        <w:tc>
          <w:tcPr>
            <w:tcW w:w="150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Mountain View,</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40" w:type="dxa"/>
            <w:vAlign w:val="bottom"/>
            <w:gridSpan w:val="8"/>
            <w:vMerge w:val="continue"/>
            <w:shd w:val="clear" w:color="auto" w:fill="CCEEFF"/>
          </w:tcPr>
          <w:p>
            <w:pPr>
              <w:spacing w:after="0"/>
              <w:rPr>
                <w:sz w:val="18"/>
                <w:szCs w:val="18"/>
                <w:color w:val="auto"/>
              </w:rPr>
            </w:pPr>
          </w:p>
        </w:tc>
        <w:tc>
          <w:tcPr>
            <w:tcW w:w="1500" w:type="dxa"/>
            <w:vAlign w:val="bottom"/>
            <w:gridSpan w:val="2"/>
            <w:shd w:val="clear" w:color="auto" w:fill="CCEEFF"/>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rPr>
              <w:t>CA</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Digital Media</w:t>
            </w:r>
          </w:p>
        </w:tc>
        <w:tc>
          <w:tcPr>
            <w:tcW w:w="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C-2 6%</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Platform</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8/31/2016</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683,482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2,414,178</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6%</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10/3/2014</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922,509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4,999,999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A 6%</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12/11/2013</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1,090,909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3,000,200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Seed 6%</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11/2/2012</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4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 Expiration Date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4/9/2028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4/9/2018</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295,565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30,647</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40" w:type="dxa"/>
            <w:vAlign w:val="bottom"/>
            <w:tcBorders>
              <w:top w:val="single" w:sz="8" w:color="CCEEFF"/>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10,945,024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14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Maven Research, Inc.</w:t>
            </w:r>
          </w:p>
        </w:tc>
        <w:tc>
          <w:tcPr>
            <w:tcW w:w="150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rPr>
              <w:t>San Francisco,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Knowledge</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Networks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7/2/2012</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318,979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2,000,447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B</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2/28/2012</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217,206</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40" w:type="dxa"/>
            <w:vAlign w:val="bottom"/>
            <w:tcBorders>
              <w:top w:val="single" w:sz="8" w:color="CCEEFF"/>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14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Curious.com, Inc.</w:t>
            </w:r>
          </w:p>
        </w:tc>
        <w:tc>
          <w:tcPr>
            <w:tcW w:w="150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8"/>
                <w:szCs w:val="18"/>
                <w:color w:val="auto"/>
                <w:w w:val="99"/>
              </w:rPr>
              <w:t>Menlo Park,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11/22/2013</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12,000,006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1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41,140,804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12,591,162</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0" w:type="dxa"/>
            <w:vAlign w:val="bottom"/>
            <w:gridSpan w:val="6"/>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29"/>
                <w:szCs w:val="29"/>
                <w:b w:val="1"/>
                <w:bCs w:val="1"/>
                <w:color w:val="auto"/>
                <w:vertAlign w:val="superscript"/>
              </w:rPr>
              <w:t>(2)</w:t>
            </w:r>
          </w:p>
        </w:tc>
        <w:tc>
          <w:tcPr>
            <w:tcW w:w="18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Architect Capital PayJoy SPV, LLC**</w:t>
            </w:r>
          </w:p>
        </w:tc>
        <w:tc>
          <w:tcPr>
            <w:tcW w:w="182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20" w:type="dxa"/>
            <w:vAlign w:val="bottom"/>
            <w:shd w:val="clear" w:color="auto" w:fill="CCEEFF"/>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rPr>
              <w:t>Mobile Finance</w:t>
            </w:r>
          </w:p>
        </w:tc>
        <w:tc>
          <w:tcPr>
            <w:tcW w:w="1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Interest in Lending SPV***</w:t>
            </w: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Technology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3/24/2021</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48"/>
        </w:trPr>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Colombier Sponsor LLC**</w:t>
            </w:r>
          </w:p>
        </w:tc>
        <w:tc>
          <w:tcPr>
            <w:tcW w:w="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(12)</w:t>
            </w:r>
          </w:p>
        </w:tc>
        <w:tc>
          <w:tcPr>
            <w:tcW w:w="1460" w:type="dxa"/>
            <w:vAlign w:val="bottom"/>
            <w:gridSpan w:val="2"/>
            <w:vMerge w:val="restart"/>
          </w:tcPr>
          <w:p>
            <w:pPr>
              <w:spacing w:after="0"/>
              <w:rPr>
                <w:sz w:val="12"/>
                <w:szCs w:val="12"/>
                <w:color w:val="auto"/>
              </w:rPr>
            </w:pPr>
          </w:p>
        </w:tc>
        <w:tc>
          <w:tcPr>
            <w:tcW w:w="182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7"/>
              </w:rPr>
              <w:t>New York, NY</w:t>
            </w: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100" w:type="dxa"/>
            <w:vAlign w:val="bottom"/>
            <w:tcBorders>
              <w:bottom w:val="single" w:sz="8" w:color="auto"/>
            </w:tcBorders>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8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20" w:type="dxa"/>
            <w:vAlign w:val="bottom"/>
            <w:shd w:val="clear" w:color="auto" w:fill="CCEEFF"/>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Special Purpose</w:t>
            </w:r>
          </w:p>
        </w:tc>
        <w:tc>
          <w:tcPr>
            <w:tcW w:w="1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Acquisition</w:t>
            </w: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Units</w:t>
            </w:r>
          </w:p>
        </w:tc>
        <w:tc>
          <w:tcPr>
            <w:tcW w:w="18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Company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1,976,033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1,556,587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1,554,355</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36"/>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W Units</w:t>
            </w:r>
          </w:p>
        </w:tc>
        <w:tc>
          <w:tcPr>
            <w:tcW w:w="18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1,159,150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1,157,487</w:t>
            </w:r>
          </w:p>
        </w:tc>
        <w:tc>
          <w:tcPr>
            <w:tcW w:w="12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6"/>
        </w:trPr>
        <w:tc>
          <w:tcPr>
            <w:tcW w:w="3800" w:type="dxa"/>
            <w:vAlign w:val="bottom"/>
            <w:tcBorders>
              <w:top w:val="single" w:sz="8" w:color="CCEEFF"/>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2,711,842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49"/>
        </w:trPr>
        <w:tc>
          <w:tcPr>
            <w:tcW w:w="3800" w:type="dxa"/>
            <w:vAlign w:val="bottom"/>
            <w:tcBorders>
              <w:bottom w:val="single" w:sz="8" w:color="auto"/>
            </w:tcBorders>
            <w:gridSpan w:val="6"/>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SPBRX, INC. (f/k/a GSV Sustainability Partners,</w:t>
            </w:r>
          </w:p>
        </w:tc>
        <w:tc>
          <w:tcPr>
            <w:tcW w:w="1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1820" w:type="dxa"/>
            <w:vAlign w:val="bottom"/>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Cupertino, CA</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00" w:type="dxa"/>
            <w:vAlign w:val="bottom"/>
            <w:gridSpan w:val="6"/>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Preferred shares, Class A</w:t>
            </w:r>
            <w:r>
              <w:rPr>
                <w:rFonts w:ascii="Times New Roman" w:cs="Times New Roman" w:eastAsia="Times New Roman" w:hAnsi="Times New Roman"/>
                <w:sz w:val="29"/>
                <w:szCs w:val="29"/>
                <w:color w:val="auto"/>
                <w:vertAlign w:val="superscript"/>
              </w:rPr>
              <w:t>(9)</w:t>
            </w: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Clean Technology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4/15/2014</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7,151,412</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984,028</w:t>
            </w: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36"/>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8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4/15/2014</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Controlled</w:t>
            </w:r>
          </w:p>
        </w:tc>
        <w:tc>
          <w:tcPr>
            <w:tcW w:w="18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19,883,894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13,695,870</w:t>
            </w: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0" w:type="dxa"/>
            <w:vAlign w:val="bottom"/>
          </w:tcPr>
          <w:p>
            <w:pPr>
              <w:spacing w:after="0"/>
              <w:rPr>
                <w:sz w:val="1"/>
                <w:szCs w:val="1"/>
                <w:color w:val="auto"/>
              </w:rPr>
            </w:pPr>
          </w:p>
        </w:tc>
      </w:tr>
      <w:tr>
        <w:trPr>
          <w:trHeight w:val="236"/>
        </w:trPr>
        <w:tc>
          <w:tcPr>
            <w:tcW w:w="3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216,128,508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157,188,578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74.84%</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U.S. Treasury</w:t>
            </w:r>
          </w:p>
        </w:tc>
        <w:tc>
          <w:tcPr>
            <w:tcW w:w="18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00" w:type="dxa"/>
            <w:vAlign w:val="bottom"/>
            <w:gridSpan w:val="6"/>
          </w:tcPr>
          <w:p>
            <w:pPr>
              <w:spacing w:after="0" w:line="256" w:lineRule="exact"/>
              <w:rPr>
                <w:sz w:val="20"/>
                <w:szCs w:val="20"/>
                <w:color w:val="auto"/>
              </w:rPr>
            </w:pPr>
            <w:r>
              <w:rPr>
                <w:rFonts w:ascii="Times New Roman" w:cs="Times New Roman" w:eastAsia="Times New Roman" w:hAnsi="Times New Roman"/>
                <w:sz w:val="18"/>
                <w:szCs w:val="18"/>
                <w:color w:val="auto"/>
              </w:rPr>
              <w:t>U.S. Treasury bill, 0%, due 3/30/2023***</w:t>
            </w:r>
            <w:r>
              <w:rPr>
                <w:rFonts w:ascii="Times New Roman" w:cs="Times New Roman" w:eastAsia="Times New Roman" w:hAnsi="Times New Roman"/>
                <w:sz w:val="29"/>
                <w:szCs w:val="29"/>
                <w:color w:val="auto"/>
                <w:vertAlign w:val="superscript"/>
              </w:rPr>
              <w:t>(3)</w:t>
            </w:r>
          </w:p>
        </w:tc>
        <w:tc>
          <w:tcPr>
            <w:tcW w:w="18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12/29/2022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$45,492,000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45,000,118</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45,026,162</w:t>
            </w:r>
          </w:p>
        </w:tc>
        <w:tc>
          <w:tcPr>
            <w:tcW w:w="12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90"/>
        </w:trPr>
        <w:tc>
          <w:tcPr>
            <w:tcW w:w="3800" w:type="dxa"/>
            <w:vAlign w:val="bottom"/>
            <w:gridSpan w:val="6"/>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U.S. Treasury bill, 0%, due 6/29/2023***</w:t>
            </w:r>
            <w:r>
              <w:rPr>
                <w:rFonts w:ascii="Times New Roman" w:cs="Times New Roman" w:eastAsia="Times New Roman" w:hAnsi="Times New Roman"/>
                <w:sz w:val="29"/>
                <w:szCs w:val="29"/>
                <w:color w:val="auto"/>
                <w:vertAlign w:val="superscript"/>
              </w:rPr>
              <w:t>(3)</w:t>
            </w:r>
          </w:p>
        </w:tc>
        <w:tc>
          <w:tcPr>
            <w:tcW w:w="18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12/29/2022</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$40,937,000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39,999,480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40,030,655</w:t>
            </w: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gridSpan w:val="6"/>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84,999,598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85,056,817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40.50</w:t>
            </w:r>
          </w:p>
        </w:tc>
        <w:tc>
          <w:tcPr>
            <w:tcW w:w="180" w:type="dxa"/>
            <w:vAlign w:val="bottom"/>
            <w:tcBorders>
              <w:top w:val="single" w:sz="8" w:color="CCEEFF"/>
              <w:bottom w:val="single" w:sz="8" w:color="CCEEFF"/>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43"/>
        </w:trPr>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301,128,106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242,245,395</w:t>
            </w:r>
          </w:p>
        </w:tc>
        <w:tc>
          <w:tcPr>
            <w:tcW w:w="12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115.34%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9019"/>
          </w:cols>
          <w:pgMar w:left="1440" w:top="119"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left="340" w:hanging="332"/>
        <w:spacing w:after="0" w:line="255"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December 31, 2022, 14.47%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52" w:lineRule="exact"/>
        <w:rPr>
          <w:sz w:val="20"/>
          <w:szCs w:val="20"/>
          <w:color w:val="auto"/>
        </w:rPr>
      </w:pPr>
    </w:p>
    <w:p>
      <w:pPr>
        <w:jc w:val="both"/>
        <w:ind w:left="660" w:hanging="652"/>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preferred shares of Residential Homes for Rent, LLC (d/b/a Second Avenue) are held through SuRo Capital Corp.’s wholly owned subsidiary, GSVC AV Holdings, Inc.</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Commercial Streaming Solutions Inc. (d/b/a BettorView), YouBet Technology, Inc. (d/b/a FanPower), Rebric, Inc. (d/b/a Compliable), EDGE Markets, Inc., and Xgroup Holdings Limited (d/b/a Xpoint) are held through SuRo Capital Corp.’s wholly owned subsidiary, SuRo Capital Sports, LLC (“SuRo Sports”).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left="66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True Global Ventures 4 Plus Pte Ltd are held through SuRo Capital Corp.’s wholly owned subsidiary, GSVC SVDS Holdings, Inc. As of December 31, 2022, $0.7 million of a $2.0 million capital commitment to True Global Ventures 4 Plus Fund LP had been called and funded.</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approximately $1.2 million has been received from Residential Homes for Rent, LLC (d/b/a Second Avenue) related to the 15% term loan due December 23, 2023. Of the proceeds received, approximately $1.0 million repaid a portion of the outstanding principal and the remaining was attributed to interest.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of November 9, 2021, Fullbridge, Inc.’s obligations under its financing arrangements with the Company became past due.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22, 2022, Forge Global Holdings, Inc., completed its business combination with Motive Capital Corp. As a result of the transaction, each share of Forge Global, Inc.’s capital stock outstanding prior to the business combination was exchanged at the designated exchange ratio of approximately 3.123. In addition, each warrant of Forge Global, Inc. was exchanged into warrants exercisable into common stock based on the exchange ratio of 3.123. The exercise price of each converted warrant was determined by dividing the exercise price of the respective Forge Global, Inc. warrants by the exchange ratio, rounded to the nearest whole cent. On and effective August 5, 2022, SuRo Capital Corp.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43"/>
        </w:trPr>
        <w:tc>
          <w:tcPr>
            <w:tcW w:w="4180" w:type="dxa"/>
            <w:vAlign w:val="bottom"/>
            <w:tcBorders>
              <w:top w:val="single" w:sz="8" w:color="auto"/>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NON-CONTROLLED/NON-AFFILIATE</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Course Hero, Inc.</w:t>
            </w: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Redwood City, CA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9/18/2014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2,145,509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$ 5,000,001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$77,831,772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37"/>
        </w:trPr>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275,659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9,999,971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9,999,971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gridSpan w:val="1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14,999,972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87,831,743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280" w:type="dxa"/>
            <w:vAlign w:val="bottom"/>
            <w:gridSpan w:val="1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Forge Global, Inc.</w:t>
            </w:r>
          </w:p>
        </w:tc>
        <w:tc>
          <w:tcPr>
            <w:tcW w:w="154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Online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Marketplace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Class AA</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Finance</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7/20/2011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625,520</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266,507</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16,430,555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9"/>
        </w:trPr>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Junior Preferred shares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7/19/2011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160,534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2,259,716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4,216,752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2"/>
        </w:trPr>
        <w:tc>
          <w:tcPr>
            <w:tcW w:w="4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Junior Preferred warrants, Strike Price $12.42, Expiration</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2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 11/9/2025</w:t>
            </w: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7/19/2011</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73,695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368,474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18"/>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2,526,223</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21,015,781</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2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Blink Health, Inc.</w:t>
            </w: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New York, NY</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Pharmaceutical</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Technology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238,095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5,000,423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4,315,552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w:t>
            </w: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261,944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10,003,917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9,999,974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18"/>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15,004,340</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14,315,526</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3.92</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2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Nextdoor Holdings, Inc.**</w:t>
            </w: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20" w:type="dxa"/>
            <w:vAlign w:val="bottom"/>
            <w:tcBorders>
              <w:top w:val="single" w:sz="8" w:color="auto"/>
            </w:tcBorders>
            <w:gridSpan w:val="13"/>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2260" w:type="dxa"/>
            <w:vAlign w:val="bottom"/>
            <w:tcBorders>
              <w:top w:val="single" w:sz="8" w:color="CCEEFF"/>
            </w:tcBorders>
            <w:gridSpan w:val="5"/>
          </w:tcPr>
          <w:p>
            <w:pPr>
              <w:spacing w:after="0"/>
              <w:rPr>
                <w:sz w:val="22"/>
                <w:szCs w:val="22"/>
                <w:color w:val="auto"/>
              </w:rPr>
            </w:pPr>
          </w:p>
        </w:tc>
        <w:tc>
          <w:tcPr>
            <w:tcW w:w="154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Social Networking</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9/27/2018</w:t>
            </w:r>
          </w:p>
        </w:tc>
        <w:tc>
          <w:tcPr>
            <w:tcW w:w="10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1,801,850</w:t>
            </w: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10,002,666</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12,439,522</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98"/>
        </w:trPr>
        <w:tc>
          <w:tcPr>
            <w:tcW w:w="4280" w:type="dxa"/>
            <w:vAlign w:val="bottom"/>
            <w:gridSpan w:val="18"/>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Aspiration Partners, Inc.</w:t>
            </w:r>
          </w:p>
        </w:tc>
        <w:tc>
          <w:tcPr>
            <w:tcW w:w="15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Marina Del Rey,</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80" w:type="dxa"/>
            <w:vAlign w:val="bottom"/>
            <w:gridSpan w:val="18"/>
            <w:vMerge w:val="continue"/>
            <w:shd w:val="clear" w:color="auto" w:fill="CCEEFF"/>
          </w:tcPr>
          <w:p>
            <w:pPr>
              <w:spacing w:after="0"/>
              <w:rPr>
                <w:sz w:val="20"/>
                <w:szCs w:val="20"/>
                <w:color w:val="auto"/>
              </w:rPr>
            </w:pPr>
          </w:p>
        </w:tc>
        <w:tc>
          <w:tcPr>
            <w:tcW w:w="1540" w:type="dxa"/>
            <w:vAlign w:val="bottom"/>
            <w:gridSpan w:val="2"/>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5"/>
              </w:rPr>
              <w:t>CA</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92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Preferred shares, Series A</w:t>
            </w:r>
          </w:p>
        </w:tc>
        <w:tc>
          <w:tcPr>
            <w:tcW w:w="2360" w:type="dxa"/>
            <w:vAlign w:val="bottom"/>
            <w:tcBorders>
              <w:top w:val="single" w:sz="8" w:color="CCEEFF"/>
            </w:tcBorders>
            <w:gridSpan w:val="7"/>
          </w:tcPr>
          <w:p>
            <w:pPr>
              <w:spacing w:after="0"/>
              <w:rPr>
                <w:sz w:val="20"/>
                <w:szCs w:val="20"/>
                <w:color w:val="auto"/>
              </w:rPr>
            </w:pPr>
          </w:p>
        </w:tc>
        <w:tc>
          <w:tcPr>
            <w:tcW w:w="154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8/11/2015</w:t>
            </w:r>
          </w:p>
        </w:tc>
        <w:tc>
          <w:tcPr>
            <w:tcW w:w="10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540,270</w:t>
            </w: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1,001,815</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10,556,306</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54"/>
        </w:trPr>
        <w:tc>
          <w:tcPr>
            <w:tcW w:w="42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C-3</w:t>
            </w: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8/12/2019</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281,190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499,437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18"/>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1,283,005</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11,055,743</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4"/>
        </w:trPr>
        <w:tc>
          <w:tcPr>
            <w:tcW w:w="4280" w:type="dxa"/>
            <w:vAlign w:val="bottom"/>
            <w:gridSpan w:val="18"/>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Trax Ltd.**</w:t>
            </w:r>
          </w:p>
        </w:tc>
        <w:tc>
          <w:tcPr>
            <w:tcW w:w="154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80" w:type="dxa"/>
            <w:vAlign w:val="bottom"/>
            <w:gridSpan w:val="18"/>
            <w:vMerge w:val="continue"/>
            <w:shd w:val="clear" w:color="auto" w:fill="CCEEFF"/>
          </w:tcPr>
          <w:p>
            <w:pPr>
              <w:spacing w:after="0"/>
              <w:rPr>
                <w:sz w:val="16"/>
                <w:szCs w:val="16"/>
                <w:color w:val="auto"/>
              </w:rPr>
            </w:pPr>
          </w:p>
        </w:tc>
        <w:tc>
          <w:tcPr>
            <w:tcW w:w="1540" w:type="dxa"/>
            <w:vAlign w:val="bottom"/>
            <w:gridSpan w:val="2"/>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Singapore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Retail Technology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55,591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2,781,148</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2,882,476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54"/>
        </w:trPr>
        <w:tc>
          <w:tcPr>
            <w:tcW w:w="42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Investec series</w:t>
            </w: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6/9/2021</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144,409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7,224,600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7,487,823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18"/>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10,005,748</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10,370,299</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2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Orchard Technologies, Inc.</w:t>
            </w: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New York, NY</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Real Estate</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Preferred shares, Series 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Platform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1,488,139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10,004,034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9,999,996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48"/>
        </w:trPr>
        <w:tc>
          <w:tcPr>
            <w:tcW w:w="130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Skillsoft Corp.**</w:t>
            </w:r>
          </w:p>
        </w:tc>
        <w:tc>
          <w:tcPr>
            <w:tcW w:w="260" w:type="dxa"/>
            <w:vAlign w:val="bottom"/>
            <w:tcBorders>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(18)</w:t>
            </w: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gridSpan w:val="2"/>
            <w:vMerge w:val="restart"/>
            <w:shd w:val="clear" w:color="auto" w:fill="CCEEFF"/>
          </w:tcPr>
          <w:p>
            <w:pPr>
              <w:spacing w:after="0"/>
              <w:rPr>
                <w:sz w:val="12"/>
                <w:szCs w:val="12"/>
                <w:color w:val="auto"/>
              </w:rPr>
            </w:pPr>
          </w:p>
        </w:tc>
        <w:tc>
          <w:tcPr>
            <w:tcW w:w="880" w:type="dxa"/>
            <w:vAlign w:val="bottom"/>
            <w:tcBorders>
              <w:bottom w:val="single" w:sz="8" w:color="CCEEFF"/>
            </w:tcBorders>
            <w:gridSpan w:val="3"/>
            <w:vMerge w:val="restart"/>
            <w:shd w:val="clear" w:color="auto" w:fill="CCEEFF"/>
          </w:tcPr>
          <w:p>
            <w:pPr>
              <w:spacing w:after="0"/>
              <w:rPr>
                <w:sz w:val="12"/>
                <w:szCs w:val="12"/>
                <w:color w:val="auto"/>
              </w:rPr>
            </w:pPr>
          </w:p>
        </w:tc>
        <w:tc>
          <w:tcPr>
            <w:tcW w:w="124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gridSpan w:val="2"/>
            <w:vMerge w:val="restart"/>
            <w:shd w:val="clear" w:color="auto" w:fill="CCEEFF"/>
          </w:tcPr>
          <w:p>
            <w:pPr>
              <w:spacing w:after="0"/>
              <w:rPr>
                <w:sz w:val="12"/>
                <w:szCs w:val="12"/>
                <w:color w:val="auto"/>
              </w:rPr>
            </w:pPr>
          </w:p>
        </w:tc>
        <w:tc>
          <w:tcPr>
            <w:tcW w:w="154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Nashua, NH</w:t>
            </w: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gridSpan w:val="2"/>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gridSpan w:val="3"/>
            <w:shd w:val="clear" w:color="auto" w:fill="CCEEFF"/>
          </w:tcPr>
          <w:p>
            <w:pPr>
              <w:spacing w:after="0"/>
              <w:rPr>
                <w:sz w:val="8"/>
                <w:szCs w:val="8"/>
                <w:color w:val="auto"/>
              </w:rPr>
            </w:pPr>
          </w:p>
        </w:tc>
        <w:tc>
          <w:tcPr>
            <w:tcW w:w="4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Borders>
              <w:bottom w:val="single" w:sz="8" w:color="CCEEFF"/>
            </w:tcBorders>
            <w:gridSpan w:val="2"/>
            <w:vMerge w:val="continue"/>
            <w:shd w:val="clear" w:color="auto" w:fill="CCEEFF"/>
          </w:tcPr>
          <w:p>
            <w:pPr>
              <w:spacing w:after="0"/>
              <w:rPr>
                <w:sz w:val="8"/>
                <w:szCs w:val="8"/>
                <w:color w:val="auto"/>
              </w:rPr>
            </w:pPr>
          </w:p>
        </w:tc>
        <w:tc>
          <w:tcPr>
            <w:tcW w:w="880" w:type="dxa"/>
            <w:vAlign w:val="bottom"/>
            <w:tcBorders>
              <w:bottom w:val="single" w:sz="8" w:color="CCEEFF"/>
            </w:tcBorders>
            <w:gridSpan w:val="3"/>
            <w:vMerge w:val="continue"/>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gridSpan w:val="2"/>
            <w:vMerge w:val="continue"/>
            <w:shd w:val="clear" w:color="auto" w:fill="CCEEFF"/>
          </w:tcPr>
          <w:p>
            <w:pPr>
              <w:spacing w:after="0"/>
              <w:rPr>
                <w:sz w:val="8"/>
                <w:szCs w:val="8"/>
                <w:color w:val="auto"/>
              </w:rPr>
            </w:pPr>
          </w:p>
        </w:tc>
        <w:tc>
          <w:tcPr>
            <w:tcW w:w="1540" w:type="dxa"/>
            <w:vAlign w:val="bottom"/>
            <w:tcBorders>
              <w:bottom w:val="single" w:sz="8" w:color="CCEEFF"/>
            </w:tcBorders>
            <w:gridSpan w:val="2"/>
            <w:vMerge w:val="continue"/>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280" w:type="dxa"/>
            <w:vAlign w:val="bottom"/>
            <w:tcBorders>
              <w:top w:val="single" w:sz="8" w:color="CCEEFF"/>
            </w:tcBorders>
            <w:gridSpan w:val="18"/>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540" w:type="dxa"/>
            <w:vAlign w:val="bottom"/>
            <w:tcBorders>
              <w:top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6/8/2021</w:t>
            </w:r>
          </w:p>
        </w:tc>
        <w:tc>
          <w:tcPr>
            <w:tcW w:w="10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981,843</w:t>
            </w: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9,818,430</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8,983,863</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96"/>
        </w:trPr>
        <w:tc>
          <w:tcPr>
            <w:tcW w:w="42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Varo Money, Inc.</w:t>
            </w: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960" w:type="dxa"/>
            <w:vAlign w:val="bottom"/>
            <w:tcBorders>
              <w:top w:val="single" w:sz="8" w:color="CCEEFF"/>
            </w:tcBorders>
            <w:gridSpan w:val="15"/>
          </w:tcPr>
          <w:p>
            <w:pPr>
              <w:spacing w:after="0"/>
              <w:rPr>
                <w:sz w:val="18"/>
                <w:szCs w:val="18"/>
                <w:color w:val="auto"/>
              </w:rPr>
            </w:pPr>
          </w:p>
        </w:tc>
        <w:tc>
          <w:tcPr>
            <w:tcW w:w="154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Financial Services</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1,079,266</w:t>
            </w: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10,005,548</w:t>
            </w:r>
          </w:p>
        </w:tc>
        <w:tc>
          <w:tcPr>
            <w:tcW w:w="11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8,541,676</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76"/>
        </w:trPr>
        <w:tc>
          <w:tcPr>
            <w:tcW w:w="4060" w:type="dxa"/>
            <w:vAlign w:val="bottom"/>
            <w:tcBorders>
              <w:bottom w:val="single" w:sz="8" w:color="auto"/>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NewLake Capital Partners, Inc. (f/k/a GreenAcreage</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tcBorders>
              <w:bottom w:val="single" w:sz="8" w:color="auto"/>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Real Estate Corp.)**</w:t>
            </w:r>
          </w:p>
        </w:tc>
        <w:tc>
          <w:tcPr>
            <w:tcW w:w="2660" w:type="dxa"/>
            <w:vAlign w:val="bottom"/>
            <w:tcBorders>
              <w:bottom w:val="single" w:sz="8" w:color="CCEEFF"/>
            </w:tcBorders>
            <w:gridSpan w:val="10"/>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New York, NY</w:t>
            </w: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80" w:type="dxa"/>
            <w:vAlign w:val="bottom"/>
            <w:gridSpan w:val="18"/>
          </w:tcPr>
          <w:p>
            <w:pPr>
              <w:spacing w:after="0" w:line="256" w:lineRule="exact"/>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(3)(16)</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Cannabis REIT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8/12/2019</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278,471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5,653,375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7,986,548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CCEEFF"/>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Rover Group, Inc.**</w:t>
            </w:r>
          </w:p>
        </w:tc>
        <w:tc>
          <w:tcPr>
            <w:tcW w:w="2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(13)</w:t>
            </w: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gridSpan w:val="2"/>
            <w:vMerge w:val="restart"/>
            <w:shd w:val="clear" w:color="auto" w:fill="CCEEFF"/>
          </w:tcPr>
          <w:p>
            <w:pPr>
              <w:spacing w:after="0"/>
              <w:rPr>
                <w:sz w:val="12"/>
                <w:szCs w:val="12"/>
                <w:color w:val="auto"/>
              </w:rPr>
            </w:pPr>
          </w:p>
        </w:tc>
        <w:tc>
          <w:tcPr>
            <w:tcW w:w="880" w:type="dxa"/>
            <w:vAlign w:val="bottom"/>
            <w:tcBorders>
              <w:bottom w:val="single" w:sz="8" w:color="CCEEFF"/>
            </w:tcBorders>
            <w:gridSpan w:val="3"/>
            <w:vMerge w:val="restart"/>
            <w:shd w:val="clear" w:color="auto" w:fill="CCEEFF"/>
          </w:tcPr>
          <w:p>
            <w:pPr>
              <w:spacing w:after="0"/>
              <w:rPr>
                <w:sz w:val="12"/>
                <w:szCs w:val="12"/>
                <w:color w:val="auto"/>
              </w:rPr>
            </w:pPr>
          </w:p>
        </w:tc>
        <w:tc>
          <w:tcPr>
            <w:tcW w:w="1460" w:type="dxa"/>
            <w:vAlign w:val="bottom"/>
            <w:tcBorders>
              <w:bottom w:val="single" w:sz="8" w:color="CCEEFF"/>
            </w:tcBorders>
            <w:gridSpan w:val="3"/>
            <w:vMerge w:val="restart"/>
            <w:shd w:val="clear" w:color="auto" w:fill="CCEEFF"/>
          </w:tcPr>
          <w:p>
            <w:pPr>
              <w:spacing w:after="0"/>
              <w:rPr>
                <w:sz w:val="12"/>
                <w:szCs w:val="12"/>
                <w:color w:val="auto"/>
              </w:rPr>
            </w:pPr>
          </w:p>
        </w:tc>
        <w:tc>
          <w:tcPr>
            <w:tcW w:w="1540" w:type="dxa"/>
            <w:vAlign w:val="bottom"/>
            <w:tcBorders>
              <w:bottom w:val="single" w:sz="8" w:color="CCEEFF"/>
            </w:tcBorders>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Seattle, WA</w:t>
            </w: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600" w:type="dxa"/>
            <w:vAlign w:val="bottom"/>
            <w:tcBorders>
              <w:bottom w:val="single" w:sz="8" w:color="auto"/>
            </w:tcBorders>
            <w:gridSpan w:val="7"/>
            <w:vMerge w:val="continue"/>
            <w:shd w:val="clear" w:color="auto" w:fill="CCEEFF"/>
          </w:tcPr>
          <w:p>
            <w:pPr>
              <w:spacing w:after="0"/>
              <w:rPr>
                <w:sz w:val="5"/>
                <w:szCs w:val="5"/>
                <w:color w:val="auto"/>
              </w:rPr>
            </w:pPr>
          </w:p>
        </w:tc>
        <w:tc>
          <w:tcPr>
            <w:tcW w:w="240" w:type="dxa"/>
            <w:vAlign w:val="bottom"/>
            <w:tcBorders>
              <w:bottom w:val="single" w:sz="8" w:color="CCEEFF"/>
            </w:tcBorders>
            <w:gridSpan w:val="2"/>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gridSpan w:val="2"/>
            <w:vMerge w:val="continue"/>
            <w:shd w:val="clear" w:color="auto" w:fill="CCEEFF"/>
          </w:tcPr>
          <w:p>
            <w:pPr>
              <w:spacing w:after="0"/>
              <w:rPr>
                <w:sz w:val="5"/>
                <w:szCs w:val="5"/>
                <w:color w:val="auto"/>
              </w:rPr>
            </w:pPr>
          </w:p>
        </w:tc>
        <w:tc>
          <w:tcPr>
            <w:tcW w:w="880" w:type="dxa"/>
            <w:vAlign w:val="bottom"/>
            <w:tcBorders>
              <w:bottom w:val="single" w:sz="8" w:color="CCEEFF"/>
            </w:tcBorders>
            <w:gridSpan w:val="3"/>
            <w:vMerge w:val="continue"/>
            <w:shd w:val="clear" w:color="auto" w:fill="CCEEFF"/>
          </w:tcPr>
          <w:p>
            <w:pPr>
              <w:spacing w:after="0"/>
              <w:rPr>
                <w:sz w:val="5"/>
                <w:szCs w:val="5"/>
                <w:color w:val="auto"/>
              </w:rPr>
            </w:pPr>
          </w:p>
        </w:tc>
        <w:tc>
          <w:tcPr>
            <w:tcW w:w="1460" w:type="dxa"/>
            <w:vAlign w:val="bottom"/>
            <w:tcBorders>
              <w:bottom w:val="single" w:sz="8" w:color="CCEEFF"/>
            </w:tcBorders>
            <w:gridSpan w:val="3"/>
            <w:vMerge w:val="continue"/>
            <w:shd w:val="clear" w:color="auto" w:fill="CCEEFF"/>
          </w:tcPr>
          <w:p>
            <w:pPr>
              <w:spacing w:after="0"/>
              <w:rPr>
                <w:sz w:val="5"/>
                <w:szCs w:val="5"/>
                <w:color w:val="auto"/>
              </w:rPr>
            </w:pPr>
          </w:p>
        </w:tc>
        <w:tc>
          <w:tcPr>
            <w:tcW w:w="154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280" w:type="dxa"/>
            <w:vAlign w:val="bottom"/>
            <w:tcBorders>
              <w:top w:val="single" w:sz="8" w:color="CCEEFF"/>
            </w:tcBorders>
            <w:gridSpan w:val="18"/>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54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Peer-to-Peer Pet</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18"/>
            <w:vMerge w:val="continue"/>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11/3/2014</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838,381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2,506,119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7,765,504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96"/>
        </w:trPr>
        <w:tc>
          <w:tcPr>
            <w:tcW w:w="42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Shogun Enterprises, Inc.</w:t>
            </w:r>
          </w:p>
        </w:tc>
        <w:tc>
          <w:tcPr>
            <w:tcW w:w="15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Austin, TX</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Home</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Improvement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Preferred shares, Series B-1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Finance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2/26/2021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436,844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3,501,657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3,531,447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49"/>
        </w:trPr>
        <w:tc>
          <w:tcPr>
            <w:tcW w:w="42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B-2</w:t>
            </w: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2/26/2021</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301,750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3,501,661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3,499,998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18"/>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7,003,318</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7,031,445</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2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Enjoy Technology, Inc.**</w:t>
            </w:r>
          </w:p>
        </w:tc>
        <w:tc>
          <w:tcPr>
            <w:tcW w:w="154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Menlo Park, CA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Borders>
              <w:top w:val="single" w:sz="8" w:color="auto"/>
            </w:tcBorders>
            <w:gridSpan w:val="12"/>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2340" w:type="dxa"/>
            <w:vAlign w:val="bottom"/>
            <w:tcBorders>
              <w:top w:val="single" w:sz="8" w:color="CCEEFF"/>
            </w:tcBorders>
            <w:gridSpan w:val="6"/>
            <w:vMerge w:val="restart"/>
          </w:tcPr>
          <w:p>
            <w:pPr>
              <w:spacing w:after="0"/>
              <w:rPr>
                <w:sz w:val="17"/>
                <w:szCs w:val="17"/>
                <w:color w:val="auto"/>
              </w:rPr>
            </w:pPr>
          </w:p>
        </w:tc>
        <w:tc>
          <w:tcPr>
            <w:tcW w:w="154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On-Demand</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12"/>
            <w:vMerge w:val="continue"/>
          </w:tcPr>
          <w:p>
            <w:pPr>
              <w:spacing w:after="0"/>
              <w:rPr>
                <w:sz w:val="20"/>
                <w:szCs w:val="20"/>
                <w:color w:val="auto"/>
              </w:rPr>
            </w:pPr>
          </w:p>
        </w:tc>
        <w:tc>
          <w:tcPr>
            <w:tcW w:w="2340" w:type="dxa"/>
            <w:vAlign w:val="bottom"/>
            <w:gridSpan w:val="6"/>
            <w:vMerge w:val="continue"/>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Commerce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10/16/2014</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1,070,919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5,526,777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4,576,572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auto"/>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Neutron Holdings, Inc. (d/b/a/ Lime)</w:t>
            </w:r>
          </w:p>
        </w:tc>
        <w:tc>
          <w:tcPr>
            <w:tcW w:w="1460" w:type="dxa"/>
            <w:vAlign w:val="bottom"/>
            <w:tcBorders>
              <w:bottom w:val="single" w:sz="8" w:color="CCEEFF"/>
            </w:tcBorders>
            <w:gridSpan w:val="3"/>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San Francisco, CA</w:t>
            </w: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Junior Preferred shares, Series 1-D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Micromobility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1/25/2019</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41,237,113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10,007,322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3,485,014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43"/>
        </w:trPr>
        <w:tc>
          <w:tcPr>
            <w:tcW w:w="42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Preferred Convertible Note 4% Due 5/11/2027***</w:t>
            </w: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506,339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506,339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506,339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8"/>
        </w:trPr>
        <w:tc>
          <w:tcPr>
            <w:tcW w:w="4280" w:type="dxa"/>
            <w:vAlign w:val="bottom"/>
            <w:gridSpan w:val="18"/>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 Expiration Date</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5/11/2027</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2,032,967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gridSpan w:val="1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10,513,661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229" w:right="339" w:bottom="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r>
              <w:rPr>
                <w:rFonts w:ascii="Times New Roman" w:cs="Times New Roman" w:eastAsia="Times New Roman" w:hAnsi="Times New Roman"/>
                <w:sz w:val="29"/>
                <w:szCs w:val="29"/>
                <w:b w:val="1"/>
                <w:bCs w:val="1"/>
                <w:color w:val="auto"/>
                <w:vertAlign w:val="superscript"/>
              </w:rPr>
              <w:t>*</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4180" w:type="dxa"/>
            <w:vAlign w:val="bottom"/>
            <w:gridSpan w:val="29"/>
            <w:vMerge w:val="continue"/>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21"/>
                <w:szCs w:val="21"/>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94"/>
        </w:trPr>
        <w:tc>
          <w:tcPr>
            <w:tcW w:w="4080" w:type="dxa"/>
            <w:vAlign w:val="bottom"/>
            <w:tcBorders>
              <w:top w:val="single" w:sz="8" w:color="auto"/>
            </w:tcBorders>
            <w:gridSpan w:val="28"/>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Residential Homes for Rent, LLC (d/b/a Second</w:t>
            </w: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180" w:type="dxa"/>
            <w:vAlign w:val="bottom"/>
            <w:tcBorders>
              <w:bottom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Avenue)</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Chicago, IL</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18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auto"/>
              </w:rPr>
              <w:t>Preferred shares, Series A</w:t>
            </w:r>
            <w:r>
              <w:rPr>
                <w:rFonts w:ascii="Times New Roman" w:cs="Times New Roman" w:eastAsia="Times New Roman" w:hAnsi="Times New Roman"/>
                <w:sz w:val="29"/>
                <w:szCs w:val="29"/>
                <w:color w:val="auto"/>
                <w:vertAlign w:val="superscript"/>
              </w:rPr>
              <w:t>(6)</w:t>
            </w:r>
          </w:p>
        </w:tc>
        <w:tc>
          <w:tcPr>
            <w:tcW w:w="15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Real Estate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80" w:type="dxa"/>
            <w:vAlign w:val="bottom"/>
            <w:gridSpan w:val="29"/>
            <w:vMerge w:val="continue"/>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Platform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90"/>
        </w:trPr>
        <w:tc>
          <w:tcPr>
            <w:tcW w:w="4180" w:type="dxa"/>
            <w:vAlign w:val="bottom"/>
            <w:gridSpan w:val="29"/>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Term loan 15%, Due 12/23/2023***</w:t>
            </w:r>
            <w:r>
              <w:rPr>
                <w:rFonts w:ascii="Times New Roman" w:cs="Times New Roman" w:eastAsia="Times New Roman" w:hAnsi="Times New Roman"/>
                <w:sz w:val="29"/>
                <w:szCs w:val="29"/>
                <w:color w:val="auto"/>
                <w:vertAlign w:val="superscript"/>
              </w:rPr>
              <w:t>(14)</w:t>
            </w: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$ 2,000,000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9"/>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3,500,000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3,500,000</w:t>
            </w:r>
          </w:p>
        </w:tc>
        <w:tc>
          <w:tcPr>
            <w:tcW w:w="2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0.96</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PayJoy, Inc.</w:t>
            </w:r>
          </w:p>
        </w:tc>
        <w:tc>
          <w:tcPr>
            <w:tcW w:w="15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Mobile Access</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Technology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7/23/2021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244,117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2,501,570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2260" w:type="dxa"/>
            <w:vAlign w:val="bottom"/>
            <w:tcBorders>
              <w:bottom w:val="single" w:sz="8" w:color="CCEEFF"/>
            </w:tcBorders>
            <w:gridSpan w:val="19"/>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New York, NY</w:t>
            </w: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8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5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Subscription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9"/>
            <w:vMerge w:val="continue"/>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Fashion Rental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6/17/2020</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339,191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5,153,945</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2,418,856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149"/>
        </w:trPr>
        <w:tc>
          <w:tcPr>
            <w:tcW w:w="2360" w:type="dxa"/>
            <w:vAlign w:val="bottom"/>
            <w:tcBorders>
              <w:bottom w:val="single" w:sz="8" w:color="CCEEFF"/>
            </w:tcBorders>
            <w:gridSpan w:val="1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Aventine Property Group, Inc.</w:t>
            </w:r>
          </w:p>
        </w:tc>
        <w:tc>
          <w:tcPr>
            <w:tcW w:w="260" w:type="dxa"/>
            <w:vAlign w:val="bottom"/>
            <w:tcBorders>
              <w:bottom w:val="single" w:sz="8" w:color="auto"/>
            </w:tcBorders>
            <w:gridSpan w:val="6"/>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w w:val="94"/>
              </w:rPr>
              <w:t>(12)</w:t>
            </w: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46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Chicago, IL</w:t>
            </w: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360" w:type="dxa"/>
            <w:vAlign w:val="bottom"/>
            <w:tcBorders>
              <w:bottom w:val="single" w:sz="8" w:color="auto"/>
            </w:tcBorders>
            <w:gridSpan w:val="13"/>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gridSpan w:val="29"/>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Cannabis REIT</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104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312,500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2,580,750</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2,190,978</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176"/>
        </w:trPr>
        <w:tc>
          <w:tcPr>
            <w:tcW w:w="4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Commercial Streaming Solutions Inc. (d/b/a</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rPr>
              <w:t>BettorView)</w:t>
            </w:r>
          </w:p>
        </w:tc>
        <w:tc>
          <w:tcPr>
            <w:tcW w:w="18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(7)</w:t>
            </w:r>
          </w:p>
        </w:tc>
        <w:tc>
          <w:tcPr>
            <w:tcW w:w="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36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8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1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60" w:type="dxa"/>
            <w:vAlign w:val="bottom"/>
            <w:tcBorders>
              <w:top w:val="single" w:sz="8" w:color="auto"/>
              <w:bottom w:val="single" w:sz="8" w:color="auto"/>
            </w:tcBorders>
            <w:gridSpan w:val="2"/>
            <w:vMerge w:val="restart"/>
            <w:shd w:val="clear" w:color="auto" w:fill="CCEEFF"/>
          </w:tcPr>
          <w:p>
            <w:pPr>
              <w:spacing w:after="0"/>
              <w:rPr>
                <w:sz w:val="14"/>
                <w:szCs w:val="14"/>
                <w:color w:val="auto"/>
              </w:rPr>
            </w:pPr>
          </w:p>
        </w:tc>
        <w:tc>
          <w:tcPr>
            <w:tcW w:w="2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8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26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46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1520" w:type="dxa"/>
            <w:vAlign w:val="bottom"/>
            <w:tcBorders>
              <w:top w:val="single" w:sz="8" w:color="CCEEFF"/>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Las Vegas, NV</w:t>
            </w: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940" w:type="dxa"/>
            <w:vAlign w:val="bottom"/>
            <w:tcBorders>
              <w:bottom w:val="single" w:sz="8" w:color="auto"/>
            </w:tcBorders>
            <w:vMerge w:val="continue"/>
            <w:shd w:val="clear" w:color="auto" w:fill="CCEEFF"/>
          </w:tcPr>
          <w:p>
            <w:pPr>
              <w:spacing w:after="0"/>
              <w:rPr>
                <w:sz w:val="5"/>
                <w:szCs w:val="5"/>
                <w:color w:val="auto"/>
              </w:rPr>
            </w:pPr>
          </w:p>
        </w:tc>
        <w:tc>
          <w:tcPr>
            <w:tcW w:w="180" w:type="dxa"/>
            <w:vAlign w:val="bottom"/>
            <w:tcBorders>
              <w:bottom w:val="single" w:sz="8" w:color="CCEEFF"/>
            </w:tcBorders>
            <w:gridSpan w:val="2"/>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360" w:type="dxa"/>
            <w:vAlign w:val="bottom"/>
            <w:tcBorders>
              <w:bottom w:val="single" w:sz="8" w:color="CCEEFF"/>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Interactive Media</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&amp; Services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1,002,720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00" w:type="dxa"/>
            <w:vAlign w:val="bottom"/>
            <w:tcBorders>
              <w:bottom w:val="single" w:sz="8" w:color="CCEEFF"/>
            </w:tcBorders>
            <w:gridSpan w:val="14"/>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Rebric, Inc. (d/b/a Compliable)</w:t>
            </w:r>
          </w:p>
        </w:tc>
        <w:tc>
          <w:tcPr>
            <w:tcW w:w="18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(7)</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gridSpan w:val="2"/>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46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Denver, CO</w:t>
            </w: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400" w:type="dxa"/>
            <w:vAlign w:val="bottom"/>
            <w:tcBorders>
              <w:bottom w:val="single" w:sz="8" w:color="auto"/>
            </w:tcBorders>
            <w:gridSpan w:val="14"/>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gridSpan w:val="2"/>
            <w:vMerge w:val="continue"/>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180" w:type="dxa"/>
            <w:vAlign w:val="bottom"/>
            <w:tcBorders>
              <w:top w:val="single" w:sz="8" w:color="CCEEFF"/>
            </w:tcBorders>
            <w:gridSpan w:val="29"/>
          </w:tcPr>
          <w:p>
            <w:pPr>
              <w:spacing w:after="0"/>
              <w:rPr>
                <w:sz w:val="20"/>
                <w:szCs w:val="20"/>
                <w:color w:val="auto"/>
              </w:rPr>
            </w:pPr>
            <w:r>
              <w:rPr>
                <w:rFonts w:ascii="Times New Roman" w:cs="Times New Roman" w:eastAsia="Times New Roman" w:hAnsi="Times New Roman"/>
                <w:sz w:val="18"/>
                <w:szCs w:val="18"/>
                <w:color w:val="auto"/>
              </w:rPr>
              <w:t>Preferred shares, Series Seed-4</w:t>
            </w:r>
          </w:p>
        </w:tc>
        <w:tc>
          <w:tcPr>
            <w:tcW w:w="15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Gaming Licensing</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c>
          <w:tcPr>
            <w:tcW w:w="104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2,064,409</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1,002,755</w:t>
            </w: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153"/>
        </w:trPr>
        <w:tc>
          <w:tcPr>
            <w:tcW w:w="2500" w:type="dxa"/>
            <w:vAlign w:val="bottom"/>
            <w:tcBorders>
              <w:bottom w:val="single" w:sz="8" w:color="CCEEFF"/>
            </w:tcBorders>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Palantir Lending Trust SPV I **</w:t>
            </w:r>
          </w:p>
        </w:tc>
        <w:tc>
          <w:tcPr>
            <w:tcW w:w="260" w:type="dxa"/>
            <w:vAlign w:val="bottom"/>
            <w:tcBorders>
              <w:bottom w:val="single" w:sz="8" w:color="auto"/>
            </w:tcBorders>
            <w:gridSpan w:val="5"/>
            <w:shd w:val="clear" w:color="auto" w:fill="CCEEFF"/>
          </w:tcPr>
          <w:p>
            <w:pPr>
              <w:jc w:val="right"/>
              <w:spacing w:after="0" w:line="133" w:lineRule="exact"/>
              <w:rPr>
                <w:sz w:val="20"/>
                <w:szCs w:val="20"/>
                <w:color w:val="auto"/>
              </w:rPr>
            </w:pPr>
            <w:r>
              <w:rPr>
                <w:rFonts w:ascii="Times New Roman" w:cs="Times New Roman" w:eastAsia="Times New Roman" w:hAnsi="Times New Roman"/>
                <w:sz w:val="15"/>
                <w:szCs w:val="15"/>
                <w:b w:val="1"/>
                <w:bCs w:val="1"/>
                <w:color w:val="auto"/>
                <w:w w:val="95"/>
              </w:rPr>
              <w:t>(11)</w:t>
            </w:r>
          </w:p>
        </w:tc>
        <w:tc>
          <w:tcPr>
            <w:tcW w:w="220" w:type="dxa"/>
            <w:vAlign w:val="bottom"/>
            <w:tcBorders>
              <w:bottom w:val="single" w:sz="8" w:color="CCEEFF"/>
            </w:tcBorders>
            <w:vMerge w:val="restart"/>
            <w:shd w:val="clear" w:color="auto" w:fill="CCEEFF"/>
          </w:tcPr>
          <w:p>
            <w:pPr>
              <w:spacing w:after="0"/>
              <w:rPr>
                <w:sz w:val="13"/>
                <w:szCs w:val="13"/>
                <w:color w:val="auto"/>
              </w:rPr>
            </w:pPr>
          </w:p>
        </w:tc>
        <w:tc>
          <w:tcPr>
            <w:tcW w:w="60" w:type="dxa"/>
            <w:vAlign w:val="bottom"/>
            <w:tcBorders>
              <w:bottom w:val="single" w:sz="8" w:color="CCEEFF"/>
            </w:tcBorders>
            <w:vMerge w:val="restart"/>
            <w:shd w:val="clear" w:color="auto" w:fill="CCEEFF"/>
          </w:tcPr>
          <w:p>
            <w:pPr>
              <w:spacing w:after="0"/>
              <w:rPr>
                <w:sz w:val="13"/>
                <w:szCs w:val="13"/>
                <w:color w:val="auto"/>
              </w:rPr>
            </w:pPr>
          </w:p>
        </w:tc>
        <w:tc>
          <w:tcPr>
            <w:tcW w:w="100" w:type="dxa"/>
            <w:vAlign w:val="bottom"/>
            <w:tcBorders>
              <w:bottom w:val="single" w:sz="8" w:color="CCEEFF"/>
            </w:tcBorders>
            <w:vMerge w:val="restart"/>
            <w:shd w:val="clear" w:color="auto" w:fill="CCEEFF"/>
          </w:tcPr>
          <w:p>
            <w:pPr>
              <w:spacing w:after="0"/>
              <w:rPr>
                <w:sz w:val="13"/>
                <w:szCs w:val="13"/>
                <w:color w:val="auto"/>
              </w:rPr>
            </w:pPr>
          </w:p>
        </w:tc>
        <w:tc>
          <w:tcPr>
            <w:tcW w:w="60" w:type="dxa"/>
            <w:vAlign w:val="bottom"/>
            <w:tcBorders>
              <w:bottom w:val="single" w:sz="8" w:color="CCEEFF"/>
            </w:tcBorders>
            <w:vMerge w:val="restart"/>
            <w:shd w:val="clear" w:color="auto" w:fill="CCEEFF"/>
          </w:tcPr>
          <w:p>
            <w:pPr>
              <w:spacing w:after="0"/>
              <w:rPr>
                <w:sz w:val="13"/>
                <w:szCs w:val="13"/>
                <w:color w:val="auto"/>
              </w:rPr>
            </w:pPr>
          </w:p>
        </w:tc>
        <w:tc>
          <w:tcPr>
            <w:tcW w:w="260" w:type="dxa"/>
            <w:vAlign w:val="bottom"/>
            <w:tcBorders>
              <w:bottom w:val="single" w:sz="8" w:color="CCEEFF"/>
            </w:tcBorders>
            <w:gridSpan w:val="2"/>
            <w:vMerge w:val="restart"/>
            <w:shd w:val="clear" w:color="auto" w:fill="CCEEFF"/>
          </w:tcPr>
          <w:p>
            <w:pPr>
              <w:spacing w:after="0"/>
              <w:rPr>
                <w:sz w:val="13"/>
                <w:szCs w:val="13"/>
                <w:color w:val="auto"/>
              </w:rPr>
            </w:pPr>
          </w:p>
        </w:tc>
        <w:tc>
          <w:tcPr>
            <w:tcW w:w="260" w:type="dxa"/>
            <w:vAlign w:val="bottom"/>
            <w:tcBorders>
              <w:bottom w:val="single" w:sz="8" w:color="CCEEFF"/>
            </w:tcBorders>
            <w:vMerge w:val="restart"/>
            <w:shd w:val="clear" w:color="auto" w:fill="CCEEFF"/>
          </w:tcPr>
          <w:p>
            <w:pPr>
              <w:spacing w:after="0"/>
              <w:rPr>
                <w:sz w:val="13"/>
                <w:szCs w:val="13"/>
                <w:color w:val="auto"/>
              </w:rPr>
            </w:pPr>
          </w:p>
        </w:tc>
        <w:tc>
          <w:tcPr>
            <w:tcW w:w="460" w:type="dxa"/>
            <w:vAlign w:val="bottom"/>
            <w:tcBorders>
              <w:bottom w:val="single" w:sz="8" w:color="CCEEFF"/>
            </w:tcBorders>
            <w:gridSpan w:val="2"/>
            <w:vMerge w:val="restart"/>
            <w:shd w:val="clear" w:color="auto" w:fill="CCEEFF"/>
          </w:tcPr>
          <w:p>
            <w:pPr>
              <w:spacing w:after="0"/>
              <w:rPr>
                <w:sz w:val="13"/>
                <w:szCs w:val="13"/>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Palo Alto, CA</w:t>
            </w: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500" w:type="dxa"/>
            <w:vAlign w:val="bottom"/>
            <w:tcBorders>
              <w:bottom w:val="single" w:sz="8" w:color="auto"/>
            </w:tcBorders>
            <w:gridSpan w:val="15"/>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gridSpan w:val="2"/>
            <w:shd w:val="clear" w:color="auto" w:fill="CCEEFF"/>
          </w:tcPr>
          <w:p>
            <w:pPr>
              <w:spacing w:after="0"/>
              <w:rPr>
                <w:sz w:val="8"/>
                <w:szCs w:val="8"/>
                <w:color w:val="auto"/>
              </w:rPr>
            </w:pPr>
          </w:p>
        </w:tc>
        <w:tc>
          <w:tcPr>
            <w:tcW w:w="160" w:type="dxa"/>
            <w:vAlign w:val="bottom"/>
            <w:tcBorders>
              <w:bottom w:val="single" w:sz="8" w:color="CCEEFF"/>
            </w:tcBorders>
            <w:gridSpan w:val="2"/>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gridSpan w:val="2"/>
            <w:vMerge w:val="continue"/>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460" w:type="dxa"/>
            <w:vAlign w:val="bottom"/>
            <w:tcBorders>
              <w:bottom w:val="single" w:sz="8" w:color="CCEEFF"/>
            </w:tcBorders>
            <w:gridSpan w:val="2"/>
            <w:vMerge w:val="continue"/>
            <w:shd w:val="clear" w:color="auto" w:fill="CCEEFF"/>
          </w:tcPr>
          <w:p>
            <w:pPr>
              <w:spacing w:after="0"/>
              <w:rPr>
                <w:sz w:val="8"/>
                <w:szCs w:val="8"/>
                <w:color w:val="auto"/>
              </w:rPr>
            </w:pPr>
          </w:p>
        </w:tc>
        <w:tc>
          <w:tcPr>
            <w:tcW w:w="1520" w:type="dxa"/>
            <w:vAlign w:val="bottom"/>
            <w:tcBorders>
              <w:bottom w:val="single" w:sz="8" w:color="CCEEFF"/>
            </w:tcBorders>
            <w:gridSpan w:val="2"/>
            <w:vMerge w:val="continue"/>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180" w:type="dxa"/>
            <w:vAlign w:val="bottom"/>
            <w:tcBorders>
              <w:top w:val="single" w:sz="8" w:color="CCEEFF"/>
            </w:tcBorders>
            <w:gridSpan w:val="29"/>
          </w:tcPr>
          <w:p>
            <w:pPr>
              <w:spacing w:after="0" w:line="256" w:lineRule="exact"/>
              <w:rPr>
                <w:sz w:val="20"/>
                <w:szCs w:val="20"/>
                <w:color w:val="auto"/>
              </w:rPr>
            </w:pPr>
            <w:r>
              <w:rPr>
                <w:rFonts w:ascii="Times New Roman" w:cs="Times New Roman" w:eastAsia="Times New Roman" w:hAnsi="Times New Roman"/>
                <w:sz w:val="18"/>
                <w:szCs w:val="18"/>
                <w:color w:val="auto"/>
              </w:rPr>
              <w:t>Equity Participation in Underlying Collateral</w:t>
            </w:r>
            <w:r>
              <w:rPr>
                <w:rFonts w:ascii="Times New Roman" w:cs="Times New Roman" w:eastAsia="Times New Roman" w:hAnsi="Times New Roman"/>
                <w:sz w:val="29"/>
                <w:szCs w:val="29"/>
                <w:color w:val="auto"/>
                <w:vertAlign w:val="superscript"/>
              </w:rPr>
              <w:t>(3)</w:t>
            </w:r>
          </w:p>
        </w:tc>
        <w:tc>
          <w:tcPr>
            <w:tcW w:w="15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Data Analysis</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6/19/2020</w:t>
            </w:r>
          </w:p>
        </w:tc>
        <w:tc>
          <w:tcPr>
            <w:tcW w:w="10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22"/>
                <w:szCs w:val="22"/>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930,524</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198"/>
        </w:trPr>
        <w:tc>
          <w:tcPr>
            <w:tcW w:w="2980" w:type="dxa"/>
            <w:vAlign w:val="bottom"/>
            <w:gridSpan w:val="21"/>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True Global Ventures 4 Plus Pte Ltd**</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980" w:type="dxa"/>
            <w:vAlign w:val="bottom"/>
            <w:tcBorders>
              <w:bottom w:val="single" w:sz="8" w:color="CCEEFF"/>
            </w:tcBorders>
            <w:gridSpan w:val="21"/>
            <w:vMerge w:val="continue"/>
            <w:shd w:val="clear" w:color="auto" w:fill="CCEEFF"/>
          </w:tcPr>
          <w:p>
            <w:pPr>
              <w:spacing w:after="0"/>
              <w:rPr>
                <w:sz w:val="10"/>
                <w:szCs w:val="10"/>
                <w:color w:val="auto"/>
              </w:rPr>
            </w:pPr>
          </w:p>
        </w:tc>
        <w:tc>
          <w:tcPr>
            <w:tcW w:w="160" w:type="dxa"/>
            <w:vAlign w:val="bottom"/>
            <w:tcBorders>
              <w:bottom w:val="single" w:sz="8" w:color="auto"/>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vMerge w:val="restart"/>
            <w:shd w:val="clear" w:color="auto" w:fill="CCEEFF"/>
          </w:tcPr>
          <w:p>
            <w:pPr>
              <w:spacing w:after="0"/>
              <w:rPr>
                <w:sz w:val="10"/>
                <w:szCs w:val="10"/>
                <w:color w:val="auto"/>
              </w:rPr>
            </w:pPr>
          </w:p>
        </w:tc>
        <w:tc>
          <w:tcPr>
            <w:tcW w:w="260" w:type="dxa"/>
            <w:vAlign w:val="bottom"/>
            <w:tcBorders>
              <w:bottom w:val="single" w:sz="8" w:color="CCEEFF"/>
            </w:tcBorders>
            <w:gridSpan w:val="2"/>
            <w:vMerge w:val="restart"/>
            <w:shd w:val="clear" w:color="auto" w:fill="CCEEFF"/>
          </w:tcPr>
          <w:p>
            <w:pPr>
              <w:spacing w:after="0"/>
              <w:rPr>
                <w:sz w:val="10"/>
                <w:szCs w:val="10"/>
                <w:color w:val="auto"/>
              </w:rPr>
            </w:pPr>
          </w:p>
        </w:tc>
        <w:tc>
          <w:tcPr>
            <w:tcW w:w="260" w:type="dxa"/>
            <w:vAlign w:val="bottom"/>
            <w:tcBorders>
              <w:bottom w:val="single" w:sz="8" w:color="CCEEFF"/>
            </w:tcBorders>
            <w:vMerge w:val="restart"/>
            <w:shd w:val="clear" w:color="auto" w:fill="CCEEFF"/>
          </w:tcPr>
          <w:p>
            <w:pPr>
              <w:spacing w:after="0"/>
              <w:rPr>
                <w:sz w:val="10"/>
                <w:szCs w:val="10"/>
                <w:color w:val="auto"/>
              </w:rPr>
            </w:pPr>
          </w:p>
        </w:tc>
        <w:tc>
          <w:tcPr>
            <w:tcW w:w="460" w:type="dxa"/>
            <w:vAlign w:val="bottom"/>
            <w:tcBorders>
              <w:bottom w:val="single" w:sz="8" w:color="CCEEFF"/>
            </w:tcBorders>
            <w:gridSpan w:val="2"/>
            <w:vMerge w:val="restart"/>
            <w:shd w:val="clear" w:color="auto" w:fill="CCEEFF"/>
          </w:tcPr>
          <w:p>
            <w:pPr>
              <w:spacing w:after="0"/>
              <w:rPr>
                <w:sz w:val="10"/>
                <w:szCs w:val="10"/>
                <w:color w:val="auto"/>
              </w:rPr>
            </w:pPr>
          </w:p>
        </w:tc>
        <w:tc>
          <w:tcPr>
            <w:tcW w:w="1520" w:type="dxa"/>
            <w:vAlign w:val="bottom"/>
            <w:tcBorders>
              <w:bottom w:val="single" w:sz="8" w:color="CCEEFF"/>
            </w:tcBorders>
            <w:gridSpan w:val="2"/>
            <w:vMerge w:val="restart"/>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980" w:type="dxa"/>
            <w:vAlign w:val="bottom"/>
            <w:tcBorders>
              <w:bottom w:val="single" w:sz="8" w:color="auto"/>
            </w:tcBorders>
            <w:gridSpan w:val="21"/>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Venture Investment</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Limited Partner Fund Investment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Fund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8/27/2021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713,505</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tcBorders>
              <w:bottom w:val="single" w:sz="8" w:color="CCEEFF"/>
            </w:tcBorders>
            <w:gridSpan w:val="2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YouBet Technology, Inc. (d/b/a PickUp)</w:t>
            </w:r>
          </w:p>
        </w:tc>
        <w:tc>
          <w:tcPr>
            <w:tcW w:w="1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(7)</w:t>
            </w: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46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 York, NY</w:t>
            </w: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040" w:type="dxa"/>
            <w:vAlign w:val="bottom"/>
            <w:tcBorders>
              <w:bottom w:val="single" w:sz="8" w:color="auto"/>
            </w:tcBorders>
            <w:gridSpan w:val="22"/>
            <w:vMerge w:val="continue"/>
            <w:shd w:val="clear" w:color="auto" w:fill="CCEEFF"/>
          </w:tcPr>
          <w:p>
            <w:pPr>
              <w:spacing w:after="0"/>
              <w:rPr>
                <w:sz w:val="5"/>
                <w:szCs w:val="5"/>
                <w:color w:val="auto"/>
              </w:rPr>
            </w:pPr>
          </w:p>
        </w:tc>
        <w:tc>
          <w:tcPr>
            <w:tcW w:w="160" w:type="dxa"/>
            <w:vAlign w:val="bottom"/>
            <w:tcBorders>
              <w:bottom w:val="single" w:sz="8" w:color="CCEEFF"/>
            </w:tcBorders>
            <w:gridSpan w:val="2"/>
            <w:shd w:val="clear" w:color="auto" w:fill="CCEEFF"/>
          </w:tcPr>
          <w:p>
            <w:pPr>
              <w:spacing w:after="0"/>
              <w:rPr>
                <w:sz w:val="5"/>
                <w:szCs w:val="5"/>
                <w:color w:val="auto"/>
              </w:rPr>
            </w:pP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Digital Media</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Preferred shares, Series Seed-2</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Technology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385,353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502,232</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499,999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49"/>
        </w:trPr>
        <w:tc>
          <w:tcPr>
            <w:tcW w:w="1220" w:type="dxa"/>
            <w:vAlign w:val="bottom"/>
            <w:tcBorders>
              <w:bottom w:val="single" w:sz="8" w:color="CCEEFF"/>
            </w:tcBorders>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Kahoot! ASA**</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(19)</w:t>
            </w: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gridSpan w:val="4"/>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860" w:type="dxa"/>
            <w:vAlign w:val="bottom"/>
            <w:tcBorders>
              <w:bottom w:val="single" w:sz="8" w:color="CCEEFF"/>
            </w:tcBorders>
            <w:gridSpan w:val="8"/>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46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Oslo, Norway</w:t>
            </w: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220" w:type="dxa"/>
            <w:vAlign w:val="bottom"/>
            <w:tcBorders>
              <w:bottom w:val="single" w:sz="8" w:color="auto"/>
            </w:tcBorders>
            <w:gridSpan w:val="5"/>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360" w:type="dxa"/>
            <w:vAlign w:val="bottom"/>
            <w:tcBorders>
              <w:bottom w:val="single" w:sz="8" w:color="CCEEFF"/>
            </w:tcBorders>
            <w:gridSpan w:val="2"/>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200" w:type="dxa"/>
            <w:vAlign w:val="bottom"/>
            <w:tcBorders>
              <w:bottom w:val="single" w:sz="8" w:color="CCEEFF"/>
            </w:tcBorders>
            <w:gridSpan w:val="4"/>
            <w:vMerge w:val="continue"/>
            <w:shd w:val="clear" w:color="auto" w:fill="CCEEFF"/>
          </w:tcPr>
          <w:p>
            <w:pPr>
              <w:spacing w:after="0"/>
              <w:rPr>
                <w:sz w:val="8"/>
                <w:szCs w:val="8"/>
                <w:color w:val="auto"/>
              </w:rPr>
            </w:pPr>
          </w:p>
        </w:tc>
        <w:tc>
          <w:tcPr>
            <w:tcW w:w="80" w:type="dxa"/>
            <w:vAlign w:val="bottom"/>
            <w:tcBorders>
              <w:bottom w:val="single" w:sz="8" w:color="CCEEFF"/>
            </w:tcBorders>
            <w:gridSpan w:val="2"/>
            <w:vMerge w:val="continue"/>
            <w:shd w:val="clear" w:color="auto" w:fill="CCEEFF"/>
          </w:tcPr>
          <w:p>
            <w:pPr>
              <w:spacing w:after="0"/>
              <w:rPr>
                <w:sz w:val="8"/>
                <w:szCs w:val="8"/>
                <w:color w:val="auto"/>
              </w:rPr>
            </w:pPr>
          </w:p>
        </w:tc>
        <w:tc>
          <w:tcPr>
            <w:tcW w:w="860" w:type="dxa"/>
            <w:vAlign w:val="bottom"/>
            <w:tcBorders>
              <w:bottom w:val="single" w:sz="8" w:color="CCEEFF"/>
            </w:tcBorders>
            <w:gridSpan w:val="8"/>
            <w:vMerge w:val="continue"/>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460" w:type="dxa"/>
            <w:vAlign w:val="bottom"/>
            <w:tcBorders>
              <w:bottom w:val="single" w:sz="8" w:color="CCEEFF"/>
            </w:tcBorders>
            <w:gridSpan w:val="2"/>
            <w:vMerge w:val="continue"/>
            <w:shd w:val="clear" w:color="auto" w:fill="CCEEFF"/>
          </w:tcPr>
          <w:p>
            <w:pPr>
              <w:spacing w:after="0"/>
              <w:rPr>
                <w:sz w:val="8"/>
                <w:szCs w:val="8"/>
                <w:color w:val="auto"/>
              </w:rPr>
            </w:pPr>
          </w:p>
        </w:tc>
        <w:tc>
          <w:tcPr>
            <w:tcW w:w="1520" w:type="dxa"/>
            <w:vAlign w:val="bottom"/>
            <w:tcBorders>
              <w:bottom w:val="single" w:sz="8" w:color="CCEEFF"/>
            </w:tcBorders>
            <w:gridSpan w:val="2"/>
            <w:vMerge w:val="continue"/>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180" w:type="dxa"/>
            <w:vAlign w:val="bottom"/>
            <w:tcBorders>
              <w:top w:val="single" w:sz="8" w:color="CCEEFF"/>
            </w:tcBorders>
            <w:gridSpan w:val="29"/>
            <w:vMerge w:val="restart"/>
          </w:tcPr>
          <w:p>
            <w:pPr>
              <w:spacing w:after="0"/>
              <w:rPr>
                <w:sz w:val="20"/>
                <w:szCs w:val="20"/>
                <w:color w:val="auto"/>
              </w:rPr>
            </w:pPr>
            <w:r>
              <w:rPr>
                <w:rFonts w:ascii="Times New Roman" w:cs="Times New Roman" w:eastAsia="Times New Roman" w:hAnsi="Times New Roman"/>
                <w:sz w:val="18"/>
                <w:szCs w:val="18"/>
                <w:color w:val="auto"/>
              </w:rPr>
              <w:t>Common shares</w:t>
            </w:r>
            <w:r>
              <w:rPr>
                <w:rFonts w:ascii="Times New Roman" w:cs="Times New Roman" w:eastAsia="Times New Roman" w:hAnsi="Times New Roman"/>
                <w:sz w:val="29"/>
                <w:szCs w:val="29"/>
                <w:color w:val="auto"/>
                <w:vertAlign w:val="superscript"/>
              </w:rPr>
              <w:t>(3)</w:t>
            </w: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Education</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9"/>
            <w:vMerge w:val="continue"/>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12/5/2014</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86,800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458,138</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402,360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CCEEFF"/>
            </w:tcBorders>
            <w:gridSpan w:val="1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Churchill Sponsor VII LLC**</w:t>
            </w:r>
          </w:p>
        </w:tc>
        <w:tc>
          <w:tcPr>
            <w:tcW w:w="280" w:type="dxa"/>
            <w:vAlign w:val="bottom"/>
            <w:tcBorders>
              <w:bottom w:val="single" w:sz="8" w:color="auto"/>
            </w:tcBorders>
            <w:gridSpan w:val="6"/>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(17)</w:t>
            </w:r>
          </w:p>
        </w:tc>
        <w:tc>
          <w:tcPr>
            <w:tcW w:w="860" w:type="dxa"/>
            <w:vAlign w:val="bottom"/>
            <w:tcBorders>
              <w:bottom w:val="single" w:sz="8" w:color="CCEEFF"/>
            </w:tcBorders>
            <w:gridSpan w:val="8"/>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46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 York, NY</w:t>
            </w: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320" w:type="dxa"/>
            <w:vAlign w:val="bottom"/>
            <w:tcBorders>
              <w:bottom w:val="single" w:sz="8" w:color="auto"/>
            </w:tcBorders>
            <w:gridSpan w:val="12"/>
            <w:vMerge w:val="continue"/>
            <w:shd w:val="clear" w:color="auto" w:fill="CCEEFF"/>
          </w:tcPr>
          <w:p>
            <w:pPr>
              <w:spacing w:after="0"/>
              <w:rPr>
                <w:sz w:val="5"/>
                <w:szCs w:val="5"/>
                <w:color w:val="auto"/>
              </w:rPr>
            </w:pPr>
          </w:p>
        </w:tc>
        <w:tc>
          <w:tcPr>
            <w:tcW w:w="200" w:type="dxa"/>
            <w:vAlign w:val="bottom"/>
            <w:tcBorders>
              <w:bottom w:val="single" w:sz="8" w:color="CCEEFF"/>
            </w:tcBorders>
            <w:gridSpan w:val="4"/>
            <w:shd w:val="clear" w:color="auto" w:fill="CCEEFF"/>
          </w:tcPr>
          <w:p>
            <w:pPr>
              <w:spacing w:after="0"/>
              <w:rPr>
                <w:sz w:val="5"/>
                <w:szCs w:val="5"/>
                <w:color w:val="auto"/>
              </w:rPr>
            </w:pPr>
          </w:p>
        </w:tc>
        <w:tc>
          <w:tcPr>
            <w:tcW w:w="80" w:type="dxa"/>
            <w:vAlign w:val="bottom"/>
            <w:tcBorders>
              <w:bottom w:val="single" w:sz="8" w:color="CCEEFF"/>
            </w:tcBorders>
            <w:gridSpan w:val="2"/>
            <w:shd w:val="clear" w:color="auto" w:fill="CCEEFF"/>
          </w:tcPr>
          <w:p>
            <w:pPr>
              <w:spacing w:after="0"/>
              <w:rPr>
                <w:sz w:val="5"/>
                <w:szCs w:val="5"/>
                <w:color w:val="auto"/>
              </w:rPr>
            </w:pPr>
          </w:p>
        </w:tc>
        <w:tc>
          <w:tcPr>
            <w:tcW w:w="860" w:type="dxa"/>
            <w:vAlign w:val="bottom"/>
            <w:tcBorders>
              <w:bottom w:val="single" w:sz="8" w:color="CCEEFF"/>
            </w:tcBorders>
            <w:gridSpan w:val="8"/>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Acquisition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Company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292,100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205,820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205,820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50"/>
        </w:trPr>
        <w:tc>
          <w:tcPr>
            <w:tcW w:w="4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94,180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94,180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9"/>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2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35"/>
        </w:trPr>
        <w:tc>
          <w:tcPr>
            <w:tcW w:w="1640" w:type="dxa"/>
            <w:vAlign w:val="bottom"/>
            <w:tcBorders>
              <w:bottom w:val="single" w:sz="8" w:color="CCEEFF"/>
            </w:tcBorders>
            <w:gridSpan w:val="7"/>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AltC Sponsor LLC**</w:t>
            </w:r>
          </w:p>
        </w:tc>
        <w:tc>
          <w:tcPr>
            <w:tcW w:w="26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w:t>
            </w:r>
          </w:p>
        </w:tc>
        <w:tc>
          <w:tcPr>
            <w:tcW w:w="360" w:type="dxa"/>
            <w:vAlign w:val="bottom"/>
            <w:tcBorders>
              <w:bottom w:val="single" w:sz="8" w:color="CCEEFF"/>
            </w:tcBorders>
            <w:gridSpan w:val="2"/>
            <w:vMerge w:val="restart"/>
            <w:shd w:val="clear" w:color="auto" w:fill="CCEEFF"/>
          </w:tcPr>
          <w:p>
            <w:pPr>
              <w:spacing w:after="0"/>
              <w:rPr>
                <w:sz w:val="11"/>
                <w:szCs w:val="11"/>
                <w:color w:val="auto"/>
              </w:rPr>
            </w:pPr>
          </w:p>
        </w:tc>
        <w:tc>
          <w:tcPr>
            <w:tcW w:w="260" w:type="dxa"/>
            <w:vAlign w:val="bottom"/>
            <w:tcBorders>
              <w:bottom w:val="single" w:sz="8" w:color="CCEEFF"/>
            </w:tcBorders>
            <w:gridSpan w:val="5"/>
            <w:vMerge w:val="restart"/>
            <w:shd w:val="clear" w:color="auto" w:fill="CCEEFF"/>
          </w:tcPr>
          <w:p>
            <w:pPr>
              <w:spacing w:after="0"/>
              <w:rPr>
                <w:sz w:val="11"/>
                <w:szCs w:val="11"/>
                <w:color w:val="auto"/>
              </w:rPr>
            </w:pPr>
          </w:p>
        </w:tc>
        <w:tc>
          <w:tcPr>
            <w:tcW w:w="940" w:type="dxa"/>
            <w:vAlign w:val="bottom"/>
            <w:tcBorders>
              <w:bottom w:val="single" w:sz="8" w:color="CCEEFF"/>
            </w:tcBorders>
            <w:gridSpan w:val="10"/>
            <w:vMerge w:val="restart"/>
            <w:shd w:val="clear" w:color="auto" w:fill="CCEEFF"/>
          </w:tcPr>
          <w:p>
            <w:pPr>
              <w:spacing w:after="0"/>
              <w:rPr>
                <w:sz w:val="11"/>
                <w:szCs w:val="11"/>
                <w:color w:val="auto"/>
              </w:rPr>
            </w:pPr>
          </w:p>
        </w:tc>
        <w:tc>
          <w:tcPr>
            <w:tcW w:w="260" w:type="dxa"/>
            <w:vAlign w:val="bottom"/>
            <w:tcBorders>
              <w:bottom w:val="single" w:sz="8" w:color="CCEEFF"/>
            </w:tcBorders>
            <w:vMerge w:val="restart"/>
            <w:shd w:val="clear" w:color="auto" w:fill="CCEEFF"/>
          </w:tcPr>
          <w:p>
            <w:pPr>
              <w:spacing w:after="0"/>
              <w:rPr>
                <w:sz w:val="11"/>
                <w:szCs w:val="11"/>
                <w:color w:val="auto"/>
              </w:rPr>
            </w:pPr>
          </w:p>
        </w:tc>
        <w:tc>
          <w:tcPr>
            <w:tcW w:w="460" w:type="dxa"/>
            <w:vAlign w:val="bottom"/>
            <w:tcBorders>
              <w:bottom w:val="single" w:sz="8" w:color="CCEEFF"/>
            </w:tcBorders>
            <w:gridSpan w:val="2"/>
            <w:vMerge w:val="restart"/>
            <w:shd w:val="clear" w:color="auto" w:fill="CCEEFF"/>
          </w:tcPr>
          <w:p>
            <w:pPr>
              <w:spacing w:after="0"/>
              <w:rPr>
                <w:sz w:val="11"/>
                <w:szCs w:val="11"/>
                <w:color w:val="auto"/>
              </w:rPr>
            </w:pPr>
          </w:p>
        </w:tc>
        <w:tc>
          <w:tcPr>
            <w:tcW w:w="1520" w:type="dxa"/>
            <w:vAlign w:val="bottom"/>
            <w:tcBorders>
              <w:bottom w:val="single" w:sz="8" w:color="CCEEFF"/>
            </w:tcBorders>
            <w:gridSpan w:val="2"/>
            <w:vMerge w:val="restart"/>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New York, NY</w:t>
            </w: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640" w:type="dxa"/>
            <w:vAlign w:val="bottom"/>
            <w:tcBorders>
              <w:bottom w:val="single" w:sz="8" w:color="auto"/>
            </w:tcBorders>
            <w:gridSpan w:val="7"/>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gridSpan w:val="2"/>
            <w:vMerge w:val="continue"/>
            <w:shd w:val="clear" w:color="auto" w:fill="CCEEFF"/>
          </w:tcPr>
          <w:p>
            <w:pPr>
              <w:spacing w:after="0"/>
              <w:rPr>
                <w:sz w:val="5"/>
                <w:szCs w:val="5"/>
                <w:color w:val="auto"/>
              </w:rPr>
            </w:pPr>
          </w:p>
        </w:tc>
        <w:tc>
          <w:tcPr>
            <w:tcW w:w="260" w:type="dxa"/>
            <w:vAlign w:val="bottom"/>
            <w:tcBorders>
              <w:bottom w:val="single" w:sz="8" w:color="CCEEFF"/>
            </w:tcBorders>
            <w:gridSpan w:val="5"/>
            <w:vMerge w:val="continue"/>
            <w:shd w:val="clear" w:color="auto" w:fill="CCEEFF"/>
          </w:tcPr>
          <w:p>
            <w:pPr>
              <w:spacing w:after="0"/>
              <w:rPr>
                <w:sz w:val="5"/>
                <w:szCs w:val="5"/>
                <w:color w:val="auto"/>
              </w:rPr>
            </w:pPr>
          </w:p>
        </w:tc>
        <w:tc>
          <w:tcPr>
            <w:tcW w:w="940" w:type="dxa"/>
            <w:vAlign w:val="bottom"/>
            <w:tcBorders>
              <w:bottom w:val="single" w:sz="8" w:color="CCEEFF"/>
            </w:tcBorders>
            <w:gridSpan w:val="10"/>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Acquisition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Share units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Company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7/21/2021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239,300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250,855</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60" w:type="dxa"/>
            <w:vAlign w:val="bottom"/>
            <w:tcBorders>
              <w:bottom w:val="single" w:sz="8" w:color="CCEEFF"/>
            </w:tcBorders>
            <w:gridSpan w:val="11"/>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Churchill Sponsor VI LLC**</w:t>
            </w:r>
          </w:p>
        </w:tc>
        <w:tc>
          <w:tcPr>
            <w:tcW w:w="260" w:type="dxa"/>
            <w:vAlign w:val="bottom"/>
            <w:tcBorders>
              <w:bottom w:val="single" w:sz="8" w:color="auto"/>
            </w:tcBorders>
            <w:gridSpan w:val="5"/>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(17)</w:t>
            </w:r>
          </w:p>
        </w:tc>
        <w:tc>
          <w:tcPr>
            <w:tcW w:w="940" w:type="dxa"/>
            <w:vAlign w:val="bottom"/>
            <w:tcBorders>
              <w:bottom w:val="single" w:sz="8" w:color="CCEEFF"/>
            </w:tcBorders>
            <w:gridSpan w:val="10"/>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460" w:type="dxa"/>
            <w:vAlign w:val="bottom"/>
            <w:tcBorders>
              <w:bottom w:val="single" w:sz="8" w:color="CCEEFF"/>
            </w:tcBorders>
            <w:gridSpan w:val="2"/>
            <w:vMerge w:val="restart"/>
            <w:shd w:val="clear" w:color="auto" w:fill="CCEEFF"/>
          </w:tcPr>
          <w:p>
            <w:pPr>
              <w:spacing w:after="0"/>
              <w:rPr>
                <w:sz w:val="12"/>
                <w:szCs w:val="12"/>
                <w:color w:val="auto"/>
              </w:rPr>
            </w:pPr>
          </w:p>
        </w:tc>
        <w:tc>
          <w:tcPr>
            <w:tcW w:w="1520" w:type="dxa"/>
            <w:vAlign w:val="bottom"/>
            <w:tcBorders>
              <w:bottom w:val="single" w:sz="8" w:color="CCEEFF"/>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 York, NY</w:t>
            </w:r>
          </w:p>
        </w:tc>
        <w:tc>
          <w:tcPr>
            <w:tcW w:w="10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260" w:type="dxa"/>
            <w:vAlign w:val="bottom"/>
            <w:tcBorders>
              <w:bottom w:val="single" w:sz="8" w:color="auto"/>
            </w:tcBorders>
            <w:gridSpan w:val="11"/>
            <w:vMerge w:val="continue"/>
            <w:shd w:val="clear" w:color="auto" w:fill="CCEEFF"/>
          </w:tcPr>
          <w:p>
            <w:pPr>
              <w:spacing w:after="0"/>
              <w:rPr>
                <w:sz w:val="5"/>
                <w:szCs w:val="5"/>
                <w:color w:val="auto"/>
              </w:rPr>
            </w:pPr>
          </w:p>
        </w:tc>
        <w:tc>
          <w:tcPr>
            <w:tcW w:w="260" w:type="dxa"/>
            <w:vAlign w:val="bottom"/>
            <w:tcBorders>
              <w:bottom w:val="single" w:sz="8" w:color="CCEEFF"/>
            </w:tcBorders>
            <w:gridSpan w:val="5"/>
            <w:shd w:val="clear" w:color="auto" w:fill="CCEEFF"/>
          </w:tcPr>
          <w:p>
            <w:pPr>
              <w:spacing w:after="0"/>
              <w:rPr>
                <w:sz w:val="5"/>
                <w:szCs w:val="5"/>
                <w:color w:val="auto"/>
              </w:rPr>
            </w:pPr>
          </w:p>
        </w:tc>
        <w:tc>
          <w:tcPr>
            <w:tcW w:w="940" w:type="dxa"/>
            <w:vAlign w:val="bottom"/>
            <w:tcBorders>
              <w:bottom w:val="single" w:sz="8" w:color="CCEEFF"/>
            </w:tcBorders>
            <w:gridSpan w:val="10"/>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Acquisition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Common share units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Company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134,297</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134,297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49"/>
        </w:trPr>
        <w:tc>
          <w:tcPr>
            <w:tcW w:w="4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units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2/25/2021</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65,703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9"/>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2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Fullbridge, Inc.</w:t>
            </w:r>
          </w:p>
        </w:tc>
        <w:tc>
          <w:tcPr>
            <w:tcW w:w="15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Cambridge, MA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980" w:type="dxa"/>
            <w:vAlign w:val="bottom"/>
            <w:tcBorders>
              <w:top w:val="single" w:sz="8" w:color="CCEEFF"/>
            </w:tcBorders>
            <w:gridSpan w:val="25"/>
          </w:tcPr>
          <w:p>
            <w:pPr>
              <w:spacing w:after="0"/>
              <w:rPr>
                <w:sz w:val="18"/>
                <w:szCs w:val="18"/>
                <w:color w:val="auto"/>
              </w:rPr>
            </w:pPr>
          </w:p>
        </w:tc>
        <w:tc>
          <w:tcPr>
            <w:tcW w:w="15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Business Education</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5/13/2012</w:t>
            </w:r>
          </w:p>
        </w:tc>
        <w:tc>
          <w:tcPr>
            <w:tcW w:w="104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517,917</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6,150,506</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4180" w:type="dxa"/>
            <w:vAlign w:val="bottom"/>
            <w:gridSpan w:val="29"/>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Promissory Note 1.47%, Due 11/9/2021</w:t>
            </w:r>
            <w:r>
              <w:rPr>
                <w:rFonts w:ascii="Times New Roman" w:cs="Times New Roman" w:eastAsia="Times New Roman" w:hAnsi="Times New Roman"/>
                <w:sz w:val="29"/>
                <w:szCs w:val="29"/>
                <w:color w:val="auto"/>
                <w:vertAlign w:val="superscript"/>
              </w:rPr>
              <w:t>(4)(20)</w:t>
            </w: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$ 2,270,458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2,270,858</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9"/>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8,421,364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35"/>
        </w:trPr>
        <w:tc>
          <w:tcPr>
            <w:tcW w:w="3460" w:type="dxa"/>
            <w:vAlign w:val="bottom"/>
            <w:tcBorders>
              <w:bottom w:val="single" w:sz="8" w:color="CCEEFF"/>
            </w:tcBorders>
            <w:gridSpan w:val="26"/>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Treehouse Real Estate Investment Trust, Inc.</w:t>
            </w:r>
          </w:p>
        </w:tc>
        <w:tc>
          <w:tcPr>
            <w:tcW w:w="2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(12)</w:t>
            </w:r>
          </w:p>
        </w:tc>
        <w:tc>
          <w:tcPr>
            <w:tcW w:w="460" w:type="dxa"/>
            <w:vAlign w:val="bottom"/>
            <w:tcBorders>
              <w:bottom w:val="single" w:sz="8" w:color="CCEEFF"/>
            </w:tcBorders>
            <w:gridSpan w:val="2"/>
            <w:vMerge w:val="restart"/>
            <w:shd w:val="clear" w:color="auto" w:fill="CCEEFF"/>
          </w:tcPr>
          <w:p>
            <w:pPr>
              <w:spacing w:after="0"/>
              <w:rPr>
                <w:sz w:val="11"/>
                <w:szCs w:val="11"/>
                <w:color w:val="auto"/>
              </w:rPr>
            </w:pPr>
          </w:p>
        </w:tc>
        <w:tc>
          <w:tcPr>
            <w:tcW w:w="1520" w:type="dxa"/>
            <w:vAlign w:val="bottom"/>
            <w:tcBorders>
              <w:bottom w:val="single" w:sz="8" w:color="CCEEFF"/>
            </w:tcBorders>
            <w:gridSpan w:val="2"/>
            <w:vMerge w:val="restart"/>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Chicago, IL</w:t>
            </w: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460" w:type="dxa"/>
            <w:vAlign w:val="bottom"/>
            <w:tcBorders>
              <w:bottom w:val="single" w:sz="8" w:color="auto"/>
            </w:tcBorders>
            <w:gridSpan w:val="26"/>
            <w:vMerge w:val="continue"/>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CCEEFF"/>
            </w:tcBorders>
            <w:gridSpan w:val="2"/>
            <w:vMerge w:val="continue"/>
            <w:shd w:val="clear" w:color="auto" w:fill="CCEEFF"/>
          </w:tcPr>
          <w:p>
            <w:pPr>
              <w:spacing w:after="0"/>
              <w:rPr>
                <w:sz w:val="5"/>
                <w:szCs w:val="5"/>
                <w:color w:val="auto"/>
              </w:rPr>
            </w:pPr>
          </w:p>
        </w:tc>
        <w:tc>
          <w:tcPr>
            <w:tcW w:w="1520" w:type="dxa"/>
            <w:vAlign w:val="bottom"/>
            <w:tcBorders>
              <w:bottom w:val="single" w:sz="8" w:color="CCEEFF"/>
            </w:tcBorders>
            <w:gridSpan w:val="2"/>
            <w:vMerge w:val="continue"/>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gridSpan w:val="29"/>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Cannabis REIT</w:t>
            </w: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9/11/2019</w:t>
            </w:r>
          </w:p>
        </w:tc>
        <w:tc>
          <w:tcPr>
            <w:tcW w:w="104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312,500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4,919,250</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Kinetiq Holdings, LLC</w:t>
            </w:r>
          </w:p>
        </w:tc>
        <w:tc>
          <w:tcPr>
            <w:tcW w:w="15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Philadelphia, PA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Social Data</w:t>
            </w: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Platform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3/30/2012</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112,374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80" w:type="dxa"/>
            <w:vAlign w:val="bottom"/>
            <w:gridSpan w:val="29"/>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Non-controlled/Non-affiliate</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146,360,300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231,768,290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63.53%</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229" w:right="339" w:bottom="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r>
              <w:rPr>
                <w:rFonts w:ascii="Times New Roman" w:cs="Times New Roman" w:eastAsia="Times New Roman" w:hAnsi="Times New Roman"/>
                <w:sz w:val="29"/>
                <w:szCs w:val="29"/>
                <w:b w:val="1"/>
                <w:bCs w:val="1"/>
                <w:color w:val="auto"/>
                <w:vertAlign w:val="superscript"/>
              </w:rPr>
              <w:t>*</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Headquarters/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0" w:type="dxa"/>
            <w:vAlign w:val="bottom"/>
          </w:tcPr>
          <w:p>
            <w:pPr>
              <w:spacing w:after="0"/>
              <w:rPr>
                <w:sz w:val="1"/>
                <w:szCs w:val="1"/>
                <w:color w:val="auto"/>
              </w:rPr>
            </w:pPr>
          </w:p>
        </w:tc>
      </w:tr>
      <w:tr>
        <w:trPr>
          <w:trHeight w:val="245"/>
        </w:trPr>
        <w:tc>
          <w:tcPr>
            <w:tcW w:w="4160" w:type="dxa"/>
            <w:vAlign w:val="bottom"/>
            <w:gridSpan w:val="8"/>
            <w:vMerge w:val="continue"/>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21"/>
                <w:szCs w:val="21"/>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56"/>
        </w:trPr>
        <w:tc>
          <w:tcPr>
            <w:tcW w:w="4040" w:type="dxa"/>
            <w:vAlign w:val="bottom"/>
            <w:tcBorders>
              <w:top w:val="single" w:sz="8" w:color="auto"/>
            </w:tcBorders>
            <w:gridSpan w:val="7"/>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NON-CONTROLLED/AFFILIATE</w:t>
            </w:r>
            <w:r>
              <w:rPr>
                <w:rFonts w:ascii="Times New Roman" w:cs="Times New Roman" w:eastAsia="Times New Roman" w:hAnsi="Times New Roman"/>
                <w:sz w:val="29"/>
                <w:szCs w:val="29"/>
                <w:b w:val="1"/>
                <w:bCs w:val="1"/>
                <w:color w:val="auto"/>
                <w:vertAlign w:val="superscript"/>
              </w:rPr>
              <w:t>(1)</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StormWind, LLC</w:t>
            </w:r>
          </w:p>
        </w:tc>
        <w:tc>
          <w:tcPr>
            <w:tcW w:w="1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(5)</w:t>
            </w:r>
          </w:p>
        </w:tc>
        <w:tc>
          <w:tcPr>
            <w:tcW w:w="140" w:type="dxa"/>
            <w:vAlign w:val="bottom"/>
            <w:vMerge w:val="restart"/>
          </w:tcPr>
          <w:p>
            <w:pPr>
              <w:spacing w:after="0"/>
              <w:rPr>
                <w:sz w:val="12"/>
                <w:szCs w:val="12"/>
                <w:color w:val="auto"/>
              </w:rPr>
            </w:pPr>
          </w:p>
        </w:tc>
        <w:tc>
          <w:tcPr>
            <w:tcW w:w="1120" w:type="dxa"/>
            <w:vAlign w:val="bottom"/>
            <w:vMerge w:val="restart"/>
          </w:tcPr>
          <w:p>
            <w:pPr>
              <w:spacing w:after="0"/>
              <w:rPr>
                <w:sz w:val="12"/>
                <w:szCs w:val="12"/>
                <w:color w:val="auto"/>
              </w:rPr>
            </w:pPr>
          </w:p>
        </w:tc>
        <w:tc>
          <w:tcPr>
            <w:tcW w:w="1360" w:type="dxa"/>
            <w:vAlign w:val="bottom"/>
            <w:gridSpan w:val="2"/>
            <w:vMerge w:val="restart"/>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Scottsdale, AZ</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80" w:type="dxa"/>
            <w:vAlign w:val="bottom"/>
            <w:tcBorders>
              <w:bottom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Interactive</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D 8%</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Learning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11/26/2019</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329,337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257,267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621,093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1/7/2014</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2,779,134</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4,000,787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6,496,729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8%</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12/16/2011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3,279,629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2,019,687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4,423,607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7"/>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A 8%</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2/25/2014</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366,666</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289,293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6"/>
        </w:trPr>
        <w:tc>
          <w:tcPr>
            <w:tcW w:w="4160" w:type="dxa"/>
            <w:vAlign w:val="bottom"/>
            <w:tcBorders>
              <w:top w:val="single" w:sz="8" w:color="CCEEFF"/>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6,387,741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11,830,722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3"/>
        </w:trPr>
        <w:tc>
          <w:tcPr>
            <w:tcW w:w="4160" w:type="dxa"/>
            <w:vAlign w:val="bottom"/>
            <w:gridSpan w:val="8"/>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OneValley, Inc. (f/k/a NestGSV, Inc.)</w:t>
            </w:r>
          </w:p>
        </w:tc>
        <w:tc>
          <w:tcPr>
            <w:tcW w:w="150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8"/>
                <w:szCs w:val="18"/>
                <w:color w:val="auto"/>
                <w:w w:val="98"/>
              </w:rPr>
              <w:t>San Mateo,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60" w:type="dxa"/>
            <w:vAlign w:val="bottom"/>
            <w:gridSpan w:val="8"/>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Security, Expiration Date 8/23/2024</w:t>
            </w:r>
            <w:r>
              <w:rPr>
                <w:rFonts w:ascii="Times New Roman" w:cs="Times New Roman" w:eastAsia="Times New Roman" w:hAnsi="Times New Roman"/>
                <w:sz w:val="29"/>
                <w:szCs w:val="29"/>
                <w:color w:val="auto"/>
                <w:vertAlign w:val="superscript"/>
              </w:rPr>
              <w:t>(10)</w:t>
            </w:r>
          </w:p>
        </w:tc>
        <w:tc>
          <w:tcPr>
            <w:tcW w:w="15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Global Innovation</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8"/>
            <w:vMerge w:val="continue"/>
            <w:shd w:val="clear" w:color="auto" w:fill="CCEEFF"/>
          </w:tcPr>
          <w:p>
            <w:pPr>
              <w:spacing w:after="0"/>
              <w:rPr>
                <w:sz w:val="20"/>
                <w:szCs w:val="20"/>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8/23/2019</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8,555,124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2,268,268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57"/>
        </w:trPr>
        <w:tc>
          <w:tcPr>
            <w:tcW w:w="4160" w:type="dxa"/>
            <w:vAlign w:val="bottom"/>
            <w:gridSpan w:val="8"/>
          </w:tcPr>
          <w:p>
            <w:pPr>
              <w:spacing w:after="0" w:line="256" w:lineRule="exact"/>
              <w:rPr>
                <w:sz w:val="20"/>
                <w:szCs w:val="20"/>
                <w:color w:val="auto"/>
              </w:rPr>
            </w:pPr>
            <w:r>
              <w:rPr>
                <w:rFonts w:ascii="Times New Roman" w:cs="Times New Roman" w:eastAsia="Times New Roman" w:hAnsi="Times New Roman"/>
                <w:sz w:val="18"/>
                <w:szCs w:val="18"/>
                <w:color w:val="auto"/>
              </w:rPr>
              <w:t>Convertible Promissory Note 8% Due 8/23/2024</w:t>
            </w:r>
            <w:r>
              <w:rPr>
                <w:rFonts w:ascii="Times New Roman" w:cs="Times New Roman" w:eastAsia="Times New Roman" w:hAnsi="Times New Roman"/>
                <w:sz w:val="29"/>
                <w:szCs w:val="29"/>
                <w:color w:val="auto"/>
                <w:vertAlign w:val="superscript"/>
              </w:rPr>
              <w:t>(4)(10)</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2/17/2016</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$ 1,010,198</w:t>
            </w:r>
          </w:p>
        </w:tc>
        <w:tc>
          <w:tcPr>
            <w:tcW w:w="16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1,030,176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505,099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8"/>
        </w:trPr>
        <w:tc>
          <w:tcPr>
            <w:tcW w:w="416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Warrant Series B, Strike Price $2.31,</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Date 5/29/2022</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5/29/2017</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70,379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6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Preferred Warrant Series B, Strike Price $2.31,</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Expiration Date 12/31/2023</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6"/>
        </w:trPr>
        <w:tc>
          <w:tcPr>
            <w:tcW w:w="4160" w:type="dxa"/>
            <w:vAlign w:val="bottom"/>
            <w:tcBorders>
              <w:top w:val="single" w:sz="8" w:color="CCEEFF"/>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9,660,759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71"/>
        </w:trPr>
        <w:tc>
          <w:tcPr>
            <w:tcW w:w="41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Ozy Media, Inc.</w:t>
            </w:r>
          </w:p>
        </w:tc>
        <w:tc>
          <w:tcPr>
            <w:tcW w:w="1500" w:type="dxa"/>
            <w:vAlign w:val="bottom"/>
            <w:gridSpan w:val="2"/>
          </w:tcPr>
          <w:p>
            <w:pPr>
              <w:jc w:val="center"/>
              <w:ind w:right="140"/>
              <w:spacing w:after="0" w:line="171" w:lineRule="exact"/>
              <w:rPr>
                <w:sz w:val="20"/>
                <w:szCs w:val="20"/>
                <w:color w:val="auto"/>
              </w:rPr>
            </w:pPr>
            <w:r>
              <w:rPr>
                <w:rFonts w:ascii="Times New Roman" w:cs="Times New Roman" w:eastAsia="Times New Roman" w:hAnsi="Times New Roman"/>
                <w:sz w:val="18"/>
                <w:szCs w:val="18"/>
                <w:color w:val="auto"/>
                <w:w w:val="98"/>
              </w:rPr>
              <w:t>Mountain View,</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160" w:type="dxa"/>
            <w:vAlign w:val="bottom"/>
            <w:gridSpan w:val="8"/>
            <w:vMerge w:val="continue"/>
          </w:tcPr>
          <w:p>
            <w:pPr>
              <w:spacing w:after="0"/>
              <w:rPr>
                <w:sz w:val="16"/>
                <w:szCs w:val="16"/>
                <w:color w:val="auto"/>
              </w:rPr>
            </w:pPr>
          </w:p>
        </w:tc>
        <w:tc>
          <w:tcPr>
            <w:tcW w:w="15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rPr>
              <w:t>CA</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Digital Media</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C-2 6%</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8/31/2016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683,482</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2,414,178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6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Common Warrants, Strike Price $0.01, Expiration Date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4/9/2028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4/9/2018</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295,565</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30,647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6%</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10/3/2014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922,509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A 6%</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12/11/2013</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1,090,909</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3,000,200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4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Seed 6%</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11/2/2012</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8"/>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10,945,024</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1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Maven Research, Inc.</w:t>
            </w:r>
          </w:p>
        </w:tc>
        <w:tc>
          <w:tcPr>
            <w:tcW w:w="15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Knowledge</w:t>
            </w:r>
          </w:p>
        </w:tc>
        <w:tc>
          <w:tcPr>
            <w:tcW w:w="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shares, Series C 8%</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Networks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7/2/2012</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318,979</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2,000,447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Series B 5%</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2/28/2012</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49,505</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217,206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8"/>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2,217,653</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Curious.com, Inc.</w:t>
            </w:r>
          </w:p>
        </w:tc>
        <w:tc>
          <w:tcPr>
            <w:tcW w:w="2760" w:type="dxa"/>
            <w:vAlign w:val="bottom"/>
            <w:tcBorders>
              <w:bottom w:val="single" w:sz="8" w:color="CCEEFF"/>
            </w:tcBorders>
            <w:gridSpan w:val="5"/>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Menlo Park, CA</w:t>
            </w: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Online Education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11/22/2013</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1,135,944</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Non-controlled/Affiliate</w:t>
            </w: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41,211,183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14,609,089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0" w:type="dxa"/>
            <w:vAlign w:val="bottom"/>
            <w:gridSpan w:val="5"/>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29"/>
                <w:szCs w:val="29"/>
                <w:b w:val="1"/>
                <w:bCs w:val="1"/>
                <w:color w:val="auto"/>
                <w:vertAlign w:val="superscript"/>
              </w:rPr>
              <w:t>(2)</w:t>
            </w:r>
          </w:p>
        </w:tc>
        <w:tc>
          <w:tcPr>
            <w:tcW w:w="1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Architect Capital PayJoy SPV, LLC**</w:t>
            </w:r>
          </w:p>
        </w:tc>
        <w:tc>
          <w:tcPr>
            <w:tcW w:w="184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8"/>
              </w:rPr>
              <w:t>San Francisco, CA</w:t>
            </w:r>
          </w:p>
        </w:tc>
        <w:tc>
          <w:tcPr>
            <w:tcW w:w="9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Membership Interest in Lending SPV***</w:t>
            </w:r>
            <w:r>
              <w:rPr>
                <w:rFonts w:ascii="Times New Roman" w:cs="Times New Roman" w:eastAsia="Times New Roman" w:hAnsi="Times New Roman"/>
                <w:sz w:val="29"/>
                <w:szCs w:val="29"/>
                <w:color w:val="auto"/>
                <w:vertAlign w:val="superscript"/>
              </w:rPr>
              <w:t>(15)</w:t>
            </w:r>
          </w:p>
        </w:tc>
        <w:tc>
          <w:tcPr>
            <w:tcW w:w="1840" w:type="dxa"/>
            <w:vAlign w:val="bottom"/>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Mobile Finance</w:t>
            </w: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gridSpan w:val="5"/>
            <w:vMerge w:val="continue"/>
          </w:tcPr>
          <w:p>
            <w:pPr>
              <w:spacing w:after="0"/>
              <w:rPr>
                <w:sz w:val="20"/>
                <w:szCs w:val="20"/>
                <w:color w:val="auto"/>
              </w:rPr>
            </w:pPr>
          </w:p>
        </w:tc>
        <w:tc>
          <w:tcPr>
            <w:tcW w:w="18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3/24/2021</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10,006,745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48"/>
        </w:trPr>
        <w:tc>
          <w:tcPr>
            <w:tcW w:w="210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Colombier Sponsor LLC**</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(17)</w:t>
            </w:r>
          </w:p>
        </w:tc>
        <w:tc>
          <w:tcPr>
            <w:tcW w:w="1460" w:type="dxa"/>
            <w:vAlign w:val="bottom"/>
            <w:tcBorders>
              <w:bottom w:val="single" w:sz="8" w:color="CCEEFF"/>
            </w:tcBorders>
            <w:gridSpan w:val="2"/>
            <w:vMerge w:val="restart"/>
            <w:shd w:val="clear" w:color="auto" w:fill="CCEEFF"/>
          </w:tcPr>
          <w:p>
            <w:pPr>
              <w:spacing w:after="0"/>
              <w:rPr>
                <w:sz w:val="12"/>
                <w:szCs w:val="12"/>
                <w:color w:val="auto"/>
              </w:rPr>
            </w:pPr>
          </w:p>
        </w:tc>
        <w:tc>
          <w:tcPr>
            <w:tcW w:w="1840" w:type="dxa"/>
            <w:vAlign w:val="bottom"/>
            <w:tcBorders>
              <w:bottom w:val="single" w:sz="8" w:color="CCEEFF"/>
            </w:tcBorders>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New York, NY</w:t>
            </w:r>
          </w:p>
        </w:tc>
        <w:tc>
          <w:tcPr>
            <w:tcW w:w="9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100" w:type="dxa"/>
            <w:vAlign w:val="bottom"/>
            <w:tcBorders>
              <w:bottom w:val="single" w:sz="8" w:color="auto"/>
            </w:tcBorders>
            <w:gridSpan w:val="2"/>
            <w:vMerge w:val="continue"/>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460" w:type="dxa"/>
            <w:vAlign w:val="bottom"/>
            <w:tcBorders>
              <w:bottom w:val="single" w:sz="8" w:color="CCEEFF"/>
            </w:tcBorders>
            <w:gridSpan w:val="2"/>
            <w:vMerge w:val="continue"/>
            <w:shd w:val="clear" w:color="auto" w:fill="CCEEFF"/>
          </w:tcPr>
          <w:p>
            <w:pPr>
              <w:spacing w:after="0"/>
              <w:rPr>
                <w:sz w:val="5"/>
                <w:szCs w:val="5"/>
                <w:color w:val="auto"/>
              </w:rPr>
            </w:pPr>
          </w:p>
        </w:tc>
        <w:tc>
          <w:tcPr>
            <w:tcW w:w="1840" w:type="dxa"/>
            <w:vAlign w:val="bottom"/>
            <w:tcBorders>
              <w:bottom w:val="single" w:sz="8" w:color="CCEEFF"/>
            </w:tcBorders>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6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8"/>
              </w:rPr>
              <w:t>Special Purpose</w:t>
            </w:r>
          </w:p>
        </w:tc>
        <w:tc>
          <w:tcPr>
            <w:tcW w:w="9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Acquisition</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B Units</w:t>
            </w:r>
          </w:p>
        </w:tc>
        <w:tc>
          <w:tcPr>
            <w:tcW w:w="18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Company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1,976,033</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1,556,587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1,554,354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50"/>
        </w:trPr>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W Units</w:t>
            </w:r>
          </w:p>
        </w:tc>
        <w:tc>
          <w:tcPr>
            <w:tcW w:w="184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2,700,000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1,159,150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1,157,487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gridSpan w:val="5"/>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2,715,737</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2,711,841</w:t>
            </w:r>
          </w:p>
        </w:tc>
        <w:tc>
          <w:tcPr>
            <w:tcW w:w="22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2"/>
        </w:trPr>
        <w:tc>
          <w:tcPr>
            <w:tcW w:w="3800" w:type="dxa"/>
            <w:vAlign w:val="bottom"/>
            <w:tcBorders>
              <w:bottom w:val="single" w:sz="8" w:color="auto"/>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9"/>
              </w:rPr>
              <w:t>SPBRX, INC. (f/k/a GSV Sustainability Partners,</w:t>
            </w:r>
          </w:p>
        </w:tc>
        <w:tc>
          <w:tcPr>
            <w:tcW w:w="18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w:t>
            </w:r>
          </w:p>
        </w:tc>
        <w:tc>
          <w:tcPr>
            <w:tcW w:w="1840" w:type="dxa"/>
            <w:vAlign w:val="bottom"/>
            <w:shd w:val="clear" w:color="auto" w:fill="CCEEFF"/>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9"/>
              </w:rPr>
              <w:t>Cupertino, CA</w:t>
            </w: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00" w:type="dxa"/>
            <w:vAlign w:val="bottom"/>
            <w:gridSpan w:val="5"/>
          </w:tcPr>
          <w:p>
            <w:pPr>
              <w:spacing w:after="0" w:line="256" w:lineRule="exact"/>
              <w:rPr>
                <w:sz w:val="20"/>
                <w:szCs w:val="20"/>
                <w:color w:val="auto"/>
              </w:rPr>
            </w:pPr>
            <w:r>
              <w:rPr>
                <w:rFonts w:ascii="Times New Roman" w:cs="Times New Roman" w:eastAsia="Times New Roman" w:hAnsi="Times New Roman"/>
                <w:sz w:val="18"/>
                <w:szCs w:val="18"/>
                <w:color w:val="auto"/>
              </w:rPr>
              <w:t>Preferred shares, Class A</w:t>
            </w:r>
            <w:r>
              <w:rPr>
                <w:rFonts w:ascii="Times New Roman" w:cs="Times New Roman" w:eastAsia="Times New Roman" w:hAnsi="Times New Roman"/>
                <w:sz w:val="29"/>
                <w:szCs w:val="29"/>
                <w:color w:val="auto"/>
                <w:vertAlign w:val="superscript"/>
              </w:rPr>
              <w:t>(9)</w:t>
            </w:r>
          </w:p>
        </w:tc>
        <w:tc>
          <w:tcPr>
            <w:tcW w:w="18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Clean 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4/15/2014</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14,300,000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7,151,412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1,047,033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49"/>
        </w:trPr>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84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4/15/2014</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gridSpan w:val="5"/>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7,161,412</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1,047,033</w:t>
            </w:r>
          </w:p>
        </w:tc>
        <w:tc>
          <w:tcPr>
            <w:tcW w:w="22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Controlled</w:t>
            </w: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19,883,894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13,758,874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0" w:type="dxa"/>
            <w:vAlign w:val="bottom"/>
          </w:tcPr>
          <w:p>
            <w:pPr>
              <w:spacing w:after="0"/>
              <w:rPr>
                <w:sz w:val="1"/>
                <w:szCs w:val="1"/>
                <w:color w:val="auto"/>
              </w:rPr>
            </w:pPr>
          </w:p>
        </w:tc>
      </w:tr>
      <w:tr>
        <w:trPr>
          <w:trHeight w:val="252"/>
        </w:trPr>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800" w:type="dxa"/>
            <w:vAlign w:val="bottom"/>
            <w:gridSpan w:val="5"/>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207,455,377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260,136,253</w:t>
            </w:r>
          </w:p>
        </w:tc>
        <w:tc>
          <w:tcPr>
            <w:tcW w:w="220" w:type="dxa"/>
            <w:vAlign w:val="bottom"/>
          </w:tcPr>
          <w:p>
            <w:pPr>
              <w:spacing w:after="0"/>
              <w:rPr>
                <w:sz w:val="17"/>
                <w:szCs w:val="17"/>
                <w:color w:val="auto"/>
              </w:rPr>
            </w:pPr>
          </w:p>
        </w:tc>
        <w:tc>
          <w:tcPr>
            <w:tcW w:w="9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71.32%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left="66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w:t>
      </w:r>
    </w:p>
    <w:p>
      <w:pPr>
        <w:sectPr>
          <w:pgSz w:w="11900" w:h="16838" w:orient="portrait"/>
          <w:cols w:equalWidth="0" w:num="1">
            <w:col w:w="11240"/>
          </w:cols>
          <w:pgMar w:left="320" w:top="229" w:right="339" w:bottom="0" w:gutter="0" w:footer="0" w:header="0"/>
        </w:sectPr>
      </w:pPr>
    </w:p>
    <w:bookmarkStart w:id="94" w:name="page95"/>
    <w:bookmarkEnd w:id="94"/>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52" w:hanging="652"/>
        <w:spacing w:after="0" w:line="257"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Investment Company Act of 1940, as amended (the “1940 Act”). Of the Company’s total investments as of December 31, 2021, 26.91% of its total investments are non-qualifying assets.</w:t>
      </w:r>
    </w:p>
    <w:p>
      <w:pPr>
        <w:spacing w:after="0" w:line="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jc w:val="both"/>
        <w:ind w:left="660" w:hanging="652"/>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 For the Schedule of Investments In, and Advances To, Affiliates, as required by SEC Regulation S-X, Rule 12-14, refer to “Note 4—Investments at Fair Value”.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considered Level 1 or Level 2 and valued using observable inputs. Refer to “Note 4—Investments at Fair Value”.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preferred shares in Residential Homes for Rent, LLC (d/b/a Second Avenue) are held through SuRo Capital Corp.’s wholly owned subsidiary, GSVC AV Holdings, Inc.</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Commercial Streaming Solutions Inc. (d/b/a BettorView), YouBet Technology, Inc. (d/b/a PickUp), and Rebric, Inc. (d/b/a Compliable) are held through SuRo Capital Corp.’s wholly owned subsidiary, SuRo Capital Sports, LLC (“SuRo Sports”).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True Global Ventures 4 Plus Pte Ltd are held through SuRo Capital Corp.’s wholly owned subsidiary, GSVC SVDS Holdings, Inc. As of December 31, 2021, $0.7 million of a $2.0 million capital commitment to True Global Ventures 4 Plus Fund LP had been called and funded.</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512,290 Class A common shares remain in Palantir Lending Trust SPV I, none of which are subject to lock-up restrictions.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2021, Treehouse Real Estate Investment Trust, Inc. completed its spin off of 34.4% of its assets into Aventine Property Group, Inc. During the year ended December 31, 2021, Aventine Property Group, Inc. declared an aggregate of $0.1 million in dividend distributions. During the year ended December 31, 2021, Treehouse Real Estate Investment Trust, Inc. declared an aggregate of $0.2 million in dividend distributions.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A Place for Rover, Inc. executed a business combination, through Nebula Caravel Acquisition Corp., a special purpose acquisition company. Following the merger, A Place for Rover, Inc. changed its name to Rover Group, Inc. and SuRo Capital Corp. received 130,390 additional common shares as a result of the exchange ratio prescribed in the transaction. As of December 31, 2021, SuRo Capital Corp.’s common shares in Rover Group, Inc. were subject to certain lock-up restrictions.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approximately $1.4 million has been received from Residential Homes for Rent, LLC (d/b/a Second Avenue) related to the 15% term loan due December 23, 2023. Of the proceeds received, approximately $1.0 million repaid a portion of the outstanding principal and approximately $0.4 million was attributed to interest.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total $10.0 million capital commitment representing SuRo Capital Corp.’s Membership Interest in Architect Capital PayJoy SPV, LLC had been called and funded.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NewLake Capital Partners, Inc. (f/k/a GreenAcreage Real Estate Corp.) declared an aggregate of approximately $0.3 million in dividend distributions. SuRo Capital Corp. does not anticipate that NewLake Capital Partners, Inc. (f/k/a GreenAcreage Real Estate Corp.) will pay distributions on a recurring or regular basis or become a predictable distributor of distributions. On August 20, 2021, NewLake Capital Partners, Inc. (f/k/a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As of December 31, 2021, none of SuRo Capital Corp.’s common shares in Skillsoft Corp. were subject to lock-up restrictions.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 2021, Clever, Inc. completed its sale to Kahoot! ASA. In connection with this transaction, SuRo Capital Corp. received 86,800 common shares in Kahoot! ASA in addition to cash proceeds and amounts currently held in escrow. SuRo Capital Corp. is also eligible to receive cash and Kahoot! ASA common shares subject to certain earn-out provisions and contingencies. As of December 31, 2021, SuRo Capital Corp.’s common shares in Kahoot! ASA were subject to certain lock-up restrictions.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Fullbridge, Inc.’s obligations under its financing arrangements with the Company became past due.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3"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Company’s date of inception was January 6, 2011, which is the date we commenced development stage activities. The Company’s common stock is currently listed on the Nasdaq Global Select Market under the symbol “SSSS” (formerly “GSVC”). Prior to November 24, 2021, our common stock traded on the Nasdaq Capital Market under the same symbol (“SSSS”). The Company began its investment operations during the second quarter of 2011.</w:t>
      </w:r>
    </w:p>
    <w:p>
      <w:pPr>
        <w:spacing w:after="0" w:line="17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table below displays the Company’s subsidiaries as of December 31, 2022,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8"/>
          <w:szCs w:val="18"/>
          <w:i w:val="1"/>
          <w:iCs w:val="1"/>
          <w:color w:val="auto"/>
        </w:rPr>
        <w:t>Basis of Consolidation</w:t>
      </w:r>
      <w:r>
        <w:rPr>
          <w:rFonts w:ascii="Times New Roman" w:cs="Times New Roman" w:eastAsia="Times New Roman" w:hAnsi="Times New Roman"/>
          <w:sz w:val="18"/>
          <w:szCs w:val="18"/>
          <w:color w:val="auto"/>
        </w:rPr>
        <w:t>” below for further detail.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5"/>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Borders>
              <w:bottom w:val="single" w:sz="8" w:color="CCEEFF"/>
            </w:tcBorders>
          </w:tcPr>
          <w:p>
            <w:pPr>
              <w:spacing w:after="0"/>
              <w:rPr>
                <w:sz w:val="21"/>
                <w:szCs w:val="2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GCL</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13, 2012</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SuRo Capital Sports, LLC (“SuRo Sports”)</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19, 2021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 below are referred to collectively, as the “Taxable Subsidiaries”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November 28,</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AE Holdings, Inc. (“GAE”)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2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6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November 28,</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AV Holdings, Inc. (“GAV”)</w:t>
            </w:r>
          </w:p>
        </w:tc>
        <w:tc>
          <w:tcPr>
            <w:tcW w:w="1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November 28,</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GSVC SW Holdings, Inc. (“GSW”)</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2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GSVC SVDS Holdings, Inc. (“SVDS”)</w:t>
            </w:r>
          </w:p>
        </w:tc>
        <w:tc>
          <w:tcPr>
            <w:tcW w:w="15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Delaware</w:t>
            </w:r>
          </w:p>
        </w:tc>
        <w:tc>
          <w:tcPr>
            <w:tcW w:w="1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August 13, 2013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invest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8"/>
          <w:szCs w:val="18"/>
          <w:i w:val="1"/>
          <w:iCs w:val="1"/>
          <w:color w:val="auto"/>
        </w:rPr>
        <w:t>Financial Services—Investment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In the opinion of management, all adjustments, all of which were of a normal recurring nature, were considered necessary for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consolidated financial statements for the period have been included.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Taxable Subsidiaries, GCL, and SuRo Sports, its wholly-owned subsidiaries. All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and Risk Factors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in the nature of its operations, as well as vulnerability due to certain concentrations. Refer to “Risk Factors” in Part I, Item 1A of this Form 10-K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79" w:lineRule="exact"/>
        <w:rPr>
          <w:sz w:val="20"/>
          <w:szCs w:val="20"/>
          <w:color w:val="auto"/>
        </w:rPr>
      </w:pPr>
    </w:p>
    <w:p>
      <w:pPr>
        <w:jc w:val="both"/>
        <w:ind w:right="20" w:firstLine="364"/>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unadjusted quoted prices for identical assets or liabilities in an active market that the Company has the ability to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measurement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jc w:val="both"/>
        <w:ind w:firstLine="364"/>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171" w:lineRule="exact"/>
        <w:rPr>
          <w:sz w:val="20"/>
          <w:szCs w:val="20"/>
          <w:color w:val="auto"/>
        </w:rPr>
      </w:pPr>
    </w:p>
    <w:p>
      <w:pPr>
        <w:jc w:val="both"/>
        <w:ind w:firstLine="364"/>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that reflect management’s best estimate of what market participants would use in pricing the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5"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3"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0"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8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76" w:lineRule="exact"/>
        <w:rPr>
          <w:sz w:val="20"/>
          <w:szCs w:val="20"/>
          <w:color w:val="auto"/>
        </w:rPr>
      </w:pPr>
    </w:p>
    <w:p>
      <w:pPr>
        <w:ind w:left="660" w:right="2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internal investment professionals responsible for the portfolio investment;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senior management;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then discusses the valuations recommended by the Valuation Committee and determines in good faith the fair value of each investment in the portfolio.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83"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Board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in determining the fair value of each investment.</w:t>
      </w:r>
    </w:p>
    <w:p>
      <w:pPr>
        <w:spacing w:after="0" w:line="18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0"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87"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may also consider other events, including the transaction in which the Company acquired its securities, subsequent equity sales by the portfolio company, and mergers or acquisitions affecting the portfolio company. In addition, the Board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In determining the fair value of equity or equity-linked securities (including warrants to purchase common or preferred stock) in a portfolio company, the Board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in good faith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Purpose Acquisition Companies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Board of Directors measures its Special Purpose Acquisition Company (“SPAC”)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utilizes the public share price of the entity, less a DLOM if there are restrictions on selling. The Company’s SPAC investments are valued at estimated fair value as determined in good faith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2022 and December 31, 2021, for details regarding the nature and composition of the Company’s investment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Levelling Policy</w:t>
      </w:r>
    </w:p>
    <w:p>
      <w:pPr>
        <w:spacing w:after="0" w:line="22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ectPr>
          <w:pgSz w:w="11900" w:h="16838" w:orient="portrait"/>
          <w:cols w:equalWidth="0" w:num="1">
            <w:col w:w="11240"/>
          </w:cols>
          <w:pgMar w:left="320" w:top="229"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2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Financial Instruments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 places its cash primarily with U.S. Bank Trust Company, National Association, and may place cash with other high-quality financial institutions. The cash held in these accounts may exceed the Federal Deposit Insurance Corporation insured limit. The Company believes the risk of loss associated with any uninsured balance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Proceeds Receivable</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Consolidated Statements of Operations for the period in which they occurred and are adjusted as needed. Any remaining escrow proceeds balances from these transactions reasonably expected to be received are reflected on the Consolidated Statement of Assets and Liabilities as escrow proceeds receivable. Escrow proceeds receivable resulting from contingent consideration are to be recognized when the amount of the contingent consideration becomes realized or realizable. As of December 31, 2022 and December 31, 2021, the Company had $628,332 and $2,046,645, respectively, in escrow proceeds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December 31, 2022 and December 31, 2021, the Company had deferred financing costs of $555,761 and $2,592,611, respectively, on the Consolidated Statement of Assets and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3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555,761</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621,719</w:t>
            </w:r>
          </w:p>
        </w:tc>
        <w:tc>
          <w:tcPr>
            <w:tcW w:w="0" w:type="dxa"/>
            <w:vAlign w:val="bottom"/>
          </w:tcPr>
          <w:p>
            <w:pPr>
              <w:spacing w:after="0"/>
              <w:rPr>
                <w:sz w:val="1"/>
                <w:szCs w:val="1"/>
                <w:color w:val="auto"/>
              </w:rPr>
            </w:pP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1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operating leases as prescribed by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8"/>
          <w:szCs w:val="18"/>
          <w:i w:val="1"/>
          <w:iCs w:val="1"/>
          <w:color w:val="auto"/>
        </w:rPr>
        <w:t>Operating Leases and Related Deposits</w:t>
      </w:r>
      <w:r>
        <w:rPr>
          <w:rFonts w:ascii="Times New Roman" w:cs="Times New Roman" w:eastAsia="Times New Roman" w:hAnsi="Times New Roman"/>
          <w:sz w:val="18"/>
          <w:szCs w:val="18"/>
          <w:color w:val="auto"/>
        </w:rPr>
        <w:t>”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Using the fair value recognition provisions as prescribed by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 Stock-Based Compensation”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 Costs and Escrow Deposits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2022 and December 31, 2021, the Company had no escrow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of Investments</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State Income Taxes</w:t>
      </w:r>
    </w:p>
    <w:p>
      <w:pPr>
        <w:spacing w:after="0" w:line="22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our investment company taxable income (“ICTI”), including payment-in-kind interest income, as defined by the Code, and 90% of our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the Company meets the Annual Distribution Requirement, but does not distribute (or is not deemed to have distributed) each calendar year a sum of</w:t>
      </w:r>
    </w:p>
    <w:p>
      <w:pPr>
        <w:spacing w:after="0" w:line="27" w:lineRule="exact"/>
        <w:rPr>
          <w:sz w:val="20"/>
          <w:szCs w:val="20"/>
          <w:color w:val="auto"/>
        </w:rPr>
      </w:pPr>
    </w:p>
    <w:p>
      <w:pPr>
        <w:jc w:val="both"/>
        <w:ind w:firstLine="8"/>
        <w:spacing w:after="0" w:line="252" w:lineRule="auto"/>
        <w:tabs>
          <w:tab w:leader="none" w:pos="27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88"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87" w:lineRule="exact"/>
        <w:rPr>
          <w:sz w:val="20"/>
          <w:szCs w:val="20"/>
          <w:color w:val="auto"/>
        </w:rPr>
      </w:pPr>
    </w:p>
    <w:p>
      <w:pPr>
        <w:jc w:val="both"/>
        <w:ind w:firstLine="364"/>
        <w:spacing w:after="0" w:line="252" w:lineRule="auto"/>
        <w:rPr>
          <w:sz w:val="20"/>
          <w:szCs w:val="20"/>
          <w:color w:val="auto"/>
        </w:rPr>
      </w:pPr>
      <w:r>
        <w:rPr>
          <w:rFonts w:ascii="Times New Roman" w:cs="Times New Roman" w:eastAsia="Times New Roman" w:hAnsi="Times New Roman"/>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Information</w:t>
      </w:r>
    </w:p>
    <w:p>
      <w:pPr>
        <w:spacing w:after="0" w:line="22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(“ASC 260”) to determine the number of potentially dilutive shares outstanding. Refer to “Note 6—Net Increase in Net Assets Resulting from Operations per Common Share—Basic and Diluted”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Standards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does not anticipate the new standard will have a material impact to the consolidated financial statements and related disclosures.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Measurements (Topic 820): Fair Value Measurement of Equity Securities Subject to Contractual Sale Restrictions.” This change prohibits entities from taking into account contractual restrictions on the sale of equity securities when estimating fair value and introduces required disclosures for such transactions. The standard is effective for annual periods beginning after December 15, 2023, and should be applied prospectively. Early adoption is permitted. The adoption of ASU 2022-03 is not expected to have a material impact on the Company’s future financial statements.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2020, as part of the Securities Offering Reform for Closed-End Investment Companies final rule, the Securities and Exchange Commission (“SEC”) adopted certain structured data reporting requirements for BDCs to submit financial statement information using Inline eXtensible Business Reporting Language (XBRL) format to the extent required of operating companies. BDCs that are eligible to file a short-form registration statement will be subject to the above structuring requirements with respect to Forms filed on or after August 1, 2022. The Company adopted the XBRL format beginning August 1, 2022.</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2020, the FASB issued ASU 2020-10, Codification Improvements, which made various technical changes and corrections intended to provide clarifications to existing guidance, as well as simplifications to wording or structure of existing guidance. The Company adopted the modified disclosure requirements during the period ended March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SEC adopted Rule 2a-5, which established requirements for satisfying a fund board’s obligation to determine fair value in good faith for purposes of the 1940 Act. The rule permits boards to assign the determination of fair value to a “valuation designee,” who may be the fund’s investment adviser or, if the fund is internally managed, an officer of the fund. The rule also defines a market quotation as “readily available” only when that quotation is a quoted price (unadjusted) in active markets for identical investments that the fund can access at the measurement date. In connection with the adoption of new Rule 2a-5, the SEC also adopted new Rule 31a-4, which requires funds to maintain documentation to support fair value determinations and documentation related to the designation of the valuation designee. The Company adopted amended valuation policies and procedures to comply with new Rule 2a-5 and Rule 31a-4 in advance of the compliance date of September 8, 2022. The Company did not designate a valuation designee, and the Board retains the sole responsibility to determine fair value in good faith under the 1940 Act.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2021, the SEC published Staff Accounting Bulletin No. 120 (“SAB 120”) to provide accounting and disclosure guidance for stock compensation awards made to executives and conforming amendments to the Staff Accounting Bulletin Series to align with the current authoritative accounting guidance in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In part, SAB 120 requires that an entity disclose how it determines the current price of underlying shares for grant-date fair value, the policy for when an adjustment to the share price is required, how it determines the amount of an adjustment to the share price and any significant assumptions used in determining an adjustment to the share price. SAB 120 is effective for all stock compensation awards issued after December 1, 2021. The Company is in compliance with the guidance pursuant to SAB 120 for any share-based compensation disclosures. See “Note 11 – Stock-Based Compensation” for further discussion of the Company’s policies and procedures regarding share-based compensation. The Company does not expect the impact of SAB 120 to be material to the consolidated financial statements and the notes thereto.</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our former investment adviser, for the purpose of assisting us with certain transition services following the termination of the Company’s Investment Advisory Agreement and our internalization.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 of the Consulting Agreement commenced on March 12, 2019 and continued for eighteen months in accordance with its terms. Pursuant to the Consulting Agreement, we paid Mr. Moe a total amount equal to $1,250,000. On September 12, 2020, the Consulting Agreement expired in accordance with its terms and was not renewed or extended.</w:t>
      </w:r>
    </w:p>
    <w:p>
      <w:pPr>
        <w:spacing w:after="0" w:line="17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incurred $0, $0 and $582,438, respectively, of consulting expense, as included in “professional fees” on the Consolidated Statements of Operations, related to the Consulting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Trademark License 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we entered into an Amended and Restated Trademark License Agreement (the “Amended and Restated License Agreement”) with GSV Asset Management in connection with the termination of the Investment Advisory Agreement and the Company’s internalization.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76"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incurred $0, $0, and $582,438, respectively, of licensing expense, as included in “other expenses” on the Consolidated Statements of Operations, related to the Amended and Restated License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Arrangements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7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investment in Churchill Sponsor VI LLC, the sponsor of Churchill Capital Corp. VI, a special purpose acquisition company, constituted a “remote-affiliate” transaction for purposes of the 1940 Act in light of the fact that Mark D. Klein, the Company’s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December 31, 2022, the fair values of the Company’s investments in Churchill Sponsor VI LLC and Churchill Sponsor VII LLC were $200,000 and $300,000, respectively.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special purpose acquisition company, and is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As of December 31, 2022, the fair value of the Company’s investment in Skillsoft Corp. was $1,276,396.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initial investment in Shogun Enterprises, Inc.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As of December 31, 2022, the fair values of the Company’s remote-affiliate investments in Shogun Enterprises, Inc. (d/b/a Hearth) and Architect Capital PayJoy SPV, LLC were $3,306,047 and $10,000,000, respectively.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Ms. Findley and Claire Councill, a former investment professional of the Company until her departure on April 15, 2022, are non-controlling members of the board of directors of Colombier Acquisition Corp., a special purpose acquisition company, which is sponsored by Colombier Sponsor LLC, one of the Company’s portfolio companies. The Company’s investment in AltC Sponsor LLC, the sponsor of AltC Acquisition Corp, a special purpose acquisition company,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is a non-controlling member of the board of directors of AltC Acquisition Corp. As of December 31, 2022, the fair values of the Company’s aggregate investments in each of Colombier Sponsor LLC and AltC Sponsor LLC were $2,711,842 and $250,000,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Composition</w:t>
      </w:r>
    </w:p>
    <w:p>
      <w:pPr>
        <w:spacing w:after="0" w:line="22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December 31, 2022, the Company had 64 positions in 39 portfolio companies. As of December 31, 2021, the Company had 64 positions in 38 portfolio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ind w:firstLine="364"/>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investment portfolio by security type at cost and fair value as of December 31, 2022 and December 31, 2021:</w:t>
      </w:r>
    </w:p>
    <w:tbl>
      <w:tblPr>
        <w:tblLayout w:type="fixed"/>
        <w:tblInd w:w="0" w:type="dxa"/>
        <w:tblCellMar>
          <w:top w:w="0" w:type="dxa"/>
          <w:left w:w="0" w:type="dxa"/>
          <w:bottom w:w="0" w:type="dxa"/>
          <w:right w:w="0" w:type="dxa"/>
        </w:tblCellMar>
      </w:tblPr>
      <w:tr>
        <w:trPr>
          <w:trHeight w:val="237"/>
        </w:trPr>
        <w:tc>
          <w:tcPr>
            <w:tcW w:w="3820" w:type="dxa"/>
            <w:vAlign w:val="bottom"/>
          </w:tcPr>
          <w:p>
            <w:pPr>
              <w:spacing w:after="0"/>
              <w:rPr>
                <w:sz w:val="20"/>
                <w:szCs w:val="20"/>
                <w:color w:val="auto"/>
              </w:rPr>
            </w:pPr>
          </w:p>
        </w:tc>
        <w:tc>
          <w:tcPr>
            <w:tcW w:w="25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4"/>
        </w:trPr>
        <w:tc>
          <w:tcPr>
            <w:tcW w:w="3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gridSpan w:val="2"/>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382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Net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6"/>
        </w:trPr>
        <w:tc>
          <w:tcPr>
            <w:tcW w:w="3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$ 118,472,118</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$ 117,214,465</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99,964,047</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$ 163,801,798</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50,601,512</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18,692,931</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51,581,524</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42,860,156</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6,316,466</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4,488,200</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5,807,373</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3,011,438</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5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11,415,787</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3,469,497</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10,982,983</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4,959,112</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38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Private Portfolio Companies</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186,805,883</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143,865,093</w:t>
            </w:r>
          </w:p>
        </w:tc>
        <w:tc>
          <w:tcPr>
            <w:tcW w:w="30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w:t>
            </w:r>
          </w:p>
        </w:tc>
        <w:tc>
          <w:tcPr>
            <w:tcW w:w="24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168,335,927</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214,632,504</w:t>
            </w:r>
          </w:p>
        </w:tc>
        <w:tc>
          <w:tcPr>
            <w:tcW w:w="2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w:t>
            </w:r>
          </w:p>
        </w:tc>
        <w:tc>
          <w:tcPr>
            <w:tcW w:w="1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29,322,625</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13,323,485</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39,119,450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44,573,225</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4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930,524</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0"/>
        </w:trPr>
        <w:tc>
          <w:tcPr>
            <w:tcW w:w="38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Publicly Traded Portfolio Companies</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29,322,625</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13,323,485</w:t>
            </w:r>
          </w:p>
        </w:tc>
        <w:tc>
          <w:tcPr>
            <w:tcW w:w="30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39,119,450</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45,503,749</w:t>
            </w:r>
          </w:p>
        </w:tc>
        <w:tc>
          <w:tcPr>
            <w:tcW w:w="2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216,128,508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157,188,578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207,455,377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260,136,253</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84,999,598</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85,056,817</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301,128,106</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242,245,395</w:t>
            </w: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207,455,377</w:t>
            </w: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260,136,253</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The geographic and industrial compositions of the Company’s portfolio at fair value as of December 31, 2022 and December 31, 2021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gridSpan w:val="6"/>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00" w:type="dxa"/>
            <w:vAlign w:val="bottom"/>
          </w:tcPr>
          <w:p>
            <w:pPr>
              <w:spacing w:after="0"/>
              <w:rPr>
                <w:sz w:val="21"/>
                <w:szCs w:val="21"/>
                <w:color w:val="auto"/>
              </w:rPr>
            </w:pPr>
          </w:p>
        </w:tc>
        <w:tc>
          <w:tcPr>
            <w:tcW w:w="352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194"/>
        </w:trPr>
        <w:tc>
          <w:tcPr>
            <w:tcW w:w="4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94,996,805</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60.4%</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$ 188,304,542</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Northeast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46,944,432</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47,666,629</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Midwest</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8,183,281</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12,722,423</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7,064,060</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11,442,659</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157,188,578</w:t>
            </w: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6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260,136,253</w:t>
            </w: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3"/>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6"/>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00" w:type="dxa"/>
            <w:vAlign w:val="bottom"/>
          </w:tcPr>
          <w:p>
            <w:pPr>
              <w:spacing w:after="0"/>
              <w:rPr>
                <w:sz w:val="24"/>
                <w:szCs w:val="24"/>
                <w:color w:val="auto"/>
              </w:rPr>
            </w:pPr>
          </w:p>
        </w:tc>
        <w:tc>
          <w:tcPr>
            <w:tcW w:w="352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194"/>
        </w:trPr>
        <w:tc>
          <w:tcPr>
            <w:tcW w:w="4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45"/>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Education Technology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61,841,493</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39.4%</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$ 109,048,688</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Technology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38,096,753</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24.2%</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71,954,012</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Marketplaces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27,291,467</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17.4%</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49,346,174</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Big Data/Cloud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14,927,819</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12,300,823</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Social/Mobile</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14,047,018</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16,439,523</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984,028</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1,047,033</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7"/>
        </w:trPr>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157,188,578</w:t>
            </w: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6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260,136,253</w:t>
            </w: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composition of the Company’s industrial themes presented in the preceding tables:</w:t>
      </w:r>
    </w:p>
    <w:p>
      <w:pPr>
        <w:sectPr>
          <w:pgSz w:w="11900" w:h="16838" w:orient="portrait"/>
          <w:cols w:equalWidth="0" w:num="1">
            <w:col w:w="10139"/>
          </w:cols>
          <w:pgMar w:left="320" w:top="229" w:right="1440"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1431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21431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21431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986155</wp:posOffset>
            </wp:positionV>
            <wp:extent cx="21431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986155</wp:posOffset>
            </wp:positionV>
            <wp:extent cx="21431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21431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Sustainability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8431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Education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Learning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8431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Analysis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Geolocation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8431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Innovation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Networks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Micromobility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On-Demand Commerce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Peer-to-Peer Pet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8431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Improvement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Finance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Marketplace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Purpose Acquisition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8431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Interactive Media &amp;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Access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Data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Fitness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8431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Clean Technology</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900" w:space="720"/>
            <w:col w:w="6519"/>
          </w:cols>
          <w:pgMar w:left="320" w:top="229" w:right="1440"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Inputs</w:t>
      </w:r>
    </w:p>
    <w:p>
      <w:pPr>
        <w:spacing w:after="0" w:line="229" w:lineRule="exact"/>
        <w:rPr>
          <w:sz w:val="20"/>
          <w:szCs w:val="20"/>
          <w:color w:val="auto"/>
        </w:rPr>
      </w:pPr>
    </w:p>
    <w:p>
      <w:pPr>
        <w:ind w:firstLine="364"/>
        <w:spacing w:after="0" w:line="261"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December 31, 2022 and December 31, 2021 are as follows:</w:t>
      </w: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200" w:type="dxa"/>
            <w:vAlign w:val="bottom"/>
          </w:tcPr>
          <w:p>
            <w:pPr>
              <w:spacing w:after="0"/>
              <w:rPr>
                <w:sz w:val="16"/>
                <w:szCs w:val="16"/>
                <w:color w:val="auto"/>
              </w:rPr>
            </w:pPr>
          </w:p>
        </w:tc>
        <w:tc>
          <w:tcPr>
            <w:tcW w:w="142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117,214,465</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117,214,465</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18,692,931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18,692,931</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4,488,200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4,488,200</w:t>
            </w:r>
          </w:p>
        </w:tc>
      </w:tr>
      <w:tr>
        <w:trPr>
          <w:trHeight w:val="23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3,469,497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3,469,497</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143,865,093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143,865,093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13,298,992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13,323,485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85,056,817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85,056,817</w:t>
            </w:r>
          </w:p>
        </w:tc>
      </w:tr>
      <w:tr>
        <w:trPr>
          <w:trHeight w:val="216"/>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98,355,809</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143,865,093</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242,245,395</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200" w:type="dxa"/>
            <w:vAlign w:val="bottom"/>
          </w:tcPr>
          <w:p>
            <w:pPr>
              <w:spacing w:after="0"/>
              <w:rPr>
                <w:sz w:val="16"/>
                <w:szCs w:val="16"/>
                <w:color w:val="auto"/>
              </w:rPr>
            </w:pPr>
          </w:p>
        </w:tc>
        <w:tc>
          <w:tcPr>
            <w:tcW w:w="142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163,801,798</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163,801,798</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42,860,156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42,860,156</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3,011,438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3,011,438</w:t>
            </w: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4,959,112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4,959,112</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214,632,504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214,632,504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16,970,411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27,602,814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44,573,225</w:t>
            </w:r>
          </w:p>
        </w:tc>
      </w:tr>
      <w:tr>
        <w:trPr>
          <w:trHeight w:val="23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930,524</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930,524</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16,970,411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28,533,338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45,503,749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16,970,411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28,533,338</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214,632,504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260,136,253</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 for Level 3 Assets and Liabilities</w:t>
      </w:r>
    </w:p>
    <w:p>
      <w:pPr>
        <w:spacing w:after="0" w:line="227"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tables below provide quantitative information about the Company’s fair value measurements of its Level 3 assets as of December 31, 2022 and December 31, 2021.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December 31, 2022 and December 31, 2021. Significant changes in the inputs in isolation would result in a significant change in the fair value measurement, depending on the input and the materiality of the investment. Refer to “Note 2 —Significant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Valuation Approach/</w:t>
            </w: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2"/>
        </w:trPr>
        <w:tc>
          <w:tcPr>
            <w:tcW w:w="20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58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4"/>
              </w:rPr>
              <w:t>Technique</w:t>
            </w:r>
            <w:r>
              <w:rPr>
                <w:rFonts w:ascii="Times New Roman" w:cs="Times New Roman" w:eastAsia="Times New Roman" w:hAnsi="Times New Roman"/>
                <w:sz w:val="29"/>
                <w:szCs w:val="29"/>
                <w:b w:val="1"/>
                <w:bCs w:val="1"/>
                <w:color w:val="auto"/>
                <w:w w:val="94"/>
                <w:vertAlign w:val="superscript"/>
              </w:rPr>
              <w:t>(1)</w:t>
            </w:r>
          </w:p>
        </w:tc>
        <w:tc>
          <w:tcPr>
            <w:tcW w:w="212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Unobservable Inputs</w:t>
            </w:r>
            <w:r>
              <w:rPr>
                <w:rFonts w:ascii="Times New Roman" w:cs="Times New Roman" w:eastAsia="Times New Roman" w:hAnsi="Times New Roman"/>
                <w:sz w:val="29"/>
                <w:szCs w:val="29"/>
                <w:b w:val="1"/>
                <w:bCs w:val="1"/>
                <w:color w:val="auto"/>
                <w:vertAlign w:val="superscript"/>
              </w:rPr>
              <w:t>(2)</w:t>
            </w:r>
          </w:p>
        </w:tc>
        <w:tc>
          <w:tcPr>
            <w:tcW w:w="246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Range (Weighted Average)</w:t>
            </w:r>
            <w:r>
              <w:rPr>
                <w:rFonts w:ascii="Times New Roman" w:cs="Times New Roman" w:eastAsia="Times New Roman" w:hAnsi="Times New Roman"/>
                <w:sz w:val="29"/>
                <w:szCs w:val="29"/>
                <w:b w:val="1"/>
                <w:bCs w:val="1"/>
                <w:color w:val="auto"/>
                <w:vertAlign w:val="superscript"/>
              </w:rPr>
              <w:t>(3)</w:t>
            </w:r>
          </w:p>
        </w:tc>
      </w:tr>
      <w:tr>
        <w:trPr>
          <w:trHeight w:val="198"/>
        </w:trPr>
        <w:tc>
          <w:tcPr>
            <w:tcW w:w="2040" w:type="dxa"/>
            <w:vAlign w:val="bottom"/>
            <w:tcBorders>
              <w:top w:val="single" w:sz="8" w:color="auto"/>
            </w:tcBorders>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Common stock in private</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20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companies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18,692,931</w:t>
            </w:r>
          </w:p>
        </w:tc>
        <w:tc>
          <w:tcPr>
            <w:tcW w:w="2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1.06x - 4.42x (1.74x)</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2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2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580" w:type="dxa"/>
            <w:vAlign w:val="bottom"/>
            <w:gridSpan w:val="2"/>
            <w:shd w:val="clear" w:color="auto" w:fill="CCEEFF"/>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12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AFFO</w:t>
            </w:r>
            <w:r>
              <w:rPr>
                <w:rFonts w:ascii="Times New Roman" w:cs="Times New Roman" w:eastAsia="Times New Roman" w:hAnsi="Times New Roman"/>
                <w:sz w:val="29"/>
                <w:szCs w:val="29"/>
                <w:color w:val="auto"/>
                <w:w w:val="96"/>
                <w:vertAlign w:val="superscript"/>
              </w:rPr>
              <w:t>(4)</w:t>
            </w:r>
            <w:r>
              <w:rPr>
                <w:rFonts w:ascii="Times New Roman" w:cs="Times New Roman" w:eastAsia="Times New Roman" w:hAnsi="Times New Roman"/>
                <w:sz w:val="18"/>
                <w:szCs w:val="18"/>
                <w:color w:val="auto"/>
                <w:w w:val="96"/>
              </w:rPr>
              <w:t xml:space="preserve"> multiple</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8.62x -12.62x (10.94x)</w:t>
            </w:r>
          </w:p>
        </w:tc>
      </w:tr>
      <w:tr>
        <w:trPr>
          <w:trHeight w:val="198"/>
        </w:trPr>
        <w:tc>
          <w:tcPr>
            <w:tcW w:w="204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Preferred stock in private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companies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117,214,465</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0.47x - 5.45x (2.38x)</w:t>
            </w: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2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15.0% (15.0%)</w:t>
            </w:r>
          </w:p>
        </w:tc>
        <w:tc>
          <w:tcPr>
            <w:tcW w:w="100" w:type="dxa"/>
            <w:vAlign w:val="bottom"/>
          </w:tcPr>
          <w:p>
            <w:pPr>
              <w:spacing w:after="0"/>
              <w:rPr>
                <w:sz w:val="18"/>
                <w:szCs w:val="18"/>
                <w:color w:val="auto"/>
              </w:rPr>
            </w:pPr>
          </w:p>
        </w:tc>
      </w:tr>
      <w:tr>
        <w:trPr>
          <w:trHeight w:val="257"/>
        </w:trPr>
        <w:tc>
          <w:tcPr>
            <w:tcW w:w="2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580" w:type="dxa"/>
            <w:vAlign w:val="bottom"/>
            <w:gridSpan w:val="2"/>
            <w:shd w:val="clear" w:color="auto" w:fill="CCEEFF"/>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1.17x - 1.26x</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DLOM</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 (10.0%)</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Financing Risk</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 (10.0%)</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Debt investments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4,488,200</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0.47x - 5.45x (3.6x)</w:t>
            </w:r>
          </w:p>
        </w:tc>
      </w:tr>
      <w:tr>
        <w:trPr>
          <w:trHeight w:val="198"/>
        </w:trPr>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Term to expiration</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Options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3,469,497</w:t>
            </w:r>
          </w:p>
        </w:tc>
        <w:tc>
          <w:tcPr>
            <w:tcW w:w="2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Option pricing model</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(Years)</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1.00x - 5.29x (1.65x)</w:t>
            </w:r>
          </w:p>
        </w:tc>
      </w:t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15.0% (15.0%)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660" w:hanging="652"/>
        <w:spacing w:after="0" w:line="253"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Board used a hybrid market and income approach to value certain common and preferred stock investments as the Board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Valuation Approach/</w:t>
            </w: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2"/>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58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4"/>
              </w:rPr>
              <w:t>Technique</w:t>
            </w:r>
            <w:r>
              <w:rPr>
                <w:rFonts w:ascii="Times New Roman" w:cs="Times New Roman" w:eastAsia="Times New Roman" w:hAnsi="Times New Roman"/>
                <w:sz w:val="29"/>
                <w:szCs w:val="29"/>
                <w:b w:val="1"/>
                <w:bCs w:val="1"/>
                <w:color w:val="auto"/>
                <w:w w:val="94"/>
                <w:vertAlign w:val="superscript"/>
              </w:rPr>
              <w:t>(1)</w:t>
            </w:r>
          </w:p>
        </w:tc>
        <w:tc>
          <w:tcPr>
            <w:tcW w:w="212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7"/>
              </w:rPr>
              <w:t>Unobservable Inputs</w:t>
            </w:r>
            <w:r>
              <w:rPr>
                <w:rFonts w:ascii="Times New Roman" w:cs="Times New Roman" w:eastAsia="Times New Roman" w:hAnsi="Times New Roman"/>
                <w:sz w:val="29"/>
                <w:szCs w:val="29"/>
                <w:b w:val="1"/>
                <w:bCs w:val="1"/>
                <w:color w:val="auto"/>
                <w:w w:val="97"/>
                <w:vertAlign w:val="superscript"/>
              </w:rPr>
              <w:t>(2)</w:t>
            </w:r>
          </w:p>
        </w:tc>
        <w:tc>
          <w:tcPr>
            <w:tcW w:w="246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Range (Weighted Average)</w:t>
            </w:r>
            <w:r>
              <w:rPr>
                <w:rFonts w:ascii="Times New Roman" w:cs="Times New Roman" w:eastAsia="Times New Roman" w:hAnsi="Times New Roman"/>
                <w:sz w:val="29"/>
                <w:szCs w:val="29"/>
                <w:b w:val="1"/>
                <w:bCs w:val="1"/>
                <w:color w:val="auto"/>
                <w:vertAlign w:val="superscript"/>
              </w:rPr>
              <w:t>(3)</w:t>
            </w:r>
          </w:p>
        </w:tc>
      </w:tr>
      <w:tr>
        <w:trPr>
          <w:trHeight w:val="198"/>
        </w:trPr>
        <w:tc>
          <w:tcPr>
            <w:tcW w:w="20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in private</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companies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42,860,156</w:t>
            </w:r>
          </w:p>
        </w:tc>
        <w:tc>
          <w:tcPr>
            <w:tcW w:w="2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1.80x - 9.62x (6.00x)</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15.0% (15.0%)</w:t>
            </w:r>
          </w:p>
        </w:tc>
        <w:tc>
          <w:tcPr>
            <w:tcW w:w="100" w:type="dxa"/>
            <w:vAlign w:val="bottom"/>
          </w:tcPr>
          <w:p>
            <w:pPr>
              <w:spacing w:after="0"/>
              <w:rPr>
                <w:sz w:val="18"/>
                <w:szCs w:val="18"/>
                <w:color w:val="auto"/>
              </w:rPr>
            </w:pPr>
          </w:p>
        </w:tc>
      </w:tr>
      <w:tr>
        <w:trPr>
          <w:trHeight w:val="257"/>
        </w:trPr>
        <w:tc>
          <w:tcPr>
            <w:tcW w:w="2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580" w:type="dxa"/>
            <w:vAlign w:val="bottom"/>
            <w:gridSpan w:val="2"/>
            <w:shd w:val="clear" w:color="auto" w:fill="CCEEFF"/>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120" w:type="dxa"/>
            <w:vAlign w:val="bottom"/>
            <w:gridSpan w:val="2"/>
            <w:shd w:val="clear" w:color="auto" w:fill="CCEEFF"/>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2"/>
              </w:rPr>
              <w:t>DLOM</w:t>
            </w:r>
            <w:r>
              <w:rPr>
                <w:rFonts w:ascii="Times New Roman" w:cs="Times New Roman" w:eastAsia="Times New Roman" w:hAnsi="Times New Roman"/>
                <w:sz w:val="29"/>
                <w:szCs w:val="29"/>
                <w:color w:val="auto"/>
                <w:w w:val="92"/>
                <w:vertAlign w:val="superscript"/>
              </w:rPr>
              <w:t>(6)</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 (10.0%)</w:t>
            </w:r>
          </w:p>
        </w:tc>
        <w:tc>
          <w:tcPr>
            <w:tcW w:w="100" w:type="dxa"/>
            <w:vAlign w:val="bottom"/>
            <w:shd w:val="clear" w:color="auto" w:fill="CCEEFF"/>
          </w:tcPr>
          <w:p>
            <w:pPr>
              <w:spacing w:after="0"/>
              <w:rPr>
                <w:sz w:val="22"/>
                <w:szCs w:val="22"/>
                <w:color w:val="auto"/>
              </w:rPr>
            </w:pPr>
          </w:p>
        </w:tc>
      </w:tr>
      <w:tr>
        <w:trPr>
          <w:trHeight w:val="256"/>
        </w:trPr>
        <w:tc>
          <w:tcPr>
            <w:tcW w:w="2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20" w:type="dxa"/>
            <w:vAlign w:val="bottom"/>
            <w:gridSpan w:val="2"/>
          </w:tcPr>
          <w:p>
            <w:pPr>
              <w:jc w:val="center"/>
              <w:ind w:right="200"/>
              <w:spacing w:after="0" w:line="256" w:lineRule="exact"/>
              <w:rPr>
                <w:sz w:val="20"/>
                <w:szCs w:val="20"/>
                <w:color w:val="auto"/>
              </w:rPr>
            </w:pPr>
            <w:r>
              <w:rPr>
                <w:rFonts w:ascii="Times New Roman" w:cs="Times New Roman" w:eastAsia="Times New Roman" w:hAnsi="Times New Roman"/>
                <w:sz w:val="18"/>
                <w:szCs w:val="18"/>
                <w:color w:val="auto"/>
                <w:w w:val="96"/>
              </w:rPr>
              <w:t>AFFO</w:t>
            </w:r>
            <w:r>
              <w:rPr>
                <w:rFonts w:ascii="Times New Roman" w:cs="Times New Roman" w:eastAsia="Times New Roman" w:hAnsi="Times New Roman"/>
                <w:sz w:val="29"/>
                <w:szCs w:val="29"/>
                <w:color w:val="auto"/>
                <w:w w:val="96"/>
                <w:vertAlign w:val="superscript"/>
              </w:rPr>
              <w:t>(4)</w:t>
            </w:r>
            <w:r>
              <w:rPr>
                <w:rFonts w:ascii="Times New Roman" w:cs="Times New Roman" w:eastAsia="Times New Roman" w:hAnsi="Times New Roman"/>
                <w:sz w:val="18"/>
                <w:szCs w:val="18"/>
                <w:color w:val="auto"/>
                <w:w w:val="96"/>
              </w:rPr>
              <w:t xml:space="preserve"> multiple</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23.03 - 36.28x (23.03x)</w:t>
            </w: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Financing Risk</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 (10.0%)</w:t>
            </w:r>
          </w:p>
        </w:tc>
        <w:tc>
          <w:tcPr>
            <w:tcW w:w="100" w:type="dxa"/>
            <w:vAlign w:val="bottom"/>
            <w:shd w:val="clear" w:color="auto" w:fill="CCEEFF"/>
          </w:tcPr>
          <w:p>
            <w:pPr>
              <w:spacing w:after="0"/>
              <w:rPr>
                <w:sz w:val="18"/>
                <w:szCs w:val="18"/>
                <w:color w:val="auto"/>
              </w:rPr>
            </w:pPr>
          </w:p>
        </w:tc>
      </w:tr>
      <w:tr>
        <w:trPr>
          <w:trHeight w:val="198"/>
        </w:trPr>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Preferred stock in private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companies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163,801,798</w:t>
            </w: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0.53x - 9.62x (6.63x)</w:t>
            </w: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15.0% (15.0%)</w:t>
            </w:r>
          </w:p>
        </w:tc>
        <w:tc>
          <w:tcPr>
            <w:tcW w:w="100" w:type="dxa"/>
            <w:vAlign w:val="bottom"/>
            <w:shd w:val="clear" w:color="auto" w:fill="CCEEFF"/>
          </w:tcPr>
          <w:p>
            <w:pPr>
              <w:spacing w:after="0"/>
              <w:rPr>
                <w:sz w:val="18"/>
                <w:szCs w:val="18"/>
                <w:color w:val="auto"/>
              </w:rPr>
            </w:pPr>
          </w:p>
        </w:tc>
      </w:tr>
      <w:tr>
        <w:trPr>
          <w:trHeight w:val="257"/>
        </w:trPr>
        <w:tc>
          <w:tcPr>
            <w:tcW w:w="2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58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18"/>
                <w:szCs w:val="18"/>
                <w:color w:val="auto"/>
                <w:w w:val="94"/>
              </w:rPr>
              <w:t>PWERM</w:t>
            </w:r>
            <w:r>
              <w:rPr>
                <w:rFonts w:ascii="Times New Roman" w:cs="Times New Roman" w:eastAsia="Times New Roman" w:hAnsi="Times New Roman"/>
                <w:sz w:val="29"/>
                <w:szCs w:val="29"/>
                <w:color w:val="auto"/>
                <w:w w:val="94"/>
                <w:vertAlign w:val="superscript"/>
              </w:rPr>
              <w:t>(5)</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1.05x - 9.62x (3.04x)</w:t>
            </w: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DLOM</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 (10.0%)</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Financing Risk</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 (10.0%)</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Debt investments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3,011,438</w:t>
            </w:r>
          </w:p>
        </w:tc>
        <w:tc>
          <w:tcPr>
            <w:tcW w:w="2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1.74x - 2.91x (1.95x)</w:t>
            </w:r>
          </w:p>
        </w:tc>
      </w:tr>
      <w:tr>
        <w:trPr>
          <w:trHeight w:val="216"/>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4,959,112</w:t>
            </w: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Option pricing model</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Term to expiration (Years)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0.17 - 6.61 (3.08)</w:t>
            </w: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Volatility</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37.7% - 56.5% (37.7%)</w:t>
            </w:r>
          </w:p>
        </w:tc>
        <w:tc>
          <w:tcPr>
            <w:tcW w:w="100" w:type="dxa"/>
            <w:vAlign w:val="bottom"/>
            <w:shd w:val="clear" w:color="auto" w:fill="CCEEFF"/>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15.0% (15.0%)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660" w:hanging="652"/>
        <w:spacing w:after="0" w:line="253"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used a hybrid market and income approach to value certain common and preferred stock investments as the Company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 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averages are calculated based on the fair market value of each investment.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Funds From Operations, or “AFFO”</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or “PWERM”</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or “DLOM”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2022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9"/>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700"/>
              <w:spacing w:after="0" w:line="19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2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Pr>
          <w:p>
            <w:pPr>
              <w:spacing w:after="0"/>
              <w:rPr>
                <w:sz w:val="21"/>
                <w:szCs w:val="21"/>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42,860,156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163,801,798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3,011,438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4,959,112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214,632,504</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(6,918,251)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(1,775,506)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(48,639)</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(8,742,396)</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20,767,788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1,509,093</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503,183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22,780,064</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(874,470)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(1,874,470)</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160,965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90,586</w:t>
            </w:r>
          </w:p>
        </w:tc>
      </w:tr>
      <w:tr>
        <w:trPr>
          <w:trHeight w:val="198"/>
        </w:trPr>
        <w:tc>
          <w:tcPr>
            <w:tcW w:w="4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(16,535,469)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(65,579,615)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967,669</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(1,873,780)</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(83,021,195)</w:t>
            </w:r>
          </w:p>
        </w:tc>
      </w:tr>
      <w:tr>
        <w:trPr>
          <w:trHeight w:val="256"/>
        </w:trPr>
        <w:tc>
          <w:tcPr>
            <w:tcW w:w="400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18,692,931</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117,214,465</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4,488,200</w:t>
            </w:r>
          </w:p>
        </w:tc>
        <w:tc>
          <w:tcPr>
            <w:tcW w:w="3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3,469,497</w:t>
            </w:r>
          </w:p>
        </w:tc>
        <w:tc>
          <w:tcPr>
            <w:tcW w:w="3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143,865,093</w:t>
            </w:r>
          </w:p>
        </w:tc>
        <w:tc>
          <w:tcPr>
            <w:tcW w:w="100" w:type="dxa"/>
            <w:vAlign w:val="bottom"/>
            <w:tcBorders>
              <w:top w:val="single" w:sz="8" w:color="CCEEFF"/>
              <w:bottom w:val="single" w:sz="8" w:color="CCEEFF"/>
            </w:tcBorders>
          </w:tcPr>
          <w:p>
            <w:pPr>
              <w:spacing w:after="0"/>
              <w:rPr>
                <w:sz w:val="22"/>
                <w:szCs w:val="22"/>
                <w:color w:val="auto"/>
              </w:rPr>
            </w:pPr>
          </w:p>
        </w:tc>
      </w:tr>
      <w:tr>
        <w:trPr>
          <w:trHeight w:val="151"/>
        </w:trPr>
        <w:tc>
          <w:tcPr>
            <w:tcW w:w="400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change in unrealized appreciation/ (depreciation)</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Level 3 investments still held as of December 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(7,023,165)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(63,138,372)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967,669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(1,624,324)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(70,818,192)</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During the year ended December 31, 2022, the Company’s portfolio investments had the following corporate actions which are reflected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c>
          <w:tcPr>
            <w:tcW w:w="0" w:type="dxa"/>
            <w:vAlign w:val="bottom"/>
          </w:tcPr>
          <w:p>
            <w:pPr>
              <w:spacing w:after="0"/>
              <w:rPr>
                <w:sz w:val="1"/>
                <w:szCs w:val="1"/>
                <w:color w:val="auto"/>
              </w:rPr>
            </w:pPr>
          </w:p>
        </w:tc>
      </w:tr>
      <w:tr>
        <w:trPr>
          <w:trHeight w:val="198"/>
        </w:trPr>
        <w:tc>
          <w:tcPr>
            <w:tcW w:w="3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Shares, Class AA</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Forge Global, Inc.</w:t>
            </w:r>
          </w:p>
        </w:tc>
        <w:tc>
          <w:tcPr>
            <w:tcW w:w="3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Junior Preferred Shares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Public Common shares (Level 2)</w:t>
            </w:r>
          </w:p>
        </w:tc>
        <w:tc>
          <w:tcPr>
            <w:tcW w:w="0" w:type="dxa"/>
            <w:vAlign w:val="bottom"/>
          </w:tcPr>
          <w:p>
            <w:pPr>
              <w:spacing w:after="0"/>
              <w:rPr>
                <w:sz w:val="1"/>
                <w:szCs w:val="1"/>
                <w:color w:val="auto"/>
              </w:rPr>
            </w:pPr>
          </w:p>
        </w:tc>
      </w:tr>
      <w:tr>
        <w:trPr>
          <w:trHeight w:val="126"/>
        </w:trPr>
        <w:tc>
          <w:tcPr>
            <w:tcW w:w="3840" w:type="dxa"/>
            <w:vAlign w:val="bottom"/>
            <w:gridSpan w:val="2"/>
            <w:vMerge w:val="continue"/>
            <w:shd w:val="clear" w:color="auto" w:fill="CCEEFF"/>
          </w:tcPr>
          <w:p>
            <w:pPr>
              <w:spacing w:after="0"/>
              <w:rPr>
                <w:sz w:val="10"/>
                <w:szCs w:val="10"/>
                <w:color w:val="auto"/>
              </w:rPr>
            </w:pPr>
          </w:p>
        </w:tc>
        <w:tc>
          <w:tcPr>
            <w:tcW w:w="38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Junior Preferred Warrants, Strike Price $12.42,</w:t>
            </w:r>
          </w:p>
        </w:tc>
        <w:tc>
          <w:tcPr>
            <w:tcW w:w="3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warrants, Strike Price $3.98, Expiration</w:t>
            </w:r>
          </w:p>
        </w:tc>
        <w:tc>
          <w:tcPr>
            <w:tcW w:w="0" w:type="dxa"/>
            <w:vAlign w:val="bottom"/>
          </w:tcPr>
          <w:p>
            <w:pPr>
              <w:spacing w:after="0"/>
              <w:rPr>
                <w:sz w:val="1"/>
                <w:szCs w:val="1"/>
                <w:color w:val="auto"/>
              </w:rPr>
            </w:pPr>
          </w:p>
        </w:tc>
      </w:tr>
      <w:tr>
        <w:trPr>
          <w:trHeight w:val="90"/>
        </w:trPr>
        <w:tc>
          <w:tcPr>
            <w:tcW w:w="3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0" w:type="dxa"/>
            <w:vAlign w:val="bottom"/>
            <w:gridSpan w:val="2"/>
            <w:vMerge w:val="continue"/>
            <w:shd w:val="clear" w:color="auto" w:fill="CCEEFF"/>
          </w:tcPr>
          <w:p>
            <w:pPr>
              <w:spacing w:after="0"/>
              <w:rPr>
                <w:sz w:val="7"/>
                <w:szCs w:val="7"/>
                <w:color w:val="auto"/>
              </w:rPr>
            </w:pPr>
          </w:p>
        </w:tc>
        <w:tc>
          <w:tcPr>
            <w:tcW w:w="3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Expiration Date 11/9/2025</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Date 11/9/2025 (Level 2)</w:t>
            </w:r>
          </w:p>
        </w:tc>
        <w:tc>
          <w:tcPr>
            <w:tcW w:w="0" w:type="dxa"/>
            <w:vAlign w:val="bottom"/>
          </w:tcPr>
          <w:p>
            <w:pPr>
              <w:spacing w:after="0"/>
              <w:rPr>
                <w:sz w:val="1"/>
                <w:szCs w:val="1"/>
                <w:color w:val="auto"/>
              </w:rPr>
            </w:pPr>
          </w:p>
        </w:tc>
      </w:tr>
      <w:tr>
        <w:trPr>
          <w:trHeight w:val="432"/>
        </w:trPr>
        <w:tc>
          <w:tcPr>
            <w:tcW w:w="11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2021 as follows:</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9"/>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700"/>
              <w:spacing w:after="0" w:line="194"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2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Pr>
          <w:p>
            <w:pPr>
              <w:spacing w:after="0"/>
              <w:rPr>
                <w:sz w:val="21"/>
                <w:szCs w:val="21"/>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34,190,839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141,235,987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4,845,340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5,872,210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186,144,376</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(31,652,675)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(155,414,652)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(5,211,120)</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(1,619,463)</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(193,897,910)</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36,154,823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43,239,463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2,321,752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81,716,038</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Sales/Maturity of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(10,646,457)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(2,344,979)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(13,053,111)</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gains/(losses)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204,195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5,551,864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88,788</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5,741,192</w:t>
            </w:r>
          </w:p>
        </w:tc>
      </w:tr>
      <w:tr>
        <w:trPr>
          <w:trHeight w:val="198"/>
        </w:trPr>
        <w:tc>
          <w:tcPr>
            <w:tcW w:w="4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4,024,649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139,835,593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5,633,409</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(1,511,732)</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147,981,919</w:t>
            </w:r>
          </w:p>
        </w:tc>
      </w:tr>
      <w:tr>
        <w:trPr>
          <w:trHeight w:val="257"/>
        </w:trPr>
        <w:tc>
          <w:tcPr>
            <w:tcW w:w="400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42,860,156</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163,801,798</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3,011,438</w:t>
            </w:r>
          </w:p>
        </w:tc>
        <w:tc>
          <w:tcPr>
            <w:tcW w:w="3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4,959,112</w:t>
            </w:r>
          </w:p>
        </w:tc>
        <w:tc>
          <w:tcPr>
            <w:tcW w:w="3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214,632,504</w:t>
            </w:r>
          </w:p>
        </w:tc>
        <w:tc>
          <w:tcPr>
            <w:tcW w:w="100" w:type="dxa"/>
            <w:vAlign w:val="bottom"/>
            <w:tcBorders>
              <w:top w:val="single" w:sz="8" w:color="CCEEFF"/>
              <w:bottom w:val="single" w:sz="8" w:color="CCEEFF"/>
            </w:tcBorders>
          </w:tcPr>
          <w:p>
            <w:pPr>
              <w:spacing w:after="0"/>
              <w:rPr>
                <w:sz w:val="22"/>
                <w:szCs w:val="22"/>
                <w:color w:val="auto"/>
              </w:rPr>
            </w:pPr>
          </w:p>
        </w:tc>
      </w:tr>
      <w:tr>
        <w:trPr>
          <w:trHeight w:val="151"/>
        </w:trPr>
        <w:tc>
          <w:tcPr>
            <w:tcW w:w="400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change in unrealized appreciation/ (depreciation)</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Level 3 investments still held as of December 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6,117,069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46,943,434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(586,899)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52,473,604</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4"/>
        </w:trPr>
        <w:tc>
          <w:tcPr>
            <w:tcW w:w="282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During the year ended December 31, 2021, the Company’s portfolio investments had the following corporate actions which are reflected above:</w:t>
      </w:r>
    </w:p>
    <w:p>
      <w:pPr>
        <w:sectPr>
          <w:pgSz w:w="11900" w:h="16838" w:orient="portrait"/>
          <w:cols w:equalWidth="0" w:num="1">
            <w:col w:w="11240"/>
          </w:cols>
          <w:pgMar w:left="320" w:top="229" w:right="339" w:bottom="96"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Coursera,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Churchill Capital Corp. II</w:t>
      </w:r>
    </w:p>
    <w:p>
      <w:pPr>
        <w:spacing w:after="0" w:line="27"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NewLake Capital Partners, Inc. (f/k/a GreenAcreage Real Estate Corp.)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Place for Rover, Inc. (f/k/a DogVacay, Inc.)</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Enjoy Technology,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Nextdoor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Conversion to</w:t>
            </w:r>
          </w:p>
        </w:tc>
      </w:tr>
      <w:tr>
        <w:trPr>
          <w:trHeight w:val="198"/>
        </w:trPr>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Preferred shares, Series F 8%</w:t>
            </w:r>
          </w:p>
        </w:tc>
        <w:tc>
          <w:tcPr>
            <w:tcW w:w="200" w:type="dxa"/>
            <w:vAlign w:val="bottom"/>
          </w:tcPr>
          <w:p>
            <w:pPr>
              <w:spacing w:after="0"/>
              <w:rPr>
                <w:sz w:val="17"/>
                <w:szCs w:val="17"/>
                <w:color w:val="auto"/>
              </w:rPr>
            </w:pPr>
          </w:p>
        </w:tc>
        <w:tc>
          <w:tcPr>
            <w:tcW w:w="3600" w:type="dxa"/>
            <w:vAlign w:val="bottom"/>
            <w:tcBorders>
              <w:top w:val="single" w:sz="8" w:color="auto"/>
            </w:tcBorders>
          </w:tcPr>
          <w:p>
            <w:pPr>
              <w:spacing w:after="0"/>
              <w:rPr>
                <w:sz w:val="17"/>
                <w:szCs w:val="17"/>
                <w:color w:val="auto"/>
              </w:rPr>
            </w:pPr>
          </w:p>
        </w:tc>
      </w:tr>
      <w:tr>
        <w:trPr>
          <w:trHeight w:val="216"/>
        </w:trPr>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Preferred shares, Series B 8%</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 Common shares (Level 2)</w:t>
            </w:r>
          </w:p>
        </w:tc>
      </w:tr>
      <w:tr>
        <w:trPr>
          <w:trHeight w:val="234"/>
        </w:trPr>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shares, Class 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Skillsoft Corp. Public Common shares (Level 2)</w:t>
            </w:r>
          </w:p>
        </w:tc>
      </w:tr>
      <w:tr>
        <w:trPr>
          <w:trHeight w:val="414"/>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shares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 Common shares (Level 2)</w:t>
            </w:r>
          </w:p>
        </w:tc>
      </w:tr>
      <w:tr>
        <w:trPr>
          <w:trHeight w:val="216"/>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Rover Group, Inc. Public Common shares</w:t>
            </w:r>
          </w:p>
        </w:tc>
      </w:tr>
      <w:tr>
        <w:trPr>
          <w:trHeight w:val="216"/>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shares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16"/>
        </w:trPr>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Preferred shares, Series B 6%</w:t>
            </w:r>
          </w:p>
        </w:tc>
        <w:tc>
          <w:tcPr>
            <w:tcW w:w="3600" w:type="dxa"/>
            <w:vAlign w:val="bottom"/>
          </w:tcPr>
          <w:p>
            <w:pPr>
              <w:spacing w:after="0"/>
              <w:rPr>
                <w:sz w:val="18"/>
                <w:szCs w:val="18"/>
                <w:color w:val="auto"/>
              </w:rPr>
            </w:pPr>
          </w:p>
        </w:tc>
      </w:tr>
      <w:tr>
        <w:trPr>
          <w:trHeight w:val="216"/>
        </w:trPr>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Preferred shares, Series A 6%</w:t>
            </w:r>
          </w:p>
        </w:tc>
        <w:tc>
          <w:tcPr>
            <w:tcW w:w="3600" w:type="dxa"/>
            <w:vAlign w:val="bottom"/>
          </w:tcPr>
          <w:p>
            <w:pPr>
              <w:spacing w:after="0"/>
              <w:rPr>
                <w:sz w:val="18"/>
                <w:szCs w:val="18"/>
                <w:color w:val="auto"/>
              </w:rPr>
            </w:pPr>
          </w:p>
        </w:tc>
      </w:tr>
      <w:tr>
        <w:trPr>
          <w:trHeight w:val="216"/>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Convertible Promissory Note 14% Due</w:t>
            </w:r>
          </w:p>
        </w:tc>
        <w:tc>
          <w:tcPr>
            <w:tcW w:w="3600" w:type="dxa"/>
            <w:vAlign w:val="bottom"/>
          </w:tcPr>
          <w:p>
            <w:pPr>
              <w:spacing w:after="0"/>
              <w:rPr>
                <w:sz w:val="18"/>
                <w:szCs w:val="18"/>
                <w:color w:val="auto"/>
              </w:rPr>
            </w:pP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1/30/2024</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 Common shares (Level 2)</w:t>
            </w:r>
          </w:p>
        </w:tc>
      </w:tr>
      <w:tr>
        <w:trPr>
          <w:trHeight w:val="216"/>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shares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 Common shares (Level 2)</w:t>
            </w:r>
          </w:p>
        </w:tc>
      </w:tr>
      <w:tr>
        <w:trPr>
          <w:trHeight w:val="234"/>
        </w:trPr>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Preferred shares, Series 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 Common shares (Level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-1370965</wp:posOffset>
            </wp:positionV>
            <wp:extent cx="7132320" cy="274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-822325</wp:posOffset>
            </wp:positionV>
            <wp:extent cx="7132320" cy="548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-136525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-1799590</wp:posOffset>
            </wp:positionV>
            <wp:extent cx="7132320" cy="291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320" w:space="520"/>
            <w:col w:w="7400"/>
          </w:cols>
          <w:pgMar w:left="320" w:top="229" w:right="339" w:bottom="96"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6"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right="20" w:firstLine="364"/>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2022 involving the Company’s controlled investments and non-controlled/affiliate investments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Interest,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Purchases,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Fees, or</w:t>
            </w:r>
          </w:p>
        </w:tc>
        <w:tc>
          <w:tcPr>
            <w:tcW w:w="8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at</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Transfer</w:t>
            </w:r>
          </w:p>
        </w:tc>
        <w:tc>
          <w:tcPr>
            <w:tcW w:w="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Fees,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at</w:t>
            </w:r>
          </w:p>
        </w:tc>
        <w:tc>
          <w:tcPr>
            <w:tcW w:w="7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Percentage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Principal/</w:t>
            </w:r>
          </w:p>
        </w:tc>
        <w:tc>
          <w:tcPr>
            <w:tcW w:w="6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Credited</w:t>
            </w:r>
          </w:p>
        </w:tc>
        <w:tc>
          <w:tcPr>
            <w:tcW w:w="8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6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In/</w:t>
            </w:r>
          </w:p>
        </w:tc>
        <w:tc>
          <w:tcPr>
            <w:tcW w:w="8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and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6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72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of Net</w:t>
            </w:r>
          </w:p>
        </w:tc>
        <w:tc>
          <w:tcPr>
            <w:tcW w:w="0" w:type="dxa"/>
            <w:vAlign w:val="bottom"/>
          </w:tcPr>
          <w:p>
            <w:pPr>
              <w:spacing w:after="0"/>
              <w:rPr>
                <w:sz w:val="1"/>
                <w:szCs w:val="1"/>
                <w:color w:val="auto"/>
              </w:rPr>
            </w:pPr>
          </w:p>
        </w:tc>
      </w:tr>
      <w:tr>
        <w:trPr>
          <w:trHeight w:val="162"/>
        </w:trPr>
        <w:tc>
          <w:tcPr>
            <w:tcW w:w="32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Type/Industry/Portfolio Company/Investment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Quantity</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in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31, 2021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(Out)</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4"/>
                <w:szCs w:val="14"/>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Gains/(Losses)</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Gains/(Losses)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31, 2022</w:t>
            </w:r>
          </w:p>
        </w:tc>
        <w:tc>
          <w:tcPr>
            <w:tcW w:w="18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08"/>
        </w:trPr>
        <w:tc>
          <w:tcPr>
            <w:tcW w:w="192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6"/>
              </w:rPr>
              <w:t>CONTROLLED INVESTMENTS*</w:t>
            </w:r>
          </w:p>
        </w:tc>
        <w:tc>
          <w:tcPr>
            <w:tcW w:w="1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(2)</w:t>
            </w:r>
          </w:p>
        </w:tc>
        <w:tc>
          <w:tcPr>
            <w:tcW w:w="90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12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18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920" w:type="dxa"/>
            <w:vAlign w:val="bottom"/>
            <w:tcBorders>
              <w:bottom w:val="single" w:sz="8" w:color="auto"/>
            </w:tcBorders>
            <w:vMerge w:val="continue"/>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90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40" w:type="dxa"/>
            <w:vAlign w:val="bottom"/>
            <w:gridSpan w:val="5"/>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Special Purpose Acquisition Company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40" w:type="dxa"/>
            <w:vAlign w:val="bottom"/>
            <w:gridSpan w:val="5"/>
          </w:tcPr>
          <w:p>
            <w:pPr>
              <w:ind w:left="360"/>
              <w:spacing w:after="0" w:line="176" w:lineRule="exact"/>
              <w:rPr>
                <w:sz w:val="20"/>
                <w:szCs w:val="20"/>
                <w:color w:val="auto"/>
              </w:rPr>
            </w:pPr>
            <w:r>
              <w:rPr>
                <w:rFonts w:ascii="Times New Roman" w:cs="Times New Roman" w:eastAsia="Times New Roman" w:hAnsi="Times New Roman"/>
                <w:sz w:val="13"/>
                <w:szCs w:val="13"/>
                <w:color w:val="auto"/>
              </w:rPr>
              <w:t>Colombier Sponsor LLC**–Class W Units</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2,700,000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1,157,487</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1,157,487</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0.55%</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Options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1,157,487</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1,157,487</w:t>
            </w:r>
          </w:p>
        </w:tc>
        <w:tc>
          <w:tcPr>
            <w:tcW w:w="7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0.55%</w:t>
            </w:r>
          </w:p>
        </w:tc>
        <w:tc>
          <w:tcPr>
            <w:tcW w:w="0" w:type="dxa"/>
            <w:vAlign w:val="bottom"/>
          </w:tcPr>
          <w:p>
            <w:pPr>
              <w:spacing w:after="0"/>
              <w:rPr>
                <w:sz w:val="1"/>
                <w:szCs w:val="1"/>
                <w:color w:val="auto"/>
              </w:rPr>
            </w:pPr>
          </w:p>
        </w:tc>
      </w:tr>
      <w:tr>
        <w:trPr>
          <w:trHeight w:val="135"/>
        </w:trPr>
        <w:tc>
          <w:tcPr>
            <w:tcW w:w="3240" w:type="dxa"/>
            <w:vAlign w:val="bottom"/>
            <w:gridSpan w:val="5"/>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Clean Technology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40" w:type="dxa"/>
            <w:vAlign w:val="bottom"/>
            <w:gridSpan w:val="5"/>
          </w:tcPr>
          <w:p>
            <w:pPr>
              <w:ind w:left="360"/>
              <w:spacing w:after="0" w:line="124" w:lineRule="exact"/>
              <w:rPr>
                <w:sz w:val="20"/>
                <w:szCs w:val="20"/>
                <w:color w:val="auto"/>
              </w:rPr>
            </w:pPr>
            <w:r>
              <w:rPr>
                <w:rFonts w:ascii="Times New Roman" w:cs="Times New Roman" w:eastAsia="Times New Roman" w:hAnsi="Times New Roman"/>
                <w:sz w:val="13"/>
                <w:szCs w:val="13"/>
                <w:color w:val="auto"/>
                <w:w w:val="98"/>
              </w:rPr>
              <w:t>SPBRX, INC. (f/k/a GSV Sustainability Partners, Inc.)–</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240" w:type="dxa"/>
            <w:vAlign w:val="bottom"/>
            <w:gridSpan w:val="5"/>
          </w:tcPr>
          <w:p>
            <w:pPr>
              <w:ind w:left="360"/>
              <w:spacing w:after="0" w:line="186" w:lineRule="exact"/>
              <w:rPr>
                <w:sz w:val="20"/>
                <w:szCs w:val="20"/>
                <w:color w:val="auto"/>
              </w:rPr>
            </w:pPr>
            <w:r>
              <w:rPr>
                <w:rFonts w:ascii="Times New Roman" w:cs="Times New Roman" w:eastAsia="Times New Roman" w:hAnsi="Times New Roman"/>
                <w:sz w:val="13"/>
                <w:szCs w:val="13"/>
                <w:color w:val="auto"/>
              </w:rPr>
              <w:t>Preferred shares, Class A</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14,300,000</w:t>
            </w:r>
          </w:p>
        </w:tc>
        <w:tc>
          <w:tcPr>
            <w:tcW w:w="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1,047,033</w:t>
            </w:r>
          </w:p>
        </w:tc>
        <w:tc>
          <w:tcPr>
            <w:tcW w:w="6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(63,005)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984,028</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0.47%</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1,047,033</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(63,005)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984,028</w:t>
            </w:r>
          </w:p>
        </w:tc>
        <w:tc>
          <w:tcPr>
            <w:tcW w:w="7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0.47%</w:t>
            </w:r>
          </w:p>
        </w:tc>
        <w:tc>
          <w:tcPr>
            <w:tcW w:w="0" w:type="dxa"/>
            <w:vAlign w:val="bottom"/>
          </w:tcPr>
          <w:p>
            <w:pPr>
              <w:spacing w:after="0"/>
              <w:rPr>
                <w:sz w:val="1"/>
                <w:szCs w:val="1"/>
                <w:color w:val="auto"/>
              </w:rPr>
            </w:pPr>
          </w:p>
        </w:tc>
      </w:tr>
      <w:tr>
        <w:trPr>
          <w:trHeight w:val="135"/>
        </w:trPr>
        <w:tc>
          <w:tcPr>
            <w:tcW w:w="3240" w:type="dxa"/>
            <w:vAlign w:val="bottom"/>
            <w:gridSpan w:val="5"/>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Clean Technology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40" w:type="dxa"/>
            <w:vAlign w:val="bottom"/>
            <w:gridSpan w:val="5"/>
          </w:tcPr>
          <w:p>
            <w:pPr>
              <w:ind w:left="360"/>
              <w:spacing w:after="0" w:line="117" w:lineRule="exact"/>
              <w:rPr>
                <w:sz w:val="20"/>
                <w:szCs w:val="20"/>
                <w:color w:val="auto"/>
              </w:rPr>
            </w:pPr>
            <w:r>
              <w:rPr>
                <w:rFonts w:ascii="Times New Roman" w:cs="Times New Roman" w:eastAsia="Times New Roman" w:hAnsi="Times New Roman"/>
                <w:sz w:val="13"/>
                <w:szCs w:val="13"/>
                <w:color w:val="auto"/>
                <w:w w:val="98"/>
              </w:rPr>
              <w:t>SPBRX, INC. (f/k/a GSV Sustainability Partners, Inc.)–</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40" w:type="dxa"/>
            <w:vAlign w:val="bottom"/>
            <w:gridSpan w:val="5"/>
          </w:tcPr>
          <w:p>
            <w:pPr>
              <w:ind w:left="360"/>
              <w:spacing w:after="0"/>
              <w:rPr>
                <w:sz w:val="20"/>
                <w:szCs w:val="20"/>
                <w:color w:val="auto"/>
              </w:rPr>
            </w:pPr>
            <w:r>
              <w:rPr>
                <w:rFonts w:ascii="Times New Roman" w:cs="Times New Roman" w:eastAsia="Times New Roman" w:hAnsi="Times New Roman"/>
                <w:sz w:val="13"/>
                <w:szCs w:val="13"/>
                <w:color w:val="auto"/>
              </w:rPr>
              <w:t>Common 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100,000</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Mobile Finance Technology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40" w:type="dxa"/>
            <w:vAlign w:val="bottom"/>
            <w:gridSpan w:val="5"/>
          </w:tcPr>
          <w:p>
            <w:pPr>
              <w:ind w:left="360"/>
              <w:spacing w:after="0" w:line="117" w:lineRule="exact"/>
              <w:rPr>
                <w:sz w:val="20"/>
                <w:szCs w:val="20"/>
                <w:color w:val="auto"/>
              </w:rPr>
            </w:pPr>
            <w:r>
              <w:rPr>
                <w:rFonts w:ascii="Times New Roman" w:cs="Times New Roman" w:eastAsia="Times New Roman" w:hAnsi="Times New Roman"/>
                <w:sz w:val="13"/>
                <w:szCs w:val="13"/>
                <w:color w:val="auto"/>
              </w:rPr>
              <w:t>Architect Capital PayJoy SPV, LLC**–Membership</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40" w:type="dxa"/>
            <w:vAlign w:val="bottom"/>
            <w:gridSpan w:val="5"/>
          </w:tcPr>
          <w:p>
            <w:pPr>
              <w:ind w:left="360"/>
              <w:spacing w:after="0"/>
              <w:rPr>
                <w:sz w:val="20"/>
                <w:szCs w:val="20"/>
                <w:color w:val="auto"/>
              </w:rPr>
            </w:pPr>
            <w:r>
              <w:rPr>
                <w:rFonts w:ascii="Times New Roman" w:cs="Times New Roman" w:eastAsia="Times New Roman" w:hAnsi="Times New Roman"/>
                <w:sz w:val="13"/>
                <w:szCs w:val="13"/>
                <w:color w:val="auto"/>
              </w:rPr>
              <w:t>Interest in Lending SPV***</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10,000,000</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9"/>
              </w:rPr>
              <w:t>1,685,000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10,000,000</w:t>
            </w:r>
          </w:p>
        </w:tc>
        <w:tc>
          <w:tcPr>
            <w:tcW w:w="6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5"/>
              </w:rPr>
              <w:t>10,000,000</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4.76%</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Special Purpose Acquisition Company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40" w:type="dxa"/>
            <w:vAlign w:val="bottom"/>
            <w:gridSpan w:val="5"/>
          </w:tcPr>
          <w:p>
            <w:pPr>
              <w:ind w:left="360"/>
              <w:spacing w:after="0" w:line="176" w:lineRule="exact"/>
              <w:rPr>
                <w:sz w:val="20"/>
                <w:szCs w:val="20"/>
                <w:color w:val="auto"/>
              </w:rPr>
            </w:pPr>
            <w:r>
              <w:rPr>
                <w:rFonts w:ascii="Times New Roman" w:cs="Times New Roman" w:eastAsia="Times New Roman" w:hAnsi="Times New Roman"/>
                <w:sz w:val="13"/>
                <w:szCs w:val="13"/>
                <w:color w:val="auto"/>
              </w:rPr>
              <w:t>Colombier Sponsor LLC**–Class B Units</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1,976,033</w:t>
            </w:r>
          </w:p>
        </w:tc>
        <w:tc>
          <w:tcPr>
            <w:tcW w:w="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1,554,354</w:t>
            </w:r>
          </w:p>
        </w:tc>
        <w:tc>
          <w:tcPr>
            <w:tcW w:w="6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1,554,355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0.74%</w:t>
            </w:r>
          </w:p>
        </w:tc>
        <w:tc>
          <w:tcPr>
            <w:tcW w:w="0" w:type="dxa"/>
            <w:vAlign w:val="bottom"/>
          </w:tcPr>
          <w:p>
            <w:pPr>
              <w:spacing w:after="0"/>
              <w:rPr>
                <w:sz w:val="1"/>
                <w:szCs w:val="1"/>
                <w:color w:val="auto"/>
              </w:rPr>
            </w:pPr>
          </w:p>
        </w:tc>
      </w:tr>
      <w:tr>
        <w:trPr>
          <w:trHeight w:val="148"/>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Common Stock</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1,685,000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9"/>
              </w:rPr>
              <w:t>11,554,354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11,554,355</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gridSpan w:val="5"/>
            <w:vMerge w:val="restart"/>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TOTAL CONTROLLED INVESTMENTS*</w:t>
            </w:r>
            <w:r>
              <w:rPr>
                <w:rFonts w:ascii="Times New Roman" w:cs="Times New Roman" w:eastAsia="Times New Roman" w:hAnsi="Times New Roman"/>
                <w:sz w:val="19"/>
                <w:szCs w:val="19"/>
                <w:b w:val="1"/>
                <w:bCs w:val="1"/>
                <w:color w:val="auto"/>
                <w:vertAlign w:val="superscript"/>
              </w:rPr>
              <w:t>(2)</w:t>
            </w: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1,685,000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13,758,874</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(63,004)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13,695,870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6.52%</w:t>
            </w:r>
          </w:p>
        </w:tc>
        <w:tc>
          <w:tcPr>
            <w:tcW w:w="0" w:type="dxa"/>
            <w:vAlign w:val="bottom"/>
          </w:tcPr>
          <w:p>
            <w:pPr>
              <w:spacing w:after="0"/>
              <w:rPr>
                <w:sz w:val="1"/>
                <w:szCs w:val="1"/>
                <w:color w:val="auto"/>
              </w:rPr>
            </w:pPr>
          </w:p>
        </w:tc>
      </w:tr>
      <w:tr>
        <w:trPr>
          <w:trHeight w:val="108"/>
        </w:trPr>
        <w:tc>
          <w:tcPr>
            <w:tcW w:w="294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5"/>
              </w:rPr>
              <w:t>NON-CONTROLLED/AFFILIATE INVESTMENTS*</w:t>
            </w:r>
          </w:p>
        </w:tc>
        <w:tc>
          <w:tcPr>
            <w:tcW w:w="1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(1)</w:t>
            </w:r>
          </w:p>
        </w:tc>
        <w:tc>
          <w:tcPr>
            <w:tcW w:w="1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40" w:type="dxa"/>
            <w:vAlign w:val="bottom"/>
            <w:tcBorders>
              <w:bottom w:val="single" w:sz="8" w:color="auto"/>
            </w:tcBorders>
            <w:gridSpan w:val="3"/>
            <w:vMerge w:val="continue"/>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40" w:type="dxa"/>
            <w:vAlign w:val="bottom"/>
            <w:gridSpan w:val="5"/>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Global Innovation Platform</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40" w:type="dxa"/>
            <w:vAlign w:val="bottom"/>
            <w:gridSpan w:val="5"/>
          </w:tcPr>
          <w:p>
            <w:pPr>
              <w:ind w:left="360"/>
              <w:spacing w:after="0" w:line="124" w:lineRule="exact"/>
              <w:rPr>
                <w:sz w:val="20"/>
                <w:szCs w:val="20"/>
                <w:color w:val="auto"/>
              </w:rPr>
            </w:pPr>
            <w:r>
              <w:rPr>
                <w:rFonts w:ascii="Times New Roman" w:cs="Times New Roman" w:eastAsia="Times New Roman" w:hAnsi="Times New Roman"/>
                <w:sz w:val="13"/>
                <w:szCs w:val="13"/>
                <w:color w:val="auto"/>
              </w:rPr>
              <w:t>OneValley, Inc. (f/k/a NestGSV, Inc.) –Convertible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240" w:type="dxa"/>
            <w:vAlign w:val="bottom"/>
            <w:gridSpan w:val="5"/>
          </w:tcPr>
          <w:p>
            <w:pPr>
              <w:ind w:left="360"/>
              <w:spacing w:after="0" w:line="186" w:lineRule="exact"/>
              <w:rPr>
                <w:sz w:val="20"/>
                <w:szCs w:val="20"/>
                <w:color w:val="auto"/>
              </w:rPr>
            </w:pPr>
            <w:r>
              <w:rPr>
                <w:rFonts w:ascii="Times New Roman" w:cs="Times New Roman" w:eastAsia="Times New Roman" w:hAnsi="Times New Roman"/>
                <w:sz w:val="13"/>
                <w:szCs w:val="13"/>
                <w:color w:val="auto"/>
              </w:rPr>
              <w:t>Promissory Note 8%, Due 8/23/2024</w:t>
            </w:r>
            <w:r>
              <w:rPr>
                <w:rFonts w:ascii="Times New Roman" w:cs="Times New Roman" w:eastAsia="Times New Roman" w:hAnsi="Times New Roman"/>
                <w:sz w:val="20"/>
                <w:szCs w:val="20"/>
                <w:color w:val="auto"/>
                <w:vertAlign w:val="superscript"/>
              </w:rPr>
              <w:t>(3)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1,010,198</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505,099</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1,483,101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1,988,200</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0.95%</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505,099</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1,483,101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1,988,200</w:t>
            </w:r>
          </w:p>
        </w:tc>
        <w:tc>
          <w:tcPr>
            <w:tcW w:w="7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0.95%</w:t>
            </w:r>
          </w:p>
        </w:tc>
        <w:tc>
          <w:tcPr>
            <w:tcW w:w="0" w:type="dxa"/>
            <w:vAlign w:val="bottom"/>
          </w:tcPr>
          <w:p>
            <w:pPr>
              <w:spacing w:after="0"/>
              <w:rPr>
                <w:sz w:val="1"/>
                <w:szCs w:val="1"/>
                <w:color w:val="auto"/>
              </w:rPr>
            </w:pPr>
          </w:p>
        </w:tc>
      </w:tr>
      <w:tr>
        <w:trPr>
          <w:trHeight w:val="135"/>
        </w:trPr>
        <w:tc>
          <w:tcPr>
            <w:tcW w:w="3240" w:type="dxa"/>
            <w:vAlign w:val="bottom"/>
            <w:gridSpan w:val="5"/>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Knowledge Networks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5"/>
          </w:tcPr>
          <w:p>
            <w:pPr>
              <w:ind w:left="360"/>
              <w:spacing w:after="0" w:line="135" w:lineRule="exact"/>
              <w:rPr>
                <w:sz w:val="20"/>
                <w:szCs w:val="20"/>
                <w:color w:val="auto"/>
              </w:rPr>
            </w:pPr>
            <w:r>
              <w:rPr>
                <w:rFonts w:ascii="Times New Roman" w:cs="Times New Roman" w:eastAsia="Times New Roman" w:hAnsi="Times New Roman"/>
                <w:sz w:val="13"/>
                <w:szCs w:val="13"/>
                <w:color w:val="auto"/>
              </w:rPr>
              <w:t>Maven Research, Inc.–Preferred shares, Series C</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318,979</w:t>
            </w: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2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Maven Research, Inc.–Preferred shares, Series B</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49,505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gridSpan w:val="5"/>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Knowledge Networks</w:t>
            </w: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72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Digital Media Platform</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5"/>
          </w:tcPr>
          <w:p>
            <w:pPr>
              <w:ind w:left="360"/>
              <w:spacing w:after="0" w:line="135" w:lineRule="exact"/>
              <w:rPr>
                <w:sz w:val="20"/>
                <w:szCs w:val="20"/>
                <w:color w:val="auto"/>
              </w:rPr>
            </w:pPr>
            <w:r>
              <w:rPr>
                <w:rFonts w:ascii="Times New Roman" w:cs="Times New Roman" w:eastAsia="Times New Roman" w:hAnsi="Times New Roman"/>
                <w:sz w:val="13"/>
                <w:szCs w:val="13"/>
                <w:color w:val="auto"/>
              </w:rPr>
              <w:t>Ozy Media, Inc.–Preferred shares, Series C-2 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683,482</w:t>
            </w: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Ozy Media, Inc.–Preferred shares, Series B 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922,509</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gridSpan w:val="5"/>
          </w:tcPr>
          <w:p>
            <w:pPr>
              <w:ind w:left="360"/>
              <w:spacing w:after="0" w:line="135" w:lineRule="exact"/>
              <w:rPr>
                <w:sz w:val="20"/>
                <w:szCs w:val="20"/>
                <w:color w:val="auto"/>
              </w:rPr>
            </w:pPr>
            <w:r>
              <w:rPr>
                <w:rFonts w:ascii="Times New Roman" w:cs="Times New Roman" w:eastAsia="Times New Roman" w:hAnsi="Times New Roman"/>
                <w:sz w:val="13"/>
                <w:szCs w:val="13"/>
                <w:color w:val="auto"/>
              </w:rPr>
              <w:t>Ozy Media, Inc.–Preferred shares, Series A 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1,090,909</w:t>
            </w: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2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Ozy Media, Inc.–Preferred shares, Series Seed 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500,000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gridSpan w:val="5"/>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Digital Media Platform</w:t>
            </w: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72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Interactive Learning</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40" w:type="dxa"/>
            <w:vAlign w:val="bottom"/>
            <w:gridSpan w:val="5"/>
          </w:tcPr>
          <w:p>
            <w:pPr>
              <w:ind w:left="360"/>
              <w:spacing w:after="0" w:line="176" w:lineRule="exact"/>
              <w:rPr>
                <w:sz w:val="20"/>
                <w:szCs w:val="20"/>
                <w:color w:val="auto"/>
              </w:rPr>
            </w:pPr>
            <w:r>
              <w:rPr>
                <w:rFonts w:ascii="Times New Roman" w:cs="Times New Roman" w:eastAsia="Times New Roman" w:hAnsi="Times New Roman"/>
                <w:sz w:val="13"/>
                <w:szCs w:val="13"/>
                <w:color w:val="auto"/>
              </w:rPr>
              <w:t>StormWind, LLC–Preferred shares, Series D 8%</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329,337</w:t>
            </w:r>
          </w:p>
        </w:tc>
        <w:tc>
          <w:tcPr>
            <w:tcW w:w="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621,093</w:t>
            </w:r>
          </w:p>
        </w:tc>
        <w:tc>
          <w:tcPr>
            <w:tcW w:w="6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(87,664)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533,429</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76"/>
        </w:trPr>
        <w:tc>
          <w:tcPr>
            <w:tcW w:w="3240" w:type="dxa"/>
            <w:vAlign w:val="bottom"/>
            <w:gridSpan w:val="5"/>
            <w:shd w:val="clear" w:color="auto" w:fill="CCEEFF"/>
          </w:tcPr>
          <w:p>
            <w:pPr>
              <w:ind w:left="360"/>
              <w:spacing w:after="0" w:line="176" w:lineRule="exact"/>
              <w:rPr>
                <w:sz w:val="20"/>
                <w:szCs w:val="20"/>
                <w:color w:val="auto"/>
              </w:rPr>
            </w:pPr>
            <w:r>
              <w:rPr>
                <w:rFonts w:ascii="Times New Roman" w:cs="Times New Roman" w:eastAsia="Times New Roman" w:hAnsi="Times New Roman"/>
                <w:sz w:val="13"/>
                <w:szCs w:val="13"/>
                <w:color w:val="auto"/>
              </w:rPr>
              <w:t>StormWind, LLC–Preferred shares, Series C 8%</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2,779,134</w:t>
            </w: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6,496,729</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(821,648)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5,675,081</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75"/>
        </w:trPr>
        <w:tc>
          <w:tcPr>
            <w:tcW w:w="3240" w:type="dxa"/>
            <w:vAlign w:val="bottom"/>
            <w:gridSpan w:val="5"/>
          </w:tcPr>
          <w:p>
            <w:pPr>
              <w:ind w:left="360"/>
              <w:spacing w:after="0" w:line="176" w:lineRule="exact"/>
              <w:rPr>
                <w:sz w:val="20"/>
                <w:szCs w:val="20"/>
                <w:color w:val="auto"/>
              </w:rPr>
            </w:pPr>
            <w:r>
              <w:rPr>
                <w:rFonts w:ascii="Times New Roman" w:cs="Times New Roman" w:eastAsia="Times New Roman" w:hAnsi="Times New Roman"/>
                <w:sz w:val="13"/>
                <w:szCs w:val="13"/>
                <w:color w:val="auto"/>
              </w:rPr>
              <w:t>StormWind, LLC–Preferred shares, Series B 8%</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3,279,629</w:t>
            </w:r>
          </w:p>
        </w:tc>
        <w:tc>
          <w:tcPr>
            <w:tcW w:w="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4,423,607</w:t>
            </w:r>
          </w:p>
        </w:tc>
        <w:tc>
          <w:tcPr>
            <w:tcW w:w="6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(872,976)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3,550,631</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89"/>
        </w:trPr>
        <w:tc>
          <w:tcPr>
            <w:tcW w:w="3240" w:type="dxa"/>
            <w:vAlign w:val="bottom"/>
            <w:gridSpan w:val="5"/>
            <w:shd w:val="clear" w:color="auto" w:fill="CCEEFF"/>
          </w:tcPr>
          <w:p>
            <w:pPr>
              <w:ind w:left="360"/>
              <w:spacing w:after="0" w:line="189" w:lineRule="exact"/>
              <w:rPr>
                <w:sz w:val="20"/>
                <w:szCs w:val="20"/>
                <w:color w:val="auto"/>
              </w:rPr>
            </w:pPr>
            <w:r>
              <w:rPr>
                <w:rFonts w:ascii="Times New Roman" w:cs="Times New Roman" w:eastAsia="Times New Roman" w:hAnsi="Times New Roman"/>
                <w:sz w:val="13"/>
                <w:szCs w:val="13"/>
                <w:color w:val="auto"/>
              </w:rPr>
              <w:t>StormWind, LLC–Preferred shares, Series A 8%</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366,666</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289,293</w:t>
            </w: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(97,599)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191,694</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gridSpan w:val="5"/>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Interactive Learning</w:t>
            </w: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5"/>
              </w:rPr>
              <w:t>11,830,722</w:t>
            </w:r>
          </w:p>
        </w:tc>
        <w:tc>
          <w:tcPr>
            <w:tcW w:w="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(1,879,887)</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9,950,835</w:t>
            </w:r>
          </w:p>
        </w:tc>
        <w:tc>
          <w:tcPr>
            <w:tcW w:w="180" w:type="dxa"/>
            <w:vAlign w:val="bottom"/>
            <w:vMerge w:val="continue"/>
          </w:tcPr>
          <w:p>
            <w:pPr>
              <w:spacing w:after="0"/>
              <w:rPr>
                <w:sz w:val="10"/>
                <w:szCs w:val="10"/>
                <w:color w:val="auto"/>
              </w:rPr>
            </w:pPr>
          </w:p>
        </w:tc>
        <w:tc>
          <w:tcPr>
            <w:tcW w:w="72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4.74%</w:t>
            </w: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w w:val="99"/>
              </w:rPr>
              <w:t>11,830,722</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(1,879,887)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9,950,835</w:t>
            </w:r>
          </w:p>
        </w:tc>
        <w:tc>
          <w:tcPr>
            <w:tcW w:w="72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3"/>
                <w:szCs w:val="13"/>
                <w:i w:val="1"/>
                <w:iCs w:val="1"/>
                <w:color w:val="auto"/>
              </w:rPr>
              <w:t>Digital Media Platform</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240" w:type="dxa"/>
            <w:vAlign w:val="bottom"/>
            <w:gridSpan w:val="5"/>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7"/>
              </w:rPr>
              <w:t>Ozy Media, Inc.–Common Warrants, Strike Price $0.01,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Expiration Date 4/9/2028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295,565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gridSpan w:val="5"/>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Global Innovation Platform</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40" w:type="dxa"/>
            <w:vAlign w:val="bottom"/>
            <w:gridSpan w:val="5"/>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5"/>
              </w:rPr>
              <w:t>OneValley, Inc. (f/k/a NestGSV, Inc.)–Preferred Warrant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8"/>
              </w:rPr>
              <w:t>Series B, Strike Price $2.31, Expiration Date 5/29/2022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(70,379)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70,379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240" w:type="dxa"/>
            <w:vAlign w:val="bottom"/>
            <w:gridSpan w:val="5"/>
          </w:tcPr>
          <w:p>
            <w:pPr>
              <w:ind w:left="360"/>
              <w:spacing w:after="0" w:line="117" w:lineRule="exact"/>
              <w:rPr>
                <w:sz w:val="20"/>
                <w:szCs w:val="20"/>
                <w:color w:val="auto"/>
              </w:rPr>
            </w:pPr>
            <w:r>
              <w:rPr>
                <w:rFonts w:ascii="Times New Roman" w:cs="Times New Roman" w:eastAsia="Times New Roman" w:hAnsi="Times New Roman"/>
                <w:sz w:val="13"/>
                <w:szCs w:val="13"/>
                <w:color w:val="auto"/>
                <w:w w:val="95"/>
              </w:rPr>
              <w:t>OneValley, Inc. (f/k/a NestGSV, Inc.)–Preferred Warrant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240" w:type="dxa"/>
            <w:vAlign w:val="bottom"/>
            <w:gridSpan w:val="5"/>
          </w:tcPr>
          <w:p>
            <w:pPr>
              <w:ind w:left="360"/>
              <w:spacing w:after="0"/>
              <w:rPr>
                <w:sz w:val="20"/>
                <w:szCs w:val="20"/>
                <w:color w:val="auto"/>
              </w:rPr>
            </w:pPr>
            <w:r>
              <w:rPr>
                <w:rFonts w:ascii="Times New Roman" w:cs="Times New Roman" w:eastAsia="Times New Roman" w:hAnsi="Times New Roman"/>
                <w:sz w:val="13"/>
                <w:szCs w:val="13"/>
                <w:color w:val="auto"/>
                <w:w w:val="96"/>
              </w:rPr>
              <w:t>Series B, Strike Price $2.31, Expiration Date 12/31/2023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250,000</w:t>
            </w: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5,000</w:t>
            </w:r>
          </w:p>
        </w:tc>
        <w:tc>
          <w:tcPr>
            <w:tcW w:w="6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3240" w:type="dxa"/>
            <w:vAlign w:val="bottom"/>
            <w:gridSpan w:val="5"/>
            <w:shd w:val="clear" w:color="auto" w:fill="CCEEFF"/>
          </w:tcPr>
          <w:p>
            <w:pPr>
              <w:ind w:left="360"/>
              <w:spacing w:after="0" w:line="132" w:lineRule="exact"/>
              <w:rPr>
                <w:sz w:val="20"/>
                <w:szCs w:val="20"/>
                <w:color w:val="auto"/>
              </w:rPr>
            </w:pPr>
            <w:r>
              <w:rPr>
                <w:rFonts w:ascii="Times New Roman" w:cs="Times New Roman" w:eastAsia="Times New Roman" w:hAnsi="Times New Roman"/>
                <w:sz w:val="13"/>
                <w:szCs w:val="13"/>
                <w:color w:val="auto"/>
              </w:rPr>
              <w:t>OneValley, Inc. (f/k/a NestGSV, Inc.)–Derivative</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240" w:type="dxa"/>
            <w:vAlign w:val="bottom"/>
            <w:gridSpan w:val="5"/>
            <w:shd w:val="clear" w:color="auto" w:fill="CCEEFF"/>
          </w:tcPr>
          <w:p>
            <w:pPr>
              <w:ind w:left="360"/>
              <w:spacing w:after="0" w:line="200" w:lineRule="exact"/>
              <w:rPr>
                <w:sz w:val="20"/>
                <w:szCs w:val="20"/>
                <w:color w:val="auto"/>
              </w:rPr>
            </w:pPr>
            <w:r>
              <w:rPr>
                <w:rFonts w:ascii="Times New Roman" w:cs="Times New Roman" w:eastAsia="Times New Roman" w:hAnsi="Times New Roman"/>
                <w:sz w:val="13"/>
                <w:szCs w:val="13"/>
                <w:color w:val="auto"/>
              </w:rPr>
              <w:t>Security, Expiration Date 8/23/2024</w:t>
            </w:r>
            <w:r>
              <w:rPr>
                <w:rFonts w:ascii="Times New Roman" w:cs="Times New Roman" w:eastAsia="Times New Roman" w:hAnsi="Times New Roman"/>
                <w:sz w:val="20"/>
                <w:szCs w:val="20"/>
                <w:color w:val="auto"/>
                <w:vertAlign w:val="superscript"/>
              </w:rPr>
              <w:t>(6)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2,268,268</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(1,616,141)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652,127</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gridSpan w:val="5"/>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Global Innovation Platform</w:t>
            </w: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2,273,268</w:t>
            </w:r>
          </w:p>
        </w:tc>
        <w:tc>
          <w:tcPr>
            <w:tcW w:w="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52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(70,379)</w:t>
            </w: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(1,550,762)</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652,127</w:t>
            </w:r>
          </w:p>
        </w:tc>
        <w:tc>
          <w:tcPr>
            <w:tcW w:w="180" w:type="dxa"/>
            <w:vAlign w:val="bottom"/>
            <w:vMerge w:val="continue"/>
          </w:tcPr>
          <w:p>
            <w:pPr>
              <w:spacing w:after="0"/>
              <w:rPr>
                <w:sz w:val="10"/>
                <w:szCs w:val="10"/>
                <w:color w:val="auto"/>
              </w:rPr>
            </w:pPr>
          </w:p>
        </w:tc>
        <w:tc>
          <w:tcPr>
            <w:tcW w:w="72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162"/>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Options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2,273,268</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(70,379)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(1,550,762)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652,127</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162"/>
        </w:trPr>
        <w:tc>
          <w:tcPr>
            <w:tcW w:w="32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40" w:type="dxa"/>
            <w:vAlign w:val="bottom"/>
            <w:gridSpan w:val="5"/>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Online Education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40" w:type="dxa"/>
            <w:vAlign w:val="bottom"/>
            <w:gridSpan w:val="5"/>
          </w:tcPr>
          <w:p>
            <w:pPr>
              <w:ind w:left="360"/>
              <w:spacing w:after="0"/>
              <w:rPr>
                <w:sz w:val="20"/>
                <w:szCs w:val="20"/>
                <w:color w:val="auto"/>
              </w:rPr>
            </w:pPr>
            <w:r>
              <w:rPr>
                <w:rFonts w:ascii="Times New Roman" w:cs="Times New Roman" w:eastAsia="Times New Roman" w:hAnsi="Times New Roman"/>
                <w:sz w:val="13"/>
                <w:szCs w:val="13"/>
                <w:color w:val="auto"/>
              </w:rPr>
              <w:t>Curious.com, Inc.–Common 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1,135,944</w:t>
            </w: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Common Stock</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6"/>
        </w:trPr>
        <w:tc>
          <w:tcPr>
            <w:tcW w:w="3240" w:type="dxa"/>
            <w:vAlign w:val="bottom"/>
            <w:tcBorders>
              <w:top w:val="single" w:sz="8" w:color="CCEEFF"/>
            </w:tcBorders>
            <w:gridSpan w:val="5"/>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TOTAL NON-CONTROLLED/AFFILIATE</w:t>
            </w:r>
          </w:p>
        </w:tc>
        <w:tc>
          <w:tcPr>
            <w:tcW w:w="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60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240" w:type="dxa"/>
            <w:vAlign w:val="bottom"/>
            <w:gridSpan w:val="5"/>
          </w:tcPr>
          <w:p>
            <w:pPr>
              <w:spacing w:after="0" w:line="215"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14,609,089</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2"/>
                <w:szCs w:val="12"/>
                <w:b w:val="1"/>
                <w:bCs w:val="1"/>
                <w:color w:val="auto"/>
              </w:rPr>
              <w:t>(70,379</w:t>
            </w:r>
            <w:r>
              <w:rPr>
                <w:rFonts w:ascii="Times New Roman" w:cs="Times New Roman" w:eastAsia="Times New Roman" w:hAnsi="Times New Roman"/>
                <w:sz w:val="24"/>
                <w:szCs w:val="24"/>
                <w:b w:val="1"/>
                <w:bCs w:val="1"/>
                <w:color w:val="auto"/>
                <w:vertAlign w:val="superscript"/>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2"/>
                <w:szCs w:val="12"/>
                <w:b w:val="1"/>
                <w:bCs w:val="1"/>
                <w:color w:val="auto"/>
              </w:rPr>
              <w:t>(1,947,548</w:t>
            </w:r>
            <w:r>
              <w:rPr>
                <w:rFonts w:ascii="Times New Roman" w:cs="Times New Roman" w:eastAsia="Times New Roman" w:hAnsi="Times New Roman"/>
                <w:sz w:val="24"/>
                <w:szCs w:val="24"/>
                <w:b w:val="1"/>
                <w:bCs w:val="1"/>
                <w:color w:val="auto"/>
                <w:vertAlign w:val="superscript"/>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12,591,162</w:t>
            </w:r>
          </w:p>
        </w:tc>
        <w:tc>
          <w:tcPr>
            <w:tcW w:w="7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2"/>
                <w:szCs w:val="12"/>
                <w:b w:val="1"/>
                <w:bCs w:val="1"/>
                <w:color w:val="auto"/>
              </w:rPr>
              <w:t>6.00</w:t>
            </w:r>
            <w:r>
              <w:rPr>
                <w:rFonts w:ascii="Times New Roman" w:cs="Times New Roman" w:eastAsia="Times New Roman" w:hAnsi="Times New Roman"/>
                <w:sz w:val="24"/>
                <w:szCs w:val="24"/>
                <w:b w:val="1"/>
                <w:bCs w:val="1"/>
                <w:color w:val="auto"/>
                <w:vertAlign w:val="superscript"/>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340" w:hanging="332"/>
        <w:spacing w:after="0" w:line="255"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89" w:lineRule="exact"/>
        <w:rPr>
          <w:sz w:val="20"/>
          <w:szCs w:val="20"/>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1940 Act. Of the Company’s total investments as of December 31, 2022, 14.47%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66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dule of Investments In, and Advances to, Affiliates</w:t>
      </w:r>
    </w:p>
    <w:p>
      <w:pPr>
        <w:spacing w:after="0" w:line="229" w:lineRule="exact"/>
        <w:rPr>
          <w:sz w:val="20"/>
          <w:szCs w:val="20"/>
          <w:color w:val="auto"/>
        </w:rPr>
      </w:pPr>
    </w:p>
    <w:p>
      <w:pPr>
        <w:ind w:left="100" w:right="20" w:firstLine="364"/>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2021 involving the Company’s controlled investments and non-controlled/affiliate investments were as follows:</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Purchases,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Fees, or</w:t>
            </w:r>
          </w:p>
        </w:tc>
        <w:tc>
          <w:tcPr>
            <w:tcW w:w="8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Dividends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Fees,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at</w:t>
            </w: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Percentage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Principal/</w:t>
            </w:r>
          </w:p>
        </w:tc>
        <w:tc>
          <w:tcPr>
            <w:tcW w:w="6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Credited</w:t>
            </w:r>
          </w:p>
        </w:tc>
        <w:tc>
          <w:tcPr>
            <w:tcW w:w="8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Transfer</w:t>
            </w:r>
          </w:p>
        </w:tc>
        <w:tc>
          <w:tcPr>
            <w:tcW w:w="8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6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of Net</w:t>
            </w:r>
          </w:p>
        </w:tc>
        <w:tc>
          <w:tcPr>
            <w:tcW w:w="0" w:type="dxa"/>
            <w:vAlign w:val="bottom"/>
          </w:tcPr>
          <w:p>
            <w:pPr>
              <w:spacing w:after="0"/>
              <w:rPr>
                <w:sz w:val="1"/>
                <w:szCs w:val="1"/>
                <w:color w:val="auto"/>
              </w:rPr>
            </w:pPr>
          </w:p>
        </w:tc>
      </w:tr>
      <w:tr>
        <w:trPr>
          <w:trHeight w:val="162"/>
        </w:trPr>
        <w:tc>
          <w:tcPr>
            <w:tcW w:w="28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Type/Industry/Portfolio Company/Investment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Quantity</w:t>
            </w: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31, 2020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(Out)</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Gains/(Losses)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Gains/(Losses)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31, 2021</w:t>
            </w:r>
          </w:p>
        </w:tc>
        <w:tc>
          <w:tcPr>
            <w:tcW w:w="1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08"/>
        </w:trPr>
        <w:tc>
          <w:tcPr>
            <w:tcW w:w="192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6"/>
              </w:rPr>
              <w:t>CONTROLLED INVESTMENTS*</w:t>
            </w:r>
          </w:p>
        </w:tc>
        <w:tc>
          <w:tcPr>
            <w:tcW w:w="120" w:type="dxa"/>
            <w:vAlign w:val="bottom"/>
            <w:tcBorders>
              <w:top w:val="single" w:sz="8" w:color="auto"/>
              <w:bottom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(2)</w:t>
            </w:r>
          </w:p>
        </w:tc>
        <w:tc>
          <w:tcPr>
            <w:tcW w:w="78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920" w:type="dxa"/>
            <w:vAlign w:val="bottom"/>
            <w:tcBorders>
              <w:bottom w:val="single" w:sz="8" w:color="auto"/>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20" w:type="dxa"/>
            <w:vAlign w:val="bottom"/>
            <w:gridSpan w:val="6"/>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Special Purpose Acquisition Company</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2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3"/>
                <w:szCs w:val="13"/>
                <w:color w:val="auto"/>
              </w:rPr>
              <w:t>Colombier Sponsor LLC**–Class W Units</w:t>
            </w:r>
            <w:r>
              <w:rPr>
                <w:rFonts w:ascii="Times New Roman" w:cs="Times New Roman" w:eastAsia="Times New Roman" w:hAnsi="Times New Roman"/>
                <w:sz w:val="20"/>
                <w:szCs w:val="20"/>
                <w:color w:val="auto"/>
                <w:vertAlign w:val="superscript"/>
              </w:rPr>
              <w:t>(9)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2,700,000</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1,159,150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(1,663)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1,157,487</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0.32%</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Options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1,159,150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(1,663)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1,157,487</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0" w:type="dxa"/>
            <w:vAlign w:val="bottom"/>
          </w:tcPr>
          <w:p>
            <w:pPr>
              <w:spacing w:after="0"/>
              <w:rPr>
                <w:sz w:val="1"/>
                <w:szCs w:val="1"/>
                <w:color w:val="auto"/>
              </w:rPr>
            </w:pPr>
          </w:p>
        </w:tc>
      </w:tr>
      <w:tr>
        <w:trPr>
          <w:trHeight w:val="135"/>
        </w:trPr>
        <w:tc>
          <w:tcPr>
            <w:tcW w:w="2820" w:type="dxa"/>
            <w:vAlign w:val="bottom"/>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Clean Technology</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20" w:type="dxa"/>
            <w:vAlign w:val="bottom"/>
            <w:gridSpan w:val="6"/>
          </w:tcPr>
          <w:p>
            <w:pPr>
              <w:ind w:left="180"/>
              <w:spacing w:after="0" w:line="124" w:lineRule="exact"/>
              <w:rPr>
                <w:sz w:val="20"/>
                <w:szCs w:val="20"/>
                <w:color w:val="auto"/>
              </w:rPr>
            </w:pPr>
            <w:r>
              <w:rPr>
                <w:rFonts w:ascii="Times New Roman" w:cs="Times New Roman" w:eastAsia="Times New Roman" w:hAnsi="Times New Roman"/>
                <w:sz w:val="13"/>
                <w:szCs w:val="13"/>
                <w:color w:val="auto"/>
              </w:rPr>
              <w:t>SPBRX, INC. (f/k/a GSV Sustainability Partners,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820" w:type="dxa"/>
            <w:vAlign w:val="bottom"/>
            <w:gridSpan w:val="6"/>
          </w:tcPr>
          <w:p>
            <w:pPr>
              <w:ind w:left="180"/>
              <w:spacing w:after="0" w:line="186" w:lineRule="exact"/>
              <w:rPr>
                <w:sz w:val="20"/>
                <w:szCs w:val="20"/>
                <w:color w:val="auto"/>
              </w:rPr>
            </w:pPr>
            <w:r>
              <w:rPr>
                <w:rFonts w:ascii="Times New Roman" w:cs="Times New Roman" w:eastAsia="Times New Roman" w:hAnsi="Times New Roman"/>
                <w:sz w:val="13"/>
                <w:szCs w:val="13"/>
                <w:color w:val="auto"/>
              </w:rPr>
              <w:t>Inc.)–Preferred shares, Class A</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14,300,000</w:t>
            </w:r>
          </w:p>
        </w:tc>
        <w:tc>
          <w:tcPr>
            <w:tcW w:w="60" w:type="dxa"/>
            <w:vAlign w:val="bottom"/>
          </w:tcPr>
          <w:p>
            <w:pPr>
              <w:spacing w:after="0"/>
              <w:rPr>
                <w:sz w:val="16"/>
                <w:szCs w:val="16"/>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809,198</w:t>
            </w:r>
          </w:p>
        </w:tc>
        <w:tc>
          <w:tcPr>
            <w:tcW w:w="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237,835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1,047,033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809,198</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237,835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1,047,033</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35"/>
        </w:trPr>
        <w:tc>
          <w:tcPr>
            <w:tcW w:w="2820" w:type="dxa"/>
            <w:vAlign w:val="bottom"/>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Clean Technology</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20" w:type="dxa"/>
            <w:vAlign w:val="bottom"/>
            <w:gridSpan w:val="6"/>
          </w:tcPr>
          <w:p>
            <w:pPr>
              <w:ind w:left="360"/>
              <w:spacing w:after="0" w:line="117" w:lineRule="exact"/>
              <w:rPr>
                <w:sz w:val="20"/>
                <w:szCs w:val="20"/>
                <w:color w:val="auto"/>
              </w:rPr>
            </w:pPr>
            <w:r>
              <w:rPr>
                <w:rFonts w:ascii="Times New Roman" w:cs="Times New Roman" w:eastAsia="Times New Roman" w:hAnsi="Times New Roman"/>
                <w:sz w:val="13"/>
                <w:szCs w:val="13"/>
                <w:color w:val="auto"/>
              </w:rPr>
              <w:t>SPBRX, INC. (f/k/a GSV Sustainability</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3"/>
                <w:szCs w:val="13"/>
                <w:color w:val="auto"/>
              </w:rPr>
              <w:t>Partners, Inc.)–Common 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100,000</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Mobile Finance Technology</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20" w:type="dxa"/>
            <w:vAlign w:val="bottom"/>
            <w:gridSpan w:val="6"/>
          </w:tcPr>
          <w:p>
            <w:pPr>
              <w:ind w:left="360"/>
              <w:spacing w:after="0" w:line="124" w:lineRule="exact"/>
              <w:rPr>
                <w:sz w:val="20"/>
                <w:szCs w:val="20"/>
                <w:color w:val="auto"/>
              </w:rPr>
            </w:pPr>
            <w:r>
              <w:rPr>
                <w:rFonts w:ascii="Times New Roman" w:cs="Times New Roman" w:eastAsia="Times New Roman" w:hAnsi="Times New Roman"/>
                <w:sz w:val="13"/>
                <w:szCs w:val="13"/>
                <w:color w:val="auto"/>
              </w:rPr>
              <w:t>Architect Capital PayJoy SPV, LLC**–</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820" w:type="dxa"/>
            <w:vAlign w:val="bottom"/>
            <w:gridSpan w:val="6"/>
          </w:tcPr>
          <w:p>
            <w:pPr>
              <w:ind w:left="360"/>
              <w:spacing w:after="0" w:line="186" w:lineRule="exact"/>
              <w:rPr>
                <w:sz w:val="20"/>
                <w:szCs w:val="20"/>
                <w:color w:val="auto"/>
              </w:rPr>
            </w:pPr>
            <w:r>
              <w:rPr>
                <w:rFonts w:ascii="Times New Roman" w:cs="Times New Roman" w:eastAsia="Times New Roman" w:hAnsi="Times New Roman"/>
                <w:sz w:val="13"/>
                <w:szCs w:val="13"/>
                <w:color w:val="auto"/>
              </w:rPr>
              <w:t>Membership Interest in Lending SPV***</w:t>
            </w:r>
            <w:r>
              <w:rPr>
                <w:rFonts w:ascii="Times New Roman" w:cs="Times New Roman" w:eastAsia="Times New Roman" w:hAnsi="Times New Roman"/>
                <w:sz w:val="20"/>
                <w:szCs w:val="20"/>
                <w:color w:val="auto"/>
                <w:vertAlign w:val="superscript"/>
              </w:rPr>
              <w:t>(7)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10,000,000</w:t>
            </w:r>
          </w:p>
        </w:tc>
        <w:tc>
          <w:tcPr>
            <w:tcW w:w="60" w:type="dxa"/>
            <w:vAlign w:val="bottom"/>
          </w:tcPr>
          <w:p>
            <w:pPr>
              <w:spacing w:after="0"/>
              <w:rPr>
                <w:sz w:val="16"/>
                <w:szCs w:val="16"/>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390,000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10,006,745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(6,745)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5"/>
              </w:rPr>
              <w:t>10,000,000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Special Purpose Acquisition Company</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2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3"/>
                <w:szCs w:val="13"/>
                <w:color w:val="auto"/>
              </w:rPr>
              <w:t>Colombier Sponsor LLC**–Class B Units</w:t>
            </w:r>
            <w:r>
              <w:rPr>
                <w:rFonts w:ascii="Times New Roman" w:cs="Times New Roman" w:eastAsia="Times New Roman" w:hAnsi="Times New Roman"/>
                <w:sz w:val="20"/>
                <w:szCs w:val="20"/>
                <w:color w:val="auto"/>
                <w:vertAlign w:val="superscript"/>
              </w:rPr>
              <w:t>(9)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1,976,033</w:t>
            </w:r>
          </w:p>
        </w:tc>
        <w:tc>
          <w:tcPr>
            <w:tcW w:w="60" w:type="dxa"/>
            <w:vAlign w:val="bottom"/>
          </w:tcPr>
          <w:p>
            <w:pPr>
              <w:spacing w:after="0"/>
              <w:rPr>
                <w:sz w:val="15"/>
                <w:szCs w:val="15"/>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1,556,587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(2,233)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1,554,354</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0.43%</w:t>
            </w:r>
          </w:p>
        </w:tc>
        <w:tc>
          <w:tcPr>
            <w:tcW w:w="0" w:type="dxa"/>
            <w:vAlign w:val="bottom"/>
          </w:tcPr>
          <w:p>
            <w:pPr>
              <w:spacing w:after="0"/>
              <w:rPr>
                <w:sz w:val="1"/>
                <w:szCs w:val="1"/>
                <w:color w:val="auto"/>
              </w:rPr>
            </w:pPr>
          </w:p>
        </w:tc>
      </w:tr>
      <w:tr>
        <w:trPr>
          <w:trHeight w:val="148"/>
        </w:trPr>
        <w:tc>
          <w:tcPr>
            <w:tcW w:w="2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Common Stock</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390,000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11,563,332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(8,978)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11,554,354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gridSpan w:val="6"/>
            <w:vMerge w:val="restart"/>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TOTAL CONTROLLED INVESTMENTS*</w:t>
            </w:r>
            <w:r>
              <w:rPr>
                <w:rFonts w:ascii="Times New Roman" w:cs="Times New Roman" w:eastAsia="Times New Roman" w:hAnsi="Times New Roman"/>
                <w:sz w:val="19"/>
                <w:szCs w:val="19"/>
                <w:b w:val="1"/>
                <w:bCs w:val="1"/>
                <w:color w:val="auto"/>
                <w:vertAlign w:val="superscript"/>
              </w:rPr>
              <w:t>(2)</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390,000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809,198</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12,722,482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227,194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13,758,874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3.78%</w:t>
            </w:r>
          </w:p>
        </w:tc>
        <w:tc>
          <w:tcPr>
            <w:tcW w:w="0" w:type="dxa"/>
            <w:vAlign w:val="bottom"/>
          </w:tcPr>
          <w:p>
            <w:pPr>
              <w:spacing w:after="0"/>
              <w:rPr>
                <w:sz w:val="1"/>
                <w:szCs w:val="1"/>
                <w:color w:val="auto"/>
              </w:rPr>
            </w:pPr>
          </w:p>
        </w:tc>
      </w:tr>
      <w:tr>
        <w:trPr>
          <w:trHeight w:val="102"/>
        </w:trPr>
        <w:tc>
          <w:tcPr>
            <w:tcW w:w="2820" w:type="dxa"/>
            <w:vAlign w:val="bottom"/>
            <w:tcBorders>
              <w:top w:val="single" w:sz="8" w:color="CCEEFF"/>
            </w:tcBorders>
            <w:gridSpan w:val="6"/>
            <w:shd w:val="clear" w:color="auto" w:fill="CCEEFF"/>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NON-CONTROLLED/AFFILIATE</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98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4"/>
              </w:rPr>
              <w:t>INVESTMENTS*</w:t>
            </w:r>
          </w:p>
        </w:tc>
        <w:tc>
          <w:tcPr>
            <w:tcW w:w="1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85"/>
              </w:rPr>
              <w:t>(1)</w:t>
            </w:r>
          </w:p>
        </w:tc>
        <w:tc>
          <w:tcPr>
            <w:tcW w:w="840" w:type="dxa"/>
            <w:vAlign w:val="bottom"/>
            <w:tcBorders>
              <w:top w:val="single" w:sz="8" w:color="auto"/>
              <w:bottom w:val="single" w:sz="8" w:color="auto"/>
            </w:tcBorders>
            <w:gridSpan w:val="2"/>
            <w:vMerge w:val="restart"/>
            <w:shd w:val="clear" w:color="auto" w:fill="CCEEFF"/>
          </w:tcPr>
          <w:p>
            <w:pPr>
              <w:spacing w:after="0"/>
              <w:rPr>
                <w:sz w:val="8"/>
                <w:szCs w:val="8"/>
                <w:color w:val="auto"/>
              </w:rPr>
            </w:pPr>
          </w:p>
        </w:tc>
        <w:tc>
          <w:tcPr>
            <w:tcW w:w="880" w:type="dxa"/>
            <w:vAlign w:val="bottom"/>
            <w:tcBorders>
              <w:top w:val="single" w:sz="8" w:color="CCEEFF"/>
              <w:bottom w:val="single" w:sz="8" w:color="CCEEFF"/>
            </w:tcBorders>
            <w:gridSpan w:val="2"/>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7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980" w:type="dxa"/>
            <w:vAlign w:val="bottom"/>
            <w:tcBorders>
              <w:bottom w:val="single" w:sz="8" w:color="auto"/>
            </w:tcBorders>
            <w:vMerge w:val="continue"/>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8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6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20" w:type="dxa"/>
            <w:vAlign w:val="bottom"/>
            <w:gridSpan w:val="6"/>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Corporate Education</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20" w:type="dxa"/>
            <w:vAlign w:val="bottom"/>
            <w:gridSpan w:val="6"/>
          </w:tcPr>
          <w:p>
            <w:pPr>
              <w:ind w:left="360"/>
              <w:spacing w:after="0" w:line="117" w:lineRule="exact"/>
              <w:rPr>
                <w:sz w:val="20"/>
                <w:szCs w:val="20"/>
                <w:color w:val="auto"/>
              </w:rPr>
            </w:pPr>
            <w:r>
              <w:rPr>
                <w:rFonts w:ascii="Times New Roman" w:cs="Times New Roman" w:eastAsia="Times New Roman" w:hAnsi="Times New Roman"/>
                <w:sz w:val="13"/>
                <w:szCs w:val="13"/>
                <w:color w:val="auto"/>
              </w:rPr>
              <w:t>CUX, Inc. (d/b/a CorpU)–Senior Subordinated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3"/>
                <w:szCs w:val="13"/>
                <w:color w:val="auto"/>
                <w:w w:val="96"/>
              </w:rPr>
              <w:t>Convertible Promissory Note 4% Due 2/14/2023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312,790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5"/>
              </w:rPr>
              <w:t>(1,344,981)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88,789</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943,402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Global Innovation Platform</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20" w:type="dxa"/>
            <w:vAlign w:val="bottom"/>
            <w:gridSpan w:val="6"/>
          </w:tcPr>
          <w:p>
            <w:pPr>
              <w:ind w:left="360"/>
              <w:spacing w:after="0" w:line="117" w:lineRule="exact"/>
              <w:rPr>
                <w:sz w:val="20"/>
                <w:szCs w:val="20"/>
                <w:color w:val="auto"/>
              </w:rPr>
            </w:pPr>
            <w:r>
              <w:rPr>
                <w:rFonts w:ascii="Times New Roman" w:cs="Times New Roman" w:eastAsia="Times New Roman" w:hAnsi="Times New Roman"/>
                <w:sz w:val="13"/>
                <w:szCs w:val="13"/>
                <w:color w:val="auto"/>
              </w:rPr>
              <w:t>OneValley, Inc. (f/k/a NestGSV, Inc.)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20" w:type="dxa"/>
            <w:vAlign w:val="bottom"/>
            <w:gridSpan w:val="6"/>
          </w:tcPr>
          <w:p>
            <w:pPr>
              <w:ind w:left="360"/>
              <w:spacing w:after="0" w:line="143" w:lineRule="exact"/>
              <w:rPr>
                <w:sz w:val="20"/>
                <w:szCs w:val="20"/>
                <w:color w:val="auto"/>
              </w:rPr>
            </w:pPr>
            <w:r>
              <w:rPr>
                <w:rFonts w:ascii="Times New Roman" w:cs="Times New Roman" w:eastAsia="Times New Roman" w:hAnsi="Times New Roman"/>
                <w:sz w:val="13"/>
                <w:szCs w:val="13"/>
                <w:color w:val="auto"/>
              </w:rPr>
              <w:t>Convertible Promissory Note 8% Due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20" w:type="dxa"/>
            <w:vAlign w:val="bottom"/>
            <w:gridSpan w:val="3"/>
          </w:tcPr>
          <w:p>
            <w:pPr>
              <w:ind w:left="360"/>
              <w:spacing w:after="0" w:line="186" w:lineRule="exact"/>
              <w:rPr>
                <w:sz w:val="20"/>
                <w:szCs w:val="20"/>
                <w:color w:val="auto"/>
              </w:rPr>
            </w:pPr>
            <w:r>
              <w:rPr>
                <w:rFonts w:ascii="Times New Roman" w:cs="Times New Roman" w:eastAsia="Times New Roman" w:hAnsi="Times New Roman"/>
                <w:sz w:val="13"/>
                <w:szCs w:val="13"/>
                <w:color w:val="auto"/>
              </w:rPr>
              <w:t>8/23/2024</w:t>
            </w:r>
            <w:r>
              <w:rPr>
                <w:rFonts w:ascii="Times New Roman" w:cs="Times New Roman" w:eastAsia="Times New Roman" w:hAnsi="Times New Roman"/>
                <w:sz w:val="20"/>
                <w:szCs w:val="20"/>
                <w:color w:val="auto"/>
                <w:vertAlign w:val="superscript"/>
              </w:rPr>
              <w:t>(3)(6)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1,010,198</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505,099</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505,099</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817,889</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w w:val="95"/>
              </w:rPr>
              <w:t>(1,344,981)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88,789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943,402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505,099</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35"/>
        </w:trPr>
        <w:tc>
          <w:tcPr>
            <w:tcW w:w="2820" w:type="dxa"/>
            <w:vAlign w:val="bottom"/>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Corporate Education</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20" w:type="dxa"/>
            <w:vAlign w:val="bottom"/>
            <w:gridSpan w:val="6"/>
          </w:tcPr>
          <w:p>
            <w:pPr>
              <w:ind w:left="360"/>
              <w:spacing w:after="0" w:line="117" w:lineRule="exact"/>
              <w:rPr>
                <w:sz w:val="20"/>
                <w:szCs w:val="20"/>
                <w:color w:val="auto"/>
              </w:rPr>
            </w:pPr>
            <w:r>
              <w:rPr>
                <w:rFonts w:ascii="Times New Roman" w:cs="Times New Roman" w:eastAsia="Times New Roman" w:hAnsi="Times New Roman"/>
                <w:sz w:val="13"/>
                <w:szCs w:val="13"/>
                <w:color w:val="auto"/>
                <w:w w:val="97"/>
              </w:rPr>
              <w:t>CUX, Inc. (d/b/a CorpU)–Convertible preferred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3"/>
                <w:szCs w:val="13"/>
                <w:color w:val="auto"/>
              </w:rPr>
              <w:t>shares, Series D 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73,882</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5"/>
              </w:rPr>
              <w:t>(1,159,243)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380,636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704,725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20" w:type="dxa"/>
            <w:vAlign w:val="bottom"/>
            <w:gridSpan w:val="6"/>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7"/>
              </w:rPr>
              <w:t>CUX, Inc. (d/b/a CorpU) -Convertible preferred</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shares, Series C 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5"/>
              </w:rPr>
              <w:t>(3,504,871)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1,498,794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2,006,077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gridSpan w:val="6"/>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Corporate Education</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73,882</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4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88"/>
              </w:rPr>
              <w:t>(4,664,114)</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1,879,430</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2,710,802</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7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Knowledge Networks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6"/>
          </w:tcPr>
          <w:p>
            <w:pPr>
              <w:ind w:left="360"/>
              <w:spacing w:after="0" w:line="135" w:lineRule="exact"/>
              <w:rPr>
                <w:sz w:val="20"/>
                <w:szCs w:val="20"/>
                <w:color w:val="auto"/>
              </w:rPr>
            </w:pPr>
            <w:r>
              <w:rPr>
                <w:rFonts w:ascii="Times New Roman" w:cs="Times New Roman" w:eastAsia="Times New Roman" w:hAnsi="Times New Roman"/>
                <w:sz w:val="13"/>
                <w:szCs w:val="13"/>
                <w:color w:val="auto"/>
                <w:w w:val="95"/>
              </w:rPr>
              <w:t>Maven Research, Inc.–Preferred shares, Series C</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318,979</w:t>
            </w:r>
          </w:p>
        </w:tc>
        <w:tc>
          <w:tcPr>
            <w:tcW w:w="60" w:type="dxa"/>
            <w:vAlign w:val="bottom"/>
          </w:tcPr>
          <w:p>
            <w:pPr>
              <w:spacing w:after="0"/>
              <w:rPr>
                <w:sz w:val="11"/>
                <w:szCs w:val="11"/>
                <w:color w:val="auto"/>
              </w:rPr>
            </w:pPr>
          </w:p>
        </w:tc>
        <w:tc>
          <w:tcPr>
            <w:tcW w:w="56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8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5"/>
              </w:rPr>
              <w:t>Maven Research, Inc.–Preferred shares, Series B</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49,505</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gridSpan w:val="6"/>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Knowledge Networks</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4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7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Digital Media Platform</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20" w:type="dxa"/>
            <w:vAlign w:val="bottom"/>
            <w:gridSpan w:val="6"/>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Inc.–Preferred shares, Series C-2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683,482</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1,865,547</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(1,865,547)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w w:val="99"/>
              </w:rPr>
              <w:t>Ozy Media, Inc.–Preferred shares, Series B 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922,509</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3,350,952</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(3,350,952)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20" w:type="dxa"/>
            <w:vAlign w:val="bottom"/>
            <w:gridSpan w:val="6"/>
          </w:tcPr>
          <w:p>
            <w:pPr>
              <w:ind w:left="360"/>
              <w:spacing w:after="0" w:line="135" w:lineRule="exact"/>
              <w:rPr>
                <w:sz w:val="20"/>
                <w:szCs w:val="20"/>
                <w:color w:val="auto"/>
              </w:rPr>
            </w:pPr>
            <w:r>
              <w:rPr>
                <w:rFonts w:ascii="Times New Roman" w:cs="Times New Roman" w:eastAsia="Times New Roman" w:hAnsi="Times New Roman"/>
                <w:sz w:val="13"/>
                <w:szCs w:val="13"/>
                <w:color w:val="auto"/>
                <w:w w:val="98"/>
              </w:rPr>
              <w:t>Ozy Media, Inc.–Preferred shares, Series A 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1,090,909</w:t>
            </w:r>
          </w:p>
        </w:tc>
        <w:tc>
          <w:tcPr>
            <w:tcW w:w="60" w:type="dxa"/>
            <w:vAlign w:val="bottom"/>
          </w:tcPr>
          <w:p>
            <w:pPr>
              <w:spacing w:after="0"/>
              <w:rPr>
                <w:sz w:val="11"/>
                <w:szCs w:val="11"/>
                <w:color w:val="auto"/>
              </w:rPr>
            </w:pPr>
          </w:p>
        </w:tc>
        <w:tc>
          <w:tcPr>
            <w:tcW w:w="56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2,824,679</w:t>
            </w:r>
          </w:p>
        </w:tc>
        <w:tc>
          <w:tcPr>
            <w:tcW w:w="60" w:type="dxa"/>
            <w:vAlign w:val="bottom"/>
          </w:tcPr>
          <w:p>
            <w:pPr>
              <w:spacing w:after="0"/>
              <w:rPr>
                <w:sz w:val="11"/>
                <w:szCs w:val="11"/>
                <w:color w:val="auto"/>
              </w:rPr>
            </w:pPr>
          </w:p>
        </w:tc>
        <w:tc>
          <w:tcPr>
            <w:tcW w:w="74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(2,824,679)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20" w:type="dxa"/>
            <w:vAlign w:val="bottom"/>
            <w:gridSpan w:val="6"/>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Inc.–Preferred shares, Series Seed</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500,000</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1,294,645</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(1,294,645)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gridSpan w:val="6"/>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Digital Media Platform</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9,335,823</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4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(9,335,823)</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7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Interactive Learning</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20" w:type="dxa"/>
            <w:vAlign w:val="bottom"/>
            <w:gridSpan w:val="6"/>
          </w:tcPr>
          <w:p>
            <w:pPr>
              <w:ind w:left="360"/>
              <w:spacing w:after="0" w:line="124" w:lineRule="exact"/>
              <w:rPr>
                <w:sz w:val="20"/>
                <w:szCs w:val="20"/>
                <w:color w:val="auto"/>
              </w:rPr>
            </w:pPr>
            <w:r>
              <w:rPr>
                <w:rFonts w:ascii="Times New Roman" w:cs="Times New Roman" w:eastAsia="Times New Roman" w:hAnsi="Times New Roman"/>
                <w:sz w:val="13"/>
                <w:szCs w:val="13"/>
                <w:color w:val="auto"/>
                <w:w w:val="96"/>
              </w:rPr>
              <w:t>StormWind, LLC–Preferred shares, Series D 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329,337</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440,515</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180,578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621,093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0.17%</w:t>
            </w:r>
          </w:p>
        </w:tc>
        <w:tc>
          <w:tcPr>
            <w:tcW w:w="0" w:type="dxa"/>
            <w:vAlign w:val="bottom"/>
          </w:tcPr>
          <w:p>
            <w:pPr>
              <w:spacing w:after="0"/>
              <w:rPr>
                <w:sz w:val="1"/>
                <w:szCs w:val="1"/>
                <w:color w:val="auto"/>
              </w:rPr>
            </w:pPr>
          </w:p>
        </w:tc>
      </w:tr>
      <w:tr>
        <w:trPr>
          <w:trHeight w:val="124"/>
        </w:trPr>
        <w:tc>
          <w:tcPr>
            <w:tcW w:w="2820" w:type="dxa"/>
            <w:vAlign w:val="bottom"/>
            <w:gridSpan w:val="6"/>
            <w:shd w:val="clear" w:color="auto" w:fill="CCEEFF"/>
          </w:tcPr>
          <w:p>
            <w:pPr>
              <w:ind w:left="360"/>
              <w:spacing w:after="0" w:line="124" w:lineRule="exact"/>
              <w:rPr>
                <w:sz w:val="20"/>
                <w:szCs w:val="20"/>
                <w:color w:val="auto"/>
              </w:rPr>
            </w:pPr>
            <w:r>
              <w:rPr>
                <w:rFonts w:ascii="Times New Roman" w:cs="Times New Roman" w:eastAsia="Times New Roman" w:hAnsi="Times New Roman"/>
                <w:sz w:val="13"/>
                <w:szCs w:val="13"/>
                <w:color w:val="auto"/>
                <w:w w:val="96"/>
              </w:rPr>
              <w:t>StormWind, LLC–Preferred shares, Series C 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2,779,134</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4,804,218</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1,692,511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6,496,729</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24"/>
        </w:trPr>
        <w:tc>
          <w:tcPr>
            <w:tcW w:w="2820" w:type="dxa"/>
            <w:vAlign w:val="bottom"/>
            <w:gridSpan w:val="6"/>
          </w:tcPr>
          <w:p>
            <w:pPr>
              <w:ind w:left="360"/>
              <w:spacing w:after="0" w:line="124" w:lineRule="exact"/>
              <w:rPr>
                <w:sz w:val="20"/>
                <w:szCs w:val="20"/>
                <w:color w:val="auto"/>
              </w:rPr>
            </w:pPr>
            <w:r>
              <w:rPr>
                <w:rFonts w:ascii="Times New Roman" w:cs="Times New Roman" w:eastAsia="Times New Roman" w:hAnsi="Times New Roman"/>
                <w:sz w:val="13"/>
                <w:szCs w:val="13"/>
                <w:color w:val="auto"/>
                <w:w w:val="96"/>
              </w:rPr>
              <w:t>StormWind, LLC–Preferred shares, Series B 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3,279,629</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2,625,365</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1,798,242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4,423,607</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24"/>
        </w:trPr>
        <w:tc>
          <w:tcPr>
            <w:tcW w:w="2820" w:type="dxa"/>
            <w:vAlign w:val="bottom"/>
            <w:gridSpan w:val="6"/>
            <w:shd w:val="clear" w:color="auto" w:fill="CCEEFF"/>
          </w:tcPr>
          <w:p>
            <w:pPr>
              <w:ind w:left="360"/>
              <w:spacing w:after="0" w:line="124" w:lineRule="exact"/>
              <w:rPr>
                <w:sz w:val="20"/>
                <w:szCs w:val="20"/>
                <w:color w:val="auto"/>
              </w:rPr>
            </w:pPr>
            <w:r>
              <w:rPr>
                <w:rFonts w:ascii="Times New Roman" w:cs="Times New Roman" w:eastAsia="Times New Roman" w:hAnsi="Times New Roman"/>
                <w:sz w:val="13"/>
                <w:szCs w:val="13"/>
                <w:color w:val="auto"/>
                <w:w w:val="96"/>
              </w:rPr>
              <w:t>StormWind, LLC–Preferred shares, Series A 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366,666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88,248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201,045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289,293</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gridSpan w:val="6"/>
            <w:vMerge w:val="restart"/>
          </w:tcPr>
          <w:p>
            <w:pPr>
              <w:ind w:left="180"/>
              <w:spacing w:after="0" w:line="142" w:lineRule="exact"/>
              <w:rPr>
                <w:sz w:val="20"/>
                <w:szCs w:val="20"/>
                <w:color w:val="auto"/>
              </w:rPr>
            </w:pPr>
            <w:r>
              <w:rPr>
                <w:rFonts w:ascii="Times New Roman" w:cs="Times New Roman" w:eastAsia="Times New Roman" w:hAnsi="Times New Roman"/>
                <w:sz w:val="13"/>
                <w:szCs w:val="13"/>
                <w:i w:val="1"/>
                <w:iCs w:val="1"/>
                <w:color w:val="auto"/>
              </w:rPr>
              <w:t>Total Interactive Learning</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7,958,346</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460"/>
              <w:spacing w:after="0" w:line="122"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3,872,376</w:t>
            </w: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5"/>
              </w:rPr>
              <w:t>11,830,722</w:t>
            </w:r>
          </w:p>
        </w:tc>
        <w:tc>
          <w:tcPr>
            <w:tcW w:w="180" w:type="dxa"/>
            <w:vAlign w:val="bottom"/>
            <w:vMerge w:val="continue"/>
          </w:tcPr>
          <w:p>
            <w:pPr>
              <w:spacing w:after="0"/>
              <w:rPr>
                <w:sz w:val="10"/>
                <w:szCs w:val="10"/>
                <w:color w:val="auto"/>
              </w:rPr>
            </w:pPr>
          </w:p>
        </w:tc>
        <w:tc>
          <w:tcPr>
            <w:tcW w:w="7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w w:val="99"/>
              </w:rPr>
              <w:t>17,368,051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w w:val="95"/>
              </w:rPr>
              <w:t>(4,664,114)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1,879,430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(2,752,645)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5"/>
              </w:rPr>
              <w:t>11,830,722</w:t>
            </w: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6"/>
          </w:tcPr>
          <w:p>
            <w:pPr>
              <w:ind w:left="180"/>
              <w:spacing w:after="0"/>
              <w:rPr>
                <w:sz w:val="20"/>
                <w:szCs w:val="20"/>
                <w:color w:val="auto"/>
              </w:rPr>
            </w:pPr>
            <w:r>
              <w:rPr>
                <w:rFonts w:ascii="Times New Roman" w:cs="Times New Roman" w:eastAsia="Times New Roman" w:hAnsi="Times New Roman"/>
                <w:sz w:val="13"/>
                <w:szCs w:val="13"/>
                <w:i w:val="1"/>
                <w:iCs w:val="1"/>
                <w:color w:val="auto"/>
              </w:rPr>
              <w:t>Digital Media Platform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820" w:type="dxa"/>
            <w:vAlign w:val="bottom"/>
            <w:gridSpan w:val="6"/>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Ozy Media, Inc.–Common Warrants, Strike</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Price $0.01, Expiration Date 4/9/2028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295,565</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762,558</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(762,558)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820" w:type="dxa"/>
            <w:vAlign w:val="bottom"/>
            <w:gridSpan w:val="6"/>
          </w:tcPr>
          <w:p>
            <w:pPr>
              <w:ind w:left="180"/>
              <w:spacing w:after="0" w:line="135" w:lineRule="exact"/>
              <w:rPr>
                <w:sz w:val="20"/>
                <w:szCs w:val="20"/>
                <w:color w:val="auto"/>
              </w:rPr>
            </w:pPr>
            <w:r>
              <w:rPr>
                <w:rFonts w:ascii="Times New Roman" w:cs="Times New Roman" w:eastAsia="Times New Roman" w:hAnsi="Times New Roman"/>
                <w:sz w:val="13"/>
                <w:szCs w:val="13"/>
                <w:i w:val="1"/>
                <w:iCs w:val="1"/>
                <w:color w:val="auto"/>
              </w:rPr>
              <w:t>Global Innovation Platform</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20" w:type="dxa"/>
            <w:vAlign w:val="bottom"/>
            <w:gridSpan w:val="6"/>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6"/>
              </w:rPr>
              <w:t>OneValley, Inc. (f/k/a NestGSV, Inc.)–Preferred</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Warrant Series A-3 - Strike Price $1.33,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Expiration Date 4/4/2021</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4,687</w:t>
            </w: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(4,687)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0"/>
        </w:trPr>
        <w:tc>
          <w:tcPr>
            <w:tcW w:w="2820" w:type="dxa"/>
            <w:vAlign w:val="bottom"/>
            <w:tcBorders>
              <w:top w:val="single" w:sz="8" w:color="CCEEFF"/>
            </w:tcBorders>
            <w:gridSpan w:val="6"/>
          </w:tcPr>
          <w:p>
            <w:pPr>
              <w:ind w:left="360"/>
              <w:spacing w:after="0" w:line="91" w:lineRule="exact"/>
              <w:rPr>
                <w:sz w:val="20"/>
                <w:szCs w:val="20"/>
                <w:color w:val="auto"/>
              </w:rPr>
            </w:pPr>
            <w:r>
              <w:rPr>
                <w:rFonts w:ascii="Times New Roman" w:cs="Times New Roman" w:eastAsia="Times New Roman" w:hAnsi="Times New Roman"/>
                <w:sz w:val="10"/>
                <w:szCs w:val="10"/>
                <w:color w:val="auto"/>
              </w:rPr>
              <w:t>OneValley, Inc. (f/k/a NestGSV, Inc.)–Preferred</w:t>
            </w: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600" w:type="dxa"/>
            <w:vAlign w:val="bottom"/>
            <w:tcBorders>
              <w:top w:val="single" w:sz="8" w:color="CCEEFF"/>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6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20" w:type="dxa"/>
            <w:vAlign w:val="bottom"/>
            <w:gridSpan w:val="6"/>
          </w:tcPr>
          <w:p>
            <w:pPr>
              <w:ind w:left="360"/>
              <w:spacing w:after="0" w:line="135" w:lineRule="exact"/>
              <w:rPr>
                <w:sz w:val="20"/>
                <w:szCs w:val="20"/>
                <w:color w:val="auto"/>
              </w:rPr>
            </w:pPr>
            <w:r>
              <w:rPr>
                <w:rFonts w:ascii="Times New Roman" w:cs="Times New Roman" w:eastAsia="Times New Roman" w:hAnsi="Times New Roman"/>
                <w:sz w:val="13"/>
                <w:szCs w:val="13"/>
                <w:color w:val="auto"/>
              </w:rPr>
              <w:t>Warrant Series A-4, Strike Price $1.33,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3"/>
                <w:szCs w:val="13"/>
                <w:color w:val="auto"/>
              </w:rPr>
              <w:t>Expiration Date 7/18/2021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27,500</w:t>
            </w:r>
          </w:p>
        </w:tc>
        <w:tc>
          <w:tcPr>
            <w:tcW w:w="6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(74,380)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46,880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2820" w:type="dxa"/>
            <w:vAlign w:val="bottom"/>
            <w:tcBorders>
              <w:top w:val="single" w:sz="8" w:color="CCEEFF"/>
            </w:tcBorders>
            <w:gridSpan w:val="6"/>
            <w:shd w:val="clear" w:color="auto" w:fill="CCEEFF"/>
          </w:tcPr>
          <w:p>
            <w:pPr>
              <w:ind w:left="360"/>
              <w:spacing w:after="0" w:line="104" w:lineRule="exact"/>
              <w:rPr>
                <w:sz w:val="20"/>
                <w:szCs w:val="20"/>
                <w:color w:val="auto"/>
              </w:rPr>
            </w:pPr>
            <w:r>
              <w:rPr>
                <w:rFonts w:ascii="Times New Roman" w:cs="Times New Roman" w:eastAsia="Times New Roman" w:hAnsi="Times New Roman"/>
                <w:sz w:val="10"/>
                <w:szCs w:val="10"/>
                <w:color w:val="auto"/>
              </w:rPr>
              <w:t>OneValley, Inc. (f/k/a NestGSV, Inc.)–Preferred</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Warrant Series A-4, Strike Price $1.33,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Expiration Date 10/6/2021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65,000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(65,000)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20" w:type="dxa"/>
            <w:vAlign w:val="bottom"/>
            <w:gridSpan w:val="6"/>
          </w:tcPr>
          <w:p>
            <w:pPr>
              <w:ind w:left="360"/>
              <w:spacing w:after="0" w:line="117" w:lineRule="exact"/>
              <w:rPr>
                <w:sz w:val="20"/>
                <w:szCs w:val="20"/>
                <w:color w:val="auto"/>
              </w:rPr>
            </w:pPr>
            <w:r>
              <w:rPr>
                <w:rFonts w:ascii="Times New Roman" w:cs="Times New Roman" w:eastAsia="Times New Roman" w:hAnsi="Times New Roman"/>
                <w:sz w:val="13"/>
                <w:szCs w:val="13"/>
                <w:color w:val="auto"/>
                <w:w w:val="96"/>
              </w:rPr>
              <w:t>OneValley, Inc. (f/k/a NestGSV, Inc.)–Preferred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gridSpan w:val="6"/>
          </w:tcPr>
          <w:p>
            <w:pPr>
              <w:ind w:left="360"/>
              <w:spacing w:after="0" w:line="135" w:lineRule="exact"/>
              <w:rPr>
                <w:sz w:val="20"/>
                <w:szCs w:val="20"/>
                <w:color w:val="auto"/>
              </w:rPr>
            </w:pPr>
            <w:r>
              <w:rPr>
                <w:rFonts w:ascii="Times New Roman" w:cs="Times New Roman" w:eastAsia="Times New Roman" w:hAnsi="Times New Roman"/>
                <w:sz w:val="13"/>
                <w:szCs w:val="13"/>
                <w:color w:val="auto"/>
                <w:w w:val="97"/>
              </w:rPr>
              <w:t>Warrant Series B, Strike Price $2.31, Expiration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3"/>
                <w:szCs w:val="13"/>
                <w:color w:val="auto"/>
              </w:rPr>
              <w:t>Date 11/29/2021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(29,275)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29,275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20" w:type="dxa"/>
            <w:vAlign w:val="bottom"/>
            <w:gridSpan w:val="6"/>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w w:val="96"/>
              </w:rPr>
              <w:t>OneValley, Inc. (f/k/a NestGSV, Inc.)–Preferred</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gridSpan w:val="6"/>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w w:val="97"/>
              </w:rPr>
              <w:t>Warrant Series B, Strike Price $2.31, Expiration</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2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Date 5/29/2022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125,000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820" w:type="dxa"/>
            <w:vAlign w:val="bottom"/>
            <w:gridSpan w:val="6"/>
          </w:tcPr>
          <w:p>
            <w:pPr>
              <w:ind w:left="360"/>
              <w:spacing w:after="0" w:line="117" w:lineRule="exact"/>
              <w:rPr>
                <w:sz w:val="20"/>
                <w:szCs w:val="20"/>
                <w:color w:val="auto"/>
              </w:rPr>
            </w:pPr>
            <w:r>
              <w:rPr>
                <w:rFonts w:ascii="Times New Roman" w:cs="Times New Roman" w:eastAsia="Times New Roman" w:hAnsi="Times New Roman"/>
                <w:sz w:val="13"/>
                <w:szCs w:val="13"/>
                <w:color w:val="auto"/>
                <w:w w:val="96"/>
              </w:rPr>
              <w:t>OneValley, Inc. (f/k/a NestGSV, Inc.)–Preferred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gridSpan w:val="6"/>
          </w:tcPr>
          <w:p>
            <w:pPr>
              <w:ind w:left="360"/>
              <w:spacing w:after="0" w:line="135" w:lineRule="exact"/>
              <w:rPr>
                <w:sz w:val="20"/>
                <w:szCs w:val="20"/>
                <w:color w:val="auto"/>
              </w:rPr>
            </w:pPr>
            <w:r>
              <w:rPr>
                <w:rFonts w:ascii="Times New Roman" w:cs="Times New Roman" w:eastAsia="Times New Roman" w:hAnsi="Times New Roman"/>
                <w:sz w:val="13"/>
                <w:szCs w:val="13"/>
                <w:color w:val="auto"/>
                <w:w w:val="97"/>
              </w:rPr>
              <w:t>Warrant Series B, Strike Price $2.31, Expiration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3"/>
                <w:szCs w:val="13"/>
                <w:color w:val="auto"/>
              </w:rPr>
              <w:t>Date 12/31/2023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250,000</w:t>
            </w:r>
          </w:p>
        </w:tc>
        <w:tc>
          <w:tcPr>
            <w:tcW w:w="60" w:type="dxa"/>
            <w:vAlign w:val="bottom"/>
          </w:tcPr>
          <w:p>
            <w:pPr>
              <w:spacing w:after="0"/>
              <w:rPr>
                <w:sz w:val="14"/>
                <w:szCs w:val="14"/>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9,250</w:t>
            </w: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(4,250)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5,000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32"/>
        </w:trPr>
        <w:tc>
          <w:tcPr>
            <w:tcW w:w="2820" w:type="dxa"/>
            <w:vAlign w:val="bottom"/>
            <w:gridSpan w:val="6"/>
            <w:shd w:val="clear" w:color="auto" w:fill="CCEEFF"/>
          </w:tcPr>
          <w:p>
            <w:pPr>
              <w:ind w:left="360"/>
              <w:spacing w:after="0" w:line="132" w:lineRule="exact"/>
              <w:rPr>
                <w:sz w:val="20"/>
                <w:szCs w:val="20"/>
                <w:color w:val="auto"/>
              </w:rPr>
            </w:pPr>
            <w:r>
              <w:rPr>
                <w:rFonts w:ascii="Times New Roman" w:cs="Times New Roman" w:eastAsia="Times New Roman" w:hAnsi="Times New Roman"/>
                <w:sz w:val="13"/>
                <w:szCs w:val="13"/>
                <w:color w:val="auto"/>
              </w:rPr>
              <w:t>Derivative Security, Expiration Date</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00" w:type="dxa"/>
            <w:vAlign w:val="bottom"/>
            <w:gridSpan w:val="2"/>
            <w:shd w:val="clear" w:color="auto" w:fill="CCEEFF"/>
          </w:tcPr>
          <w:p>
            <w:pPr>
              <w:ind w:left="360"/>
              <w:spacing w:after="0" w:line="200" w:lineRule="exact"/>
              <w:rPr>
                <w:sz w:val="20"/>
                <w:szCs w:val="20"/>
                <w:color w:val="auto"/>
              </w:rPr>
            </w:pPr>
            <w:r>
              <w:rPr>
                <w:rFonts w:ascii="Times New Roman" w:cs="Times New Roman" w:eastAsia="Times New Roman" w:hAnsi="Times New Roman"/>
                <w:sz w:val="13"/>
                <w:szCs w:val="13"/>
                <w:color w:val="auto"/>
              </w:rPr>
              <w:t>8/23/2024</w:t>
            </w:r>
            <w:r>
              <w:rPr>
                <w:rFonts w:ascii="Times New Roman" w:cs="Times New Roman" w:eastAsia="Times New Roman" w:hAnsi="Times New Roman"/>
                <w:sz w:val="20"/>
                <w:szCs w:val="20"/>
                <w:color w:val="auto"/>
                <w:vertAlign w:val="superscript"/>
              </w:rPr>
              <w:t>(6)</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2,173,148</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95,120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2,268,268</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0.62%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gridSpan w:val="6"/>
            <w:vMerge w:val="restart"/>
          </w:tcPr>
          <w:p>
            <w:pPr>
              <w:ind w:left="180"/>
              <w:spacing w:after="0" w:line="122" w:lineRule="exact"/>
              <w:rPr>
                <w:sz w:val="20"/>
                <w:szCs w:val="20"/>
                <w:color w:val="auto"/>
              </w:rPr>
            </w:pPr>
            <w:r>
              <w:rPr>
                <w:rFonts w:ascii="Times New Roman" w:cs="Times New Roman" w:eastAsia="Times New Roman" w:hAnsi="Times New Roman"/>
                <w:sz w:val="13"/>
                <w:szCs w:val="13"/>
                <w:i w:val="1"/>
                <w:iCs w:val="1"/>
                <w:color w:val="auto"/>
              </w:rPr>
              <w:t>Total Global Innovation Platform</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2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ind w:left="360"/>
              <w:spacing w:after="0" w:line="102" w:lineRule="exact"/>
              <w:rPr>
                <w:sz w:val="20"/>
                <w:szCs w:val="20"/>
                <w:color w:val="auto"/>
              </w:rPr>
            </w:pPr>
            <w:r>
              <w:rPr>
                <w:rFonts w:ascii="Times New Roman" w:cs="Times New Roman" w:eastAsia="Times New Roman" w:hAnsi="Times New Roman"/>
                <w:sz w:val="10"/>
                <w:szCs w:val="10"/>
                <w:color w:val="auto"/>
                <w:w w:val="99"/>
              </w:rPr>
              <w:t>—</w:t>
            </w: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2,279,585</w:t>
            </w:r>
          </w:p>
        </w:tc>
        <w:tc>
          <w:tcPr>
            <w:tcW w:w="1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ind w:left="460"/>
              <w:spacing w:after="0" w:line="102" w:lineRule="exact"/>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(103,655)</w:t>
            </w:r>
          </w:p>
        </w:tc>
        <w:tc>
          <w:tcPr>
            <w:tcW w:w="1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97,338</w:t>
            </w:r>
          </w:p>
        </w:tc>
        <w:tc>
          <w:tcPr>
            <w:tcW w:w="1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2,273,268</w:t>
            </w:r>
          </w:p>
        </w:tc>
        <w:tc>
          <w:tcPr>
            <w:tcW w:w="180" w:type="dxa"/>
            <w:vAlign w:val="bottom"/>
            <w:vMerge w:val="continue"/>
          </w:tcPr>
          <w:p>
            <w:pPr>
              <w:spacing w:after="0"/>
              <w:rPr>
                <w:sz w:val="8"/>
                <w:szCs w:val="8"/>
                <w:color w:val="auto"/>
              </w:rPr>
            </w:pPr>
          </w:p>
        </w:tc>
        <w:tc>
          <w:tcPr>
            <w:tcW w:w="720" w:type="dxa"/>
            <w:vAlign w:val="bottom"/>
            <w:gridSpan w:val="2"/>
          </w:tcPr>
          <w:p>
            <w:pPr>
              <w:jc w:val="right"/>
              <w:ind w:right="20"/>
              <w:spacing w:after="0" w:line="102" w:lineRule="exact"/>
              <w:rPr>
                <w:sz w:val="20"/>
                <w:szCs w:val="20"/>
                <w:color w:val="auto"/>
              </w:rPr>
            </w:pPr>
            <w:r>
              <w:rPr>
                <w:rFonts w:ascii="Times New Roman" w:cs="Times New Roman" w:eastAsia="Times New Roman" w:hAnsi="Times New Roman"/>
                <w:sz w:val="10"/>
                <w:szCs w:val="10"/>
                <w:color w:val="auto"/>
              </w:rPr>
              <w:t>0.63%</w:t>
            </w:r>
          </w:p>
        </w:tc>
        <w:tc>
          <w:tcPr>
            <w:tcW w:w="0" w:type="dxa"/>
            <w:vAlign w:val="bottom"/>
          </w:tcPr>
          <w:p>
            <w:pPr>
              <w:spacing w:after="0"/>
              <w:rPr>
                <w:sz w:val="1"/>
                <w:szCs w:val="1"/>
                <w:color w:val="auto"/>
              </w:rPr>
            </w:pPr>
          </w:p>
        </w:tc>
      </w:tr>
      <w:tr>
        <w:trPr>
          <w:trHeight w:val="166"/>
        </w:trPr>
        <w:tc>
          <w:tcPr>
            <w:tcW w:w="28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Total 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3,042,143</w:t>
            </w: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(103,655)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(665,220)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2,273,268</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-92075</wp:posOffset>
            </wp:positionV>
            <wp:extent cx="7132320" cy="102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7132320" cy="22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38" w:orient="portrait"/>
          <w:cols w:equalWidth="0" w:num="1">
            <w:col w:w="11340"/>
          </w:cols>
          <w:pgMar w:left="220" w:top="229" w:right="339" w:bottom="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49"/>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Online Education</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5"/>
        </w:trPr>
        <w:tc>
          <w:tcPr>
            <w:tcW w:w="288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color w:val="auto"/>
              </w:rPr>
              <w:t>Curious.com, Inc.–Common shares</w:t>
            </w:r>
          </w:p>
        </w:tc>
        <w:tc>
          <w:tcPr>
            <w:tcW w:w="86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1,135,944</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8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2"/>
        </w:trPr>
        <w:tc>
          <w:tcPr>
            <w:tcW w:w="288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Cannabis REIT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17"/>
        </w:trPr>
        <w:tc>
          <w:tcPr>
            <w:tcW w:w="2880" w:type="dxa"/>
            <w:vAlign w:val="bottom"/>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NewLake Capital Partners, Inc. (f/k/a</w:t>
            </w: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2"/>
        </w:trPr>
        <w:tc>
          <w:tcPr>
            <w:tcW w:w="2880" w:type="dxa"/>
            <w:vAlign w:val="bottom"/>
            <w:shd w:val="clear" w:color="auto" w:fill="CCEEFF"/>
          </w:tcPr>
          <w:p>
            <w:pPr>
              <w:ind w:left="360"/>
              <w:spacing w:after="0" w:line="143" w:lineRule="exact"/>
              <w:rPr>
                <w:sz w:val="20"/>
                <w:szCs w:val="20"/>
                <w:color w:val="auto"/>
              </w:rPr>
            </w:pPr>
            <w:r>
              <w:rPr>
                <w:rFonts w:ascii="Times New Roman" w:cs="Times New Roman" w:eastAsia="Times New Roman" w:hAnsi="Times New Roman"/>
                <w:sz w:val="13"/>
                <w:szCs w:val="13"/>
                <w:color w:val="auto"/>
              </w:rPr>
              <w:t>GreenAcreage Real Estate Corp.)**–Common</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213"/>
        </w:trPr>
        <w:tc>
          <w:tcPr>
            <w:tcW w:w="2880" w:type="dxa"/>
            <w:vAlign w:val="bottom"/>
            <w:shd w:val="clear" w:color="auto" w:fill="CCEEFF"/>
          </w:tcPr>
          <w:p>
            <w:pPr>
              <w:ind w:left="360"/>
              <w:spacing w:after="0" w:line="213" w:lineRule="exact"/>
              <w:rPr>
                <w:sz w:val="20"/>
                <w:szCs w:val="20"/>
                <w:color w:val="auto"/>
              </w:rPr>
            </w:pPr>
            <w:r>
              <w:rPr>
                <w:rFonts w:ascii="Times New Roman" w:cs="Times New Roman" w:eastAsia="Times New Roman" w:hAnsi="Times New Roman"/>
                <w:sz w:val="13"/>
                <w:szCs w:val="13"/>
                <w:color w:val="auto"/>
              </w:rPr>
              <w:t>shares***</w:t>
            </w:r>
            <w:r>
              <w:rPr>
                <w:rFonts w:ascii="Times New Roman" w:cs="Times New Roman" w:eastAsia="Times New Roman" w:hAnsi="Times New Roman"/>
                <w:sz w:val="20"/>
                <w:szCs w:val="20"/>
                <w:color w:val="auto"/>
                <w:vertAlign w:val="superscript"/>
              </w:rPr>
              <w:t>(8)</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102,632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8,937,690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3"/>
              </w:rPr>
              <w:t>$ (9,009,952)</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500,319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(428,057)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Common Stock</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9"/>
              </w:rPr>
              <w:t>102,632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8,937,690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(9,009,952)</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500,319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(428,057)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09"/>
        </w:trPr>
        <w:tc>
          <w:tcPr>
            <w:tcW w:w="288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NON-CONTROLLED/AFFILIATE</w:t>
            </w:r>
          </w:p>
        </w:tc>
        <w:tc>
          <w:tcPr>
            <w:tcW w:w="8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215"/>
        </w:trPr>
        <w:tc>
          <w:tcPr>
            <w:tcW w:w="2880" w:type="dxa"/>
            <w:vAlign w:val="bottom"/>
            <w:shd w:val="clear" w:color="auto" w:fill="CCEEFF"/>
          </w:tcPr>
          <w:p>
            <w:pPr>
              <w:spacing w:after="0" w:line="215"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102,632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30,165,773</w:t>
            </w:r>
          </w:p>
        </w:tc>
        <w:tc>
          <w:tcPr>
            <w:tcW w:w="8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2"/>
                <w:szCs w:val="12"/>
                <w:b w:val="1"/>
                <w:bCs w:val="1"/>
                <w:color w:val="auto"/>
                <w:w w:val="99"/>
              </w:rPr>
              <w:t>$ (9,009,952</w:t>
            </w:r>
            <w:r>
              <w:rPr>
                <w:rFonts w:ascii="Times New Roman" w:cs="Times New Roman" w:eastAsia="Times New Roman" w:hAnsi="Times New Roman"/>
                <w:sz w:val="24"/>
                <w:szCs w:val="24"/>
                <w:b w:val="1"/>
                <w:bCs w:val="1"/>
                <w:color w:val="auto"/>
                <w:w w:val="99"/>
                <w:vertAlign w:val="superscript"/>
              </w:rPr>
              <w:t>)</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500,319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2"/>
                <w:szCs w:val="12"/>
                <w:b w:val="1"/>
                <w:bCs w:val="1"/>
                <w:color w:val="auto"/>
              </w:rPr>
              <w:t>(6,009,095</w:t>
            </w:r>
            <w:r>
              <w:rPr>
                <w:rFonts w:ascii="Times New Roman" w:cs="Times New Roman" w:eastAsia="Times New Roman" w:hAnsi="Times New Roman"/>
                <w:sz w:val="24"/>
                <w:szCs w:val="24"/>
                <w:b w:val="1"/>
                <w:bCs w:val="1"/>
                <w:color w:val="auto"/>
                <w:vertAlign w:val="superscript"/>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1,864,564</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2"/>
                <w:szCs w:val="12"/>
                <w:b w:val="1"/>
                <w:bCs w:val="1"/>
                <w:color w:val="auto"/>
              </w:rPr>
              <w:t>(2,902,520</w:t>
            </w:r>
            <w:r>
              <w:rPr>
                <w:rFonts w:ascii="Times New Roman" w:cs="Times New Roman" w:eastAsia="Times New Roman" w:hAnsi="Times New Roman"/>
                <w:sz w:val="24"/>
                <w:szCs w:val="24"/>
                <w:b w:val="1"/>
                <w:bCs w:val="1"/>
                <w:color w:val="auto"/>
                <w:vertAlign w:val="superscript"/>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14,609,089</w:t>
            </w:r>
          </w:p>
        </w:tc>
        <w:tc>
          <w:tcPr>
            <w:tcW w:w="7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2"/>
                <w:szCs w:val="12"/>
                <w:b w:val="1"/>
                <w:bCs w:val="1"/>
                <w:color w:val="auto"/>
              </w:rPr>
              <w:t>4.01</w:t>
            </w:r>
            <w:r>
              <w:rPr>
                <w:rFonts w:ascii="Times New Roman" w:cs="Times New Roman" w:eastAsia="Times New Roman" w:hAnsi="Times New Roman"/>
                <w:sz w:val="24"/>
                <w:szCs w:val="24"/>
                <w:b w:val="1"/>
                <w:bCs w:val="1"/>
                <w:color w:val="auto"/>
                <w:vertAlign w:val="superscript"/>
              </w:rPr>
              <w:t>%</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340" w:hanging="332"/>
        <w:spacing w:after="0" w:line="255"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89" w:lineRule="exact"/>
        <w:rPr>
          <w:sz w:val="20"/>
          <w:szCs w:val="20"/>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SuRo Capital Corp. believes do not represent “qualifying assets” under Section 55(a) of the 1940 Act. Of the Company’s total investments as of December 31, 2021, 26.91% of its total investments are non-qualifying assets.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income-producing.</w:t>
      </w:r>
    </w:p>
    <w:p>
      <w:pPr>
        <w:spacing w:after="0" w:line="225" w:lineRule="exact"/>
        <w:rPr>
          <w:sz w:val="20"/>
          <w:szCs w:val="20"/>
          <w:color w:val="auto"/>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with the right to elect directors) of such company.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investments noted had been placed on non-accrual status.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Corp.’s investments in StormWind, LLC are held through SuRo Capital Corp.’s wholly owned subsidiary, GSVC SW Holdings,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total $10.0 million capital commitment representing SuRo Capital Corp.’s Membership Interest in Architect Capital PayJoy SPV, LLC had been called and funded.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NewLake Capital Partners, Inc. (f/k/a GreenAcreage Real Estate Corp.) declared an aggregate of approximately $0.3 million in dividend distributions, of which approximately $0.1 million reflects the dividend income earned while NewLake Capital Partners, Inc. (f/k/a GreenAcreage Real Estate Corp.) was a non-controlled/affiliate investment.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 On October 19, 2022, the Company’s Board of Directors approved an extension of the Share Repurchase Program until the earlier of (i) October 31, 2023 or (ii) the repurchase of $55.0 million in aggregate amount of the Company’s common stock.</w:t>
      </w:r>
    </w:p>
    <w:p>
      <w:pPr>
        <w:spacing w:after="0" w:line="188"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3"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1,008,676 shares of the Company’s common stock under the Share Repurchase Program. During the year ended December 31, 2021, the Company did not repurchase any shares of common stock under the Share Repurchase Program. As of December 31, 2022, the dollar value of shares that remained available to be purchased by the Company under the Share Repurchase Program was approximately $16.4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Dutch Auction Tender Offer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8, 2022, the Company commenced a modified “Dutch Auction” tender offer (the “Modified Dutch Auction Tender Offer”) to purchase up to 2,000,000 shares of its common stock from its stockholders, which expired on September 2, 2022. In accordance with the terms of the Modified Dutch Auction Tender Offer, the Company selected the lowest price per share of not less than $6.00 per share and not greater than $7.00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Modified Dutch Auction Tender Offer, the Company repurchased 2,000,000 shares, representing 6.6% of its then outstanding shares, on or about September 12, 2022 at a price of $6.60 per share. The Company used available cash to fund the purchases of its shares of common stock in the Modified Dutch Auction Tender Offer and to pay for all related fees and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2019 Equity Incentive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11—Stock-Based Compensation” for a description of the Company’s restricted shares of common stock granted under the Amended &amp; Restated 2019 Equity Incentive Plan (as defined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Paid in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4, 2021, the Company’s Board of Directors declared a dividend of $2.50 per share that was paid on June 30, 2021 to stockholders of record as of the close of business on May 18, 2021. The ex-dividend date was May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$30.0 million in cash and 2,335,527 in shares of common stock issued.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3, 2021, the Company’s Board of Directors declared a dividend of $2.25 per share that was paid on September 30, 2021 to stockholders of record as of the close of business on August 18, 2021. The ex-dividend date was August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$29.6 million in cash and 2,225,193 in shares of common stock issued.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 2021, the Company’s Board of Directors declared a dividend of $2.00 per share that was paid on December 30, 2021 to stockholders of record as of the close of business on November 17, 2021. The ex-dividend date was November 16,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$28.5 million in cash and 2,170,807 in shares of common stock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4.75% Convertible Senior Notes due 2023</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 Refer to “Note 10—Debt Capital Activities” for more detail regarding conversion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the Shares, if any, will be made by any method that is deemed to be an “at-the-market” offering as defined in Rule 415 under the Securities Act,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issued and sold 17,807 shares under the ATM Program at a weighted-average price of $13.01 per share, for gross proceeds of $231,677 and net proceeds of $229,896, after deducting commissions to the Agents on Shares sold. As of December 31, 2022, up to approximately $98.8 million in aggregate amount of the Shares remain available for sale under the ATM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in net assets resulting from operations per common share, pursuant to ASC 260, for the years ended December 31, 2022,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196"/>
        </w:trPr>
        <w:tc>
          <w:tcPr>
            <w:tcW w:w="27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 per common share–basic:</w:t>
            </w:r>
          </w:p>
        </w:tc>
        <w:tc>
          <w:tcPr>
            <w:tcW w:w="4040" w:type="dxa"/>
            <w:vAlign w:val="bottom"/>
            <w:tcBorders>
              <w:bottom w:val="single" w:sz="8" w:color="CCEEFF"/>
            </w:tcBorders>
            <w:gridSpan w:val="3"/>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(132,177,053)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147,071,721</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75,337,438</w:t>
            </w:r>
          </w:p>
        </w:tc>
      </w:tr>
      <w:tr>
        <w:trPr>
          <w:trHeight w:val="250"/>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shares–basic</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30,023,202</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25,861,642</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17,910,353</w:t>
            </w:r>
          </w:p>
        </w:tc>
      </w:tr>
      <w:tr>
        <w:trPr>
          <w:trHeight w:val="256"/>
        </w:trPr>
        <w:tc>
          <w:tcPr>
            <w:tcW w:w="6760" w:type="dxa"/>
            <w:vAlign w:val="bottom"/>
            <w:tcBorders>
              <w:top w:val="single" w:sz="8" w:color="CCEEFF"/>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CEEFF"/>
              <w:bottom w:val="single" w:sz="8" w:color="CCEEFF"/>
            </w:tcBorders>
          </w:tcPr>
          <w:p>
            <w:pPr>
              <w:spacing w:after="0"/>
              <w:rPr>
                <w:sz w:val="22"/>
                <w:szCs w:val="22"/>
                <w:color w:val="auto"/>
              </w:rPr>
            </w:pPr>
          </w:p>
        </w:tc>
      </w:tr>
      <w:tr>
        <w:trPr>
          <w:trHeight w:val="156"/>
        </w:trPr>
        <w:tc>
          <w:tcPr>
            <w:tcW w:w="676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27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change in net assets resulting from operations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(132,177,053)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147,071,721</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75,337,438</w:t>
            </w:r>
          </w:p>
        </w:tc>
      </w:tr>
      <w:tr>
        <w:trPr>
          <w:trHeight w:val="201"/>
        </w:trPr>
        <w:tc>
          <w:tcPr>
            <w:tcW w:w="6760" w:type="dxa"/>
            <w:vAlign w:val="bottom"/>
            <w:gridSpan w:val="4"/>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Adjustment for interest and amortization on 4.75% Convertible Senior Notes due</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5"/>
        </w:trPr>
        <w:tc>
          <w:tcPr>
            <w:tcW w:w="272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501,065</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2,239,210</w:t>
            </w:r>
          </w:p>
        </w:tc>
      </w:tr>
      <w:tr>
        <w:trPr>
          <w:trHeight w:val="210"/>
        </w:trPr>
        <w:tc>
          <w:tcPr>
            <w:tcW w:w="6760" w:type="dxa"/>
            <w:vAlign w:val="bottom"/>
            <w:tcBorders>
              <w:top w:val="single" w:sz="8" w:color="CCEEFF"/>
              <w:bottom w:val="single" w:sz="8" w:color="CCEEFF"/>
            </w:tcBorders>
            <w:gridSpan w:val="4"/>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change in net assets resulting from operations, as adjusted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(132,177,053</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147,572,786</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77,576,648</w:t>
            </w:r>
          </w:p>
        </w:tc>
        <w:tc>
          <w:tcPr>
            <w:tcW w:w="100" w:type="dxa"/>
            <w:vAlign w:val="bottom"/>
            <w:tcBorders>
              <w:top w:val="single" w:sz="8" w:color="CCEEFF"/>
              <w:bottom w:val="single" w:sz="8" w:color="CCEEFF"/>
            </w:tcBorders>
          </w:tcPr>
          <w:p>
            <w:pPr>
              <w:spacing w:after="0"/>
              <w:rPr>
                <w:sz w:val="18"/>
                <w:szCs w:val="18"/>
                <w:color w:val="auto"/>
              </w:rPr>
            </w:pPr>
          </w:p>
        </w:tc>
      </w:tr>
      <w:tr>
        <w:trPr>
          <w:trHeight w:val="277"/>
        </w:trPr>
        <w:tc>
          <w:tcPr>
            <w:tcW w:w="6760" w:type="dxa"/>
            <w:vAlign w:val="bottom"/>
            <w:gridSpan w:val="4"/>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Adjustment for dilutive effect of 4.75% Convertible Senior Notes due 2023</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896,725</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3,880,545</w:t>
            </w:r>
          </w:p>
        </w:tc>
      </w:tr>
      <w:tr>
        <w:trPr>
          <w:trHeight w:val="210"/>
        </w:trPr>
        <w:tc>
          <w:tcPr>
            <w:tcW w:w="676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30,023,202</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26,758,367</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21,790,898</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share–diluted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and 2021, there were no potentially dilutive securities outstanding. For the year ended December 31, 2020, 0 potentially dilutive common shares were excluded from the weighted average common shares outstanding for diluted net change in net assets resulting from operations per common share because the effect of these shares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229"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As of December 31, 2022 and December 31, 2021, the Company had $1,330,000 and $1,330,000, respectively, in non-binding investment agreements that required it to make a future investment in a portfolio company.</w:t>
      </w:r>
    </w:p>
    <w:p>
      <w:pPr>
        <w:spacing w:after="0" w:line="17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&amp; Related Deposits</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7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As of December 31, 2022 and December 31, 2021, the Company booked a right-of-use asset and operating lease liability of $288,268 and $470,508, respectively, on the Consolidated Statement of Assets and Liabilities. As of December 31, 2022 and December 31, 2021, the Company recorded a security deposit of $16,574 and $16,574, respectively, on the Consolidated Statement of Assets and Liabilities. For the years ended December 31, 2022 and 2021, the Company incurred $192,176 and $186,738, respectively, of operating lease expense. The amounts reflected on the Consolidated Statement of Assets and Liabilities have been discounted using the rate implicit in the lease. As of December 31, 2022, the remaining lease term was 1.6 years and the discount rate was 3.00%.</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future minimum payments under the Company’s operating lease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78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190,750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113,603</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7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304,353</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8—FINANCIAL HIGHLIGHTS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3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3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Basic Share Data</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the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r>
      <w:tr>
        <w:trPr>
          <w:trHeight w:val="257"/>
        </w:trPr>
        <w:tc>
          <w:tcPr>
            <w:tcW w:w="38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investment loss</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r>
      <w:tr>
        <w:trPr>
          <w:trHeight w:val="257"/>
        </w:trPr>
        <w:tc>
          <w:tcPr>
            <w:tcW w:w="38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realized gain/(loss) on investments</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2"/>
                <w:szCs w:val="22"/>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22"/>
                <w:szCs w:val="22"/>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Pr>
          <w:p>
            <w:pPr>
              <w:spacing w:after="0"/>
              <w:rPr>
                <w:sz w:val="22"/>
                <w:szCs w:val="22"/>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r>
      <w:tr>
        <w:trPr>
          <w:trHeight w:val="201"/>
        </w:trPr>
        <w:tc>
          <w:tcPr>
            <w:tcW w:w="384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Realized loss on partial repurchase of 5.25%</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71"/>
        </w:trPr>
        <w:tc>
          <w:tcPr>
            <w:tcW w:w="384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Convertible Senior Notes due 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r>
      <w:tr>
        <w:trPr>
          <w:trHeight w:val="201"/>
        </w:trPr>
        <w:tc>
          <w:tcPr>
            <w:tcW w:w="38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Net change in unrealized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1"/>
        </w:trPr>
        <w:tc>
          <w:tcPr>
            <w:tcW w:w="384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appreciation/(depreciation) of investments</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3"/>
                <w:szCs w:val="23"/>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23"/>
                <w:szCs w:val="23"/>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23"/>
                <w:szCs w:val="2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r>
      <w:tr>
        <w:trPr>
          <w:trHeight w:val="201"/>
        </w:trPr>
        <w:tc>
          <w:tcPr>
            <w:tcW w:w="384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Benefit from taxes on unrealized depreciation</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71"/>
        </w:trPr>
        <w:tc>
          <w:tcPr>
            <w:tcW w:w="384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of investments</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14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dividend</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38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Issuance of common stock from public</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1"/>
        </w:trPr>
        <w:tc>
          <w:tcPr>
            <w:tcW w:w="384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offering</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3"/>
                <w:szCs w:val="23"/>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3"/>
                <w:szCs w:val="23"/>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23"/>
                <w:szCs w:val="2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384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Issuance of common stock from conversion of</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71"/>
        </w:trPr>
        <w:tc>
          <w:tcPr>
            <w:tcW w:w="384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4.75% Convertible Notes due 2023</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Repurchase of common stock</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2"/>
                <w:szCs w:val="22"/>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22"/>
                <w:szCs w:val="22"/>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r>
      <w:tr>
        <w:trPr>
          <w:trHeight w:val="290"/>
        </w:trPr>
        <w:tc>
          <w:tcPr>
            <w:tcW w:w="38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 value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4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Borders>
              <w:top w:val="single" w:sz="8" w:color="CCEEFF"/>
              <w:bottom w:val="single" w:sz="8" w:color="CCEEFF"/>
            </w:tcBorders>
          </w:tcPr>
          <w:p>
            <w:pPr>
              <w:spacing w:after="0"/>
              <w:rPr>
                <w:sz w:val="22"/>
                <w:szCs w:val="22"/>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market value at end of year</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12.95</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6.55</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CEEFF"/>
          </w:tcPr>
          <w:p>
            <w:pPr>
              <w:spacing w:after="0"/>
              <w:rPr>
                <w:sz w:val="17"/>
                <w:szCs w:val="17"/>
                <w:color w:val="auto"/>
              </w:rPr>
            </w:pPr>
          </w:p>
        </w:tc>
      </w:tr>
      <w:tr>
        <w:trPr>
          <w:trHeight w:val="257"/>
        </w:trPr>
        <w:tc>
          <w:tcPr>
            <w:tcW w:w="38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(69.45)%</w:t>
            </w:r>
          </w:p>
        </w:tc>
        <w:tc>
          <w:tcPr>
            <w:tcW w:w="140" w:type="dxa"/>
            <w:vAlign w:val="bottom"/>
          </w:tcPr>
          <w:p>
            <w:pPr>
              <w:spacing w:after="0"/>
              <w:rPr>
                <w:sz w:val="22"/>
                <w:szCs w:val="22"/>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60.05%</w:t>
            </w:r>
          </w:p>
        </w:tc>
        <w:tc>
          <w:tcPr>
            <w:tcW w:w="1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31.61%</w:t>
            </w:r>
          </w:p>
        </w:tc>
        <w:tc>
          <w:tcPr>
            <w:tcW w:w="1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56"/>
        </w:trPr>
        <w:tc>
          <w:tcPr>
            <w:tcW w:w="38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30.25%</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15.08%</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year</w:t>
            </w:r>
          </w:p>
        </w:tc>
        <w:tc>
          <w:tcPr>
            <w:tcW w:w="14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28,429,499</w:t>
            </w: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31,118,556</w:t>
            </w: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19,914,023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17,564,244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19,762,647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210,020,702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364,846,624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301,583,073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199,917,289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195,378,159</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310,086,061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396,209,139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205,430,809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209,261,190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208,678,731</w:t>
            </w:r>
          </w:p>
        </w:tc>
      </w:tr>
      <w:tr>
        <w:trPr>
          <w:trHeight w:val="201"/>
        </w:trPr>
        <w:tc>
          <w:tcPr>
            <w:tcW w:w="3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Ratio of gross operating expenses to average net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1"/>
        </w:trPr>
        <w:tc>
          <w:tcPr>
            <w:tcW w:w="384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w:t>
            </w:r>
          </w:p>
        </w:tc>
      </w:tr>
      <w:tr>
        <w:trPr>
          <w:trHeight w:val="198"/>
        </w:trPr>
        <w:tc>
          <w:tcPr>
            <w:tcW w:w="3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Ratio of incentive fee waiver to average net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198"/>
        </w:trPr>
        <w:tc>
          <w:tcPr>
            <w:tcW w:w="3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Ratio of management fee waiver to average net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55"/>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184"/>
        </w:trPr>
        <w:tc>
          <w:tcPr>
            <w:tcW w:w="3840" w:type="dxa"/>
            <w:vAlign w:val="bottom"/>
            <w:tcBorders>
              <w:top w:val="single" w:sz="8" w:color="CCEEFF"/>
            </w:tcBorders>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Ratio of income tax provision to average net</w:t>
            </w: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68"/>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175"/>
        </w:trPr>
        <w:tc>
          <w:tcPr>
            <w:tcW w:w="3840" w:type="dxa"/>
            <w:vAlign w:val="bottom"/>
            <w:tcBorders>
              <w:top w:val="single" w:sz="8" w:color="CCEEFF"/>
            </w:tcBorders>
          </w:tcPr>
          <w:p>
            <w:pPr>
              <w:ind w:left="180"/>
              <w:spacing w:after="0" w:line="175" w:lineRule="exact"/>
              <w:rPr>
                <w:sz w:val="20"/>
                <w:szCs w:val="20"/>
                <w:color w:val="auto"/>
              </w:rPr>
            </w:pPr>
            <w:r>
              <w:rPr>
                <w:rFonts w:ascii="Times New Roman" w:cs="Times New Roman" w:eastAsia="Times New Roman" w:hAnsi="Times New Roman"/>
                <w:sz w:val="18"/>
                <w:szCs w:val="18"/>
                <w:color w:val="auto"/>
              </w:rPr>
              <w:t>Ratio of net operating expenses to average net</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r>
        <w:trPr>
          <w:trHeight w:val="217"/>
        </w:trPr>
        <w:tc>
          <w:tcPr>
            <w:tcW w:w="3840" w:type="dxa"/>
            <w:vAlign w:val="bottom"/>
          </w:tcPr>
          <w:p>
            <w:pPr>
              <w:ind w:left="180"/>
              <w:spacing w:after="0" w:line="217" w:lineRule="exact"/>
              <w:rPr>
                <w:sz w:val="20"/>
                <w:szCs w:val="20"/>
                <w:color w:val="auto"/>
              </w:rPr>
            </w:pPr>
            <w:r>
              <w:rPr>
                <w:rFonts w:ascii="Times New Roman" w:cs="Times New Roman" w:eastAsia="Times New Roman" w:hAnsi="Times New Roman"/>
                <w:sz w:val="16"/>
                <w:szCs w:val="16"/>
                <w:color w:val="auto"/>
              </w:rPr>
              <w:t>assets</w:t>
            </w:r>
            <w:r>
              <w:rPr>
                <w:rFonts w:ascii="Times New Roman" w:cs="Times New Roman" w:eastAsia="Times New Roman" w:hAnsi="Times New Roman"/>
                <w:sz w:val="25"/>
                <w:szCs w:val="25"/>
                <w:color w:val="auto"/>
                <w:vertAlign w:val="superscript"/>
              </w:rPr>
              <w:t>(3)</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21"/>
        </w:trPr>
        <w:tc>
          <w:tcPr>
            <w:tcW w:w="3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420"/>
              <w:spacing w:after="0" w:line="81" w:lineRule="exact"/>
              <w:rPr>
                <w:sz w:val="20"/>
                <w:szCs w:val="20"/>
                <w:color w:val="auto"/>
              </w:rPr>
            </w:pPr>
            <w:r>
              <w:rPr>
                <w:rFonts w:ascii="Times New Roman" w:cs="Times New Roman" w:eastAsia="Times New Roman" w:hAnsi="Times New Roman"/>
                <w:sz w:val="9"/>
                <w:szCs w:val="9"/>
                <w:color w:val="auto"/>
              </w:rPr>
              <w:t>5.87</w:t>
            </w:r>
          </w:p>
        </w:tc>
        <w:tc>
          <w:tcPr>
            <w:tcW w:w="140" w:type="dxa"/>
            <w:vAlign w:val="bottom"/>
          </w:tcPr>
          <w:p>
            <w:pPr>
              <w:spacing w:after="0"/>
              <w:rPr>
                <w:sz w:val="10"/>
                <w:szCs w:val="10"/>
                <w:color w:val="auto"/>
              </w:rPr>
            </w:pPr>
          </w:p>
        </w:tc>
        <w:tc>
          <w:tcPr>
            <w:tcW w:w="1360" w:type="dxa"/>
            <w:vAlign w:val="bottom"/>
            <w:gridSpan w:val="2"/>
          </w:tcPr>
          <w:p>
            <w:pPr>
              <w:jc w:val="right"/>
              <w:ind w:right="420"/>
              <w:spacing w:after="0" w:line="81" w:lineRule="exact"/>
              <w:rPr>
                <w:sz w:val="20"/>
                <w:szCs w:val="20"/>
                <w:color w:val="auto"/>
              </w:rPr>
            </w:pPr>
            <w:r>
              <w:rPr>
                <w:rFonts w:ascii="Times New Roman" w:cs="Times New Roman" w:eastAsia="Times New Roman" w:hAnsi="Times New Roman"/>
                <w:sz w:val="9"/>
                <w:szCs w:val="9"/>
                <w:color w:val="auto"/>
              </w:rPr>
              <w:t>2.88</w:t>
            </w:r>
          </w:p>
        </w:tc>
        <w:tc>
          <w:tcPr>
            <w:tcW w:w="160" w:type="dxa"/>
            <w:vAlign w:val="bottom"/>
          </w:tcPr>
          <w:p>
            <w:pPr>
              <w:spacing w:after="0"/>
              <w:rPr>
                <w:sz w:val="10"/>
                <w:szCs w:val="10"/>
                <w:color w:val="auto"/>
              </w:rPr>
            </w:pPr>
          </w:p>
        </w:tc>
        <w:tc>
          <w:tcPr>
            <w:tcW w:w="1260" w:type="dxa"/>
            <w:vAlign w:val="bottom"/>
            <w:gridSpan w:val="2"/>
          </w:tcPr>
          <w:p>
            <w:pPr>
              <w:jc w:val="right"/>
              <w:ind w:right="300"/>
              <w:spacing w:after="0" w:line="81" w:lineRule="exact"/>
              <w:rPr>
                <w:sz w:val="20"/>
                <w:szCs w:val="20"/>
                <w:color w:val="auto"/>
              </w:rPr>
            </w:pPr>
            <w:r>
              <w:rPr>
                <w:rFonts w:ascii="Times New Roman" w:cs="Times New Roman" w:eastAsia="Times New Roman" w:hAnsi="Times New Roman"/>
                <w:sz w:val="9"/>
                <w:szCs w:val="9"/>
                <w:color w:val="auto"/>
              </w:rPr>
              <w:t>7.95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420"/>
              <w:spacing w:after="0" w:line="81" w:lineRule="exact"/>
              <w:rPr>
                <w:sz w:val="20"/>
                <w:szCs w:val="20"/>
                <w:color w:val="auto"/>
              </w:rPr>
            </w:pPr>
            <w:r>
              <w:rPr>
                <w:rFonts w:ascii="Times New Roman" w:cs="Times New Roman" w:eastAsia="Times New Roman" w:hAnsi="Times New Roman"/>
                <w:sz w:val="9"/>
                <w:szCs w:val="9"/>
                <w:color w:val="auto"/>
              </w:rPr>
              <w:t>5.66</w:t>
            </w:r>
          </w:p>
        </w:tc>
        <w:tc>
          <w:tcPr>
            <w:tcW w:w="140" w:type="dxa"/>
            <w:vAlign w:val="bottom"/>
          </w:tcPr>
          <w:p>
            <w:pPr>
              <w:spacing w:after="0"/>
              <w:rPr>
                <w:sz w:val="10"/>
                <w:szCs w:val="10"/>
                <w:color w:val="auto"/>
              </w:rPr>
            </w:pPr>
          </w:p>
        </w:tc>
        <w:tc>
          <w:tcPr>
            <w:tcW w:w="118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1.04</w:t>
            </w:r>
          </w:p>
        </w:tc>
      </w:tr>
      <w:tr>
        <w:trPr>
          <w:trHeight w:val="155"/>
        </w:trPr>
        <w:tc>
          <w:tcPr>
            <w:tcW w:w="3840" w:type="dxa"/>
            <w:vAlign w:val="bottom"/>
            <w:tcBorders>
              <w:top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7"/>
                <w:szCs w:val="17"/>
                <w:color w:val="auto"/>
              </w:rPr>
              <w:t>Ratio of net investment loss to average net</w:t>
            </w: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r>
      <w:tr>
        <w:trPr>
          <w:trHeight w:val="271"/>
        </w:trPr>
        <w:tc>
          <w:tcPr>
            <w:tcW w:w="384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29"/>
                <w:szCs w:val="29"/>
                <w:color w:val="auto"/>
                <w:vertAlign w:val="superscript"/>
              </w:rPr>
              <w:t>(3)</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28.34%</w:t>
            </w: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weighted-average number of shares outstanding for the relevant period.</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the Company excluded $100,274 of non-recurring expenses. For the year ended December 31, 2020, the Company excluded $1,962,431 of non-recurring expenses. For the year ended December 31, 2019, the Company excluded $1,769,820 of non-recurring expenses. For the year ended December 31, 2018, the Company excluded $352,667 of non-recurring expenses. Because the ratios are calculated for the Company’s common stock taken as a whole, an individual investor’s ratios may vary from these ratios.</w:t>
      </w:r>
    </w:p>
    <w:p>
      <w:pPr>
        <w:sectPr>
          <w:pgSz w:w="11900" w:h="16838" w:orient="portrait"/>
          <w:cols w:equalWidth="0" w:num="1">
            <w:col w:w="11240"/>
          </w:cols>
          <w:pgMar w:left="320" w:top="229"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declared distributions of $0.11 per share.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December 31, 2022, 100% would be from net realized investment gains. However, there can be no certainty to stockholders that this determination is representative of what the actual tax attributes of the Company’s fiscal year of 2022 distributions to stockholders will be.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7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As of December 31, 2022 and December 31, 2021, the Company recorded a deferred tax liability of $0.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and the Taxable Subsidiaries identified their major tax jurisdictions as U.S. federal, New York, and California and may be subject to the taxing authorities’ examination for the tax years 2019–2022 and 2018–2022, respectively. Further, the Company and the Taxable Subsidiaries accrue all interest and penalties related to uncertain tax positions as incurred. As of December 31, 2022, there were no material interest or penalties incurred related to uncertain tax positions.</w:t>
      </w:r>
    </w:p>
    <w:p>
      <w:pPr>
        <w:spacing w:after="0" w:line="1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2022 and 2021, the Company reclassified for book purposes amounts arising from permanent book/tax differences related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(14,709,928)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(9,931,831)</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undistributed net investment loss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14,709,928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8,007,039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realized gains from investments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(1,924,792)</w:t>
            </w:r>
          </w:p>
        </w:tc>
      </w:tr>
    </w:tbl>
    <w:p>
      <w:pPr>
        <w:spacing w:after="0" w:line="198"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For income tax purposes, distributions paid to stockholders are reported as ordinary income, return of capital, long term capital gains or a combination thereof. The tax character of distributions declared in the years ended December 31, 2022, 2021, and 2020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7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Long-term capital gain</w:t>
            </w:r>
          </w:p>
        </w:tc>
        <w:tc>
          <w:tcPr>
            <w:tcW w:w="2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3,441,824</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212,197,026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16,947,370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on a tax basis</w:t>
            </w:r>
          </w:p>
        </w:tc>
        <w:tc>
          <w:tcPr>
            <w:tcW w:w="2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federal income tax purposes, the tax cost of investments owned at December 31, 2022 and 2021, was $294,674,345 and $201,067,636, respectively. The gross unrealized appreciation and gross unrealized depreciation on investments owned at December 31, 2022 was $56,250,562 and $108,679,513, respectively, and on investments owned at December 31, 2021 was $123,319,904 and $65,056,699, respectively. The net unrealized appreciation/(depreciation) on investments owned at December 31, 2022 and 2021, was $(52,428,951) and $58,263,205,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At December 31, 2022 and 2021,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698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ordinary income/(loss)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(45,822,672)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(35,883,906)</w:t>
            </w:r>
          </w:p>
        </w:tc>
        <w:tc>
          <w:tcPr>
            <w:tcW w:w="10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realized gains/(losses) on investments</w:t>
            </w: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(3,901,291)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3,489,058</w:t>
            </w:r>
          </w:p>
        </w:tc>
        <w:tc>
          <w:tcPr>
            <w:tcW w:w="80" w:type="dxa"/>
            <w:vAlign w:val="bottom"/>
          </w:tcPr>
          <w:p>
            <w:pPr>
              <w:spacing w:after="0"/>
              <w:rPr>
                <w:sz w:val="18"/>
                <w:szCs w:val="18"/>
                <w:color w:val="auto"/>
              </w:rPr>
            </w:pPr>
          </w:p>
        </w:tc>
      </w:tr>
      <w:tr>
        <w:trPr>
          <w:trHeight w:val="24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appreciation/(depreciation)</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(52,428,951)</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58,263,205</w:t>
            </w:r>
          </w:p>
        </w:tc>
        <w:tc>
          <w:tcPr>
            <w:tcW w:w="80" w:type="dxa"/>
            <w:vAlign w:val="bottom"/>
            <w:shd w:val="clear" w:color="auto" w:fill="CCEEFF"/>
          </w:tcPr>
          <w:p>
            <w:pPr>
              <w:spacing w:after="0"/>
              <w:rPr>
                <w:sz w:val="21"/>
                <w:szCs w:val="21"/>
                <w:color w:val="auto"/>
              </w:rPr>
            </w:pPr>
          </w:p>
        </w:tc>
      </w:tr>
      <w:tr>
        <w:trPr>
          <w:trHeight w:val="210"/>
        </w:trPr>
        <w:tc>
          <w:tcPr>
            <w:tcW w:w="6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Components of distributable earnings at year end</w:t>
            </w: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(102,152,914</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25,868,357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6.00% Notes due 2026</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17, 2021, the Company issued $70.0 million aggregate principal amount of its 6.00% Notes due 2026 (the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6.00% Notes due 2026 are direct unsecured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6.00% Notes due 2026 are listed for trading on the Nasdaq Global Select Market under the symbol “SSSSL”. The reported closing market price of SSSSL on December 31, 2022 and December 31, 2021 was $23.51 and $25.68 per note, respectively. As of December 31, 2022 and December 31, 2021, the fair value of the 6.00% Notes due 2026 was $70.5 million and $77.0 million, respectively. The 6.00% Notes due 2026 are classified as Level 1 of the fair value hierarchy (Refer to “Note 2 — Significant Accounting Policies”). As of December 31, 2022 and December 31, 2021, the Company was in compliance with the terms of the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w:t>
      </w:r>
    </w:p>
    <w:p>
      <w:pPr>
        <w:spacing w:after="0" w:line="229"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On March 28, 2018, the Company issued $40.0 million aggregate principal amount of convertible senior notes, which bore interest at a fixed rate of 4.75% per year, payable semi-annually in arrears on March 31 and September 30 of each year, commencing on September 30, 2018. The 4.75% Convertible Senior Notes due 2023 had a maturity date of March 28, 2023 (the “4.75% Convertible Senior Notes due 2023”), unless previously repurchased or converted in accordance with their terms. The Company did not have the right to redeem the 4.75% Convertible Senior Notes due 2023 prior to March 27, 2021. On or after March 27, 2021, the Company could redeem the 4.75% Convertible Senior Notes due 2023 for cash, in whole or in part, from time to time, at the Company’s option if (i) the closing sale price of the Company’s common stock for at least 15 trading days (whether or not consecutive) during the period of any 20 consecutive trading days was greater than or equal to 150% of the conversion price on each applicable trading day,</w:t>
      </w:r>
    </w:p>
    <w:p>
      <w:pPr>
        <w:spacing w:after="0" w:line="3" w:lineRule="exact"/>
        <w:rPr>
          <w:sz w:val="20"/>
          <w:szCs w:val="20"/>
          <w:color w:val="auto"/>
        </w:rPr>
      </w:pPr>
    </w:p>
    <w:p>
      <w:pPr>
        <w:jc w:val="both"/>
        <w:ind w:firstLine="8"/>
        <w:spacing w:after="0" w:line="255" w:lineRule="auto"/>
        <w:tabs>
          <w:tab w:leader="none" w:pos="30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public announcement of a pending, proposed or intended fundamental change had occurred which had not been abandoned, terminated or consummated, and (iii) no event of default under the indenture governing the 4.75% Convertible Senior Notes due 2023, and no event that with the passage of time or giving of notice would constitute an event of default under such indenture, had occurred or existed.</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of these conditions were met and on February 19, 2021, the Company caused notices to be issued to the holders of the 4.75% Convertible Senior Notes due 2023 regarding the Company’s exercise of its option to redeem, in whole, the issued and outstanding 4.75% Convertible Senior Notes due 2023, pursuant to the governing indenture. The Company established March 29, 2021 as the date on which all of the 4.75% Convertible Senior Notes due 2023 would be redeemed (the “Redemption Date”), at 100% of their principal amount ($1,000 per convertible note), plus the accrued and unpaid interest thereon from September 30, 2020, through, but excluding, the Redemption Date. Holders of the 4.75% Convertible Senior Notes due 2023 had the option to surrender their 4.75% Convertible Senior Notes due 2023 for conversion into shares of the Company’s common stock at the then existing conversion rate, in lieu of receiving cash, at any time prior to the close of business on the business day immediately preceding the Redemption Date.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the Redemption Date, the Company redeemed $0.3 million in aggregate principal amount of the 4.75% Convertible Senior Notes due 2023 at a redemption price equal to 100% of their principal amount ($1,000 per convertible note), plus accrued and unpaid interest thereon. Due to the election of certain holders to surrender their 4.75% Convertible Senior Notes due 2023 for conversion into shares of the Company’s common stock prior to the Redemption Date, the Company issued a total of 4,272,696 shares since the 4.75% Convertible Senior Notes due 2023 were initially issued. As result of such redemption and conversions, the 4.75% Convertible Senior Notes due 2023 were no longer outstanding as of the Redemption Date.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108.0505 shares of the Company’s common stock for each $1,000 principal amount of the 4.75% Convertible Senior Notes due 2023, which represented a conversion price of approximately $9.25 per share.</w:t>
      </w:r>
    </w:p>
    <w:p>
      <w:pPr>
        <w:spacing w:after="0" w:line="183"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indenture governing the 4.75% Convertible Senior Notes due 2023 contained customary financial reporting requirements and contained certain restrictions on mergers, consolidations, and asset sales. The indenture also contained certain events of default, the occurrence of which could have caused the 4.75% Convertible Senior Notes due 2023 to become due and payable before their maturity or immediately.</w:t>
      </w:r>
    </w:p>
    <w:p>
      <w:pPr>
        <w:spacing w:after="0" w:line="17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from the aggregate principal amount of 4.75% Convertible Senior Notes due 2023 to the balance shown on the Consolidated Statement of Assets and Liabilities.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aggregate principal amount of 4.75% Convertible Senior Notes due 2023</w:t>
            </w:r>
          </w:p>
        </w:tc>
        <w:tc>
          <w:tcPr>
            <w:tcW w:w="1720" w:type="dxa"/>
            <w:vAlign w:val="bottom"/>
            <w:tcBorders>
              <w:top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4.75% Convertible Senior Notes due 2023</w:t>
            </w:r>
          </w:p>
        </w:tc>
        <w:tc>
          <w:tcPr>
            <w:tcW w:w="17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(37,925,000)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4.75% Convertible Senior Notes due 2023</w:t>
            </w:r>
          </w:p>
        </w:tc>
        <w:tc>
          <w:tcPr>
            <w:tcW w:w="1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(290,000)</w:t>
            </w: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Direct deduction of deferred debt issuance costs</w:t>
            </w:r>
          </w:p>
        </w:tc>
        <w:tc>
          <w:tcPr>
            <w:tcW w:w="172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4.75% Convertible Senior Notes due 2023 Payable</w:t>
            </w:r>
          </w:p>
        </w:tc>
        <w:tc>
          <w:tcPr>
            <w:tcW w:w="1720" w:type="dxa"/>
            <w:vAlign w:val="bottom"/>
            <w:tcBorders>
              <w:top w:val="single" w:sz="8" w:color="auto"/>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4.75% Convertible Senior Notes due 2023 were the Company’s general, unsecured, senior obligations and ranked senior in right of payment to any future indebtedness that was expressly subordinated in right of payment to the 4.75% Convertible Senior Notes due 2023, equal in right of payment to any existing and future unsecured indebtedness that was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4.75% Convertible Senior Notes due 2023, the Company was required under the terms of its credit facility with Western Alliance Bank (the “Credit Facility”)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with Western Alliance Bank matured on May 31, 2019. As a result, the company is no longer subject to such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Nasdaq on the date of grant.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Stock Option Awards Under 2019 Equity Incentive Plan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 Assumptions</w:t>
            </w:r>
          </w:p>
        </w:tc>
        <w:tc>
          <w:tcPr>
            <w:tcW w:w="3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July 17, 2019 Grant Date</w:t>
            </w:r>
          </w:p>
        </w:tc>
      </w:tr>
      <w:tr>
        <w:trPr>
          <w:trHeight w:val="216"/>
        </w:trPr>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2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39"/>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39.47%</w:t>
            </w:r>
          </w:p>
        </w:tc>
      </w:tr>
      <w:tr>
        <w:trPr>
          <w:trHeight w:val="22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7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45"/>
        </w:trPr>
        <w:tc>
          <w:tcPr>
            <w:tcW w:w="6760" w:type="dxa"/>
            <w:vAlign w:val="bottom"/>
          </w:tcPr>
          <w:p>
            <w:pPr>
              <w:spacing w:after="0"/>
              <w:rPr>
                <w:sz w:val="21"/>
                <w:szCs w:val="21"/>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43"/>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1,155,000</w:t>
            </w:r>
          </w:p>
        </w:tc>
        <w:tc>
          <w:tcPr>
            <w:tcW w:w="3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2019</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385,000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5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21"/>
        </w:trPr>
        <w:tc>
          <w:tcPr>
            <w:tcW w:w="6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 and December 31, 2021</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there was $0 of total unrecognized compensation cost related to non-vested stock options granted under the 2019 Equity Incentive Plan, as the options were cancelled effective April 28,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2019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241,827 restricted shares to the Company’s officers pursuant to the Amended &amp; Restated 2019 Equity Incentive Plan. These restricted shares have a vesting period of 3 years. The Company determined that the fair values, based on the grant date close price of such restricted shares granted under the Amended &amp; Restated 2019 Equity Incentive Plan during the year ended December 31, 2022 were approximately $3,599,972 in the aggregate. On July 2, 2021, 21,760 restricted shares related to the 2020 non-employee director grants vested. The Company expensed the full value of restricted stock compensation related to annual non-employee director grants on the vesting date. On June 1, 2022, 15,080 restricted shares related to the 2021 non-employee director grants vested.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we recognized stock-based compensation expense of $2,015,600 and $1,306,615, respectively. As of December 31, 2022 there were approximately $6,451,610 of total unrecognized compensation costs related to the restricted share grants. Compensation expense associated with the restricted shares is recognized on a quarterly basis over the respective vesting periods.</w:t>
      </w:r>
    </w:p>
    <w:p>
      <w:pPr>
        <w:spacing w:after="0" w:line="176" w:lineRule="exact"/>
        <w:rPr>
          <w:sz w:val="20"/>
          <w:szCs w:val="20"/>
          <w:color w:val="auto"/>
        </w:rPr>
      </w:pPr>
    </w:p>
    <w:p>
      <w:pPr>
        <w:jc w:val="both"/>
        <w:ind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activities for the Company’s restricted share grants for the year ended December 31, 2022 under the Amended &amp; Restated 2019 Equity Incentive Plan:</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r>
      <w:tr>
        <w:trPr>
          <w:trHeight w:val="245"/>
        </w:trPr>
        <w:tc>
          <w:tcPr>
            <w:tcW w:w="7020" w:type="dxa"/>
            <w:vAlign w:val="bottom"/>
          </w:tcPr>
          <w:p>
            <w:pPr>
              <w:spacing w:after="0"/>
              <w:rPr>
                <w:sz w:val="21"/>
                <w:szCs w:val="21"/>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369,298</w:t>
            </w:r>
          </w:p>
        </w:tc>
        <w:tc>
          <w:tcPr>
            <w:tcW w:w="80" w:type="dxa"/>
            <w:vAlign w:val="bottom"/>
            <w:tcBorders>
              <w:top w:val="single" w:sz="8" w:color="CCEEFF"/>
            </w:tcBorders>
            <w:shd w:val="clear" w:color="auto" w:fill="CCEEFF"/>
          </w:tcPr>
          <w:p>
            <w:pPr>
              <w:spacing w:after="0"/>
              <w:rPr>
                <w:sz w:val="18"/>
                <w:szCs w:val="18"/>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401,362</w:t>
            </w:r>
          </w:p>
        </w:tc>
        <w:tc>
          <w:tcPr>
            <w:tcW w:w="80" w:type="dxa"/>
            <w:vAlign w:val="bottom"/>
          </w:tcPr>
          <w:p>
            <w:pPr>
              <w:spacing w:after="0"/>
              <w:rPr>
                <w:sz w:val="20"/>
                <w:szCs w:val="20"/>
                <w:color w:val="auto"/>
              </w:rPr>
            </w:pPr>
          </w:p>
        </w:tc>
      </w:tr>
      <w:tr>
        <w:trPr>
          <w:trHeight w:val="261"/>
        </w:trPr>
        <w:tc>
          <w:tcPr>
            <w:tcW w:w="7020" w:type="dxa"/>
            <w:vAlign w:val="bottom"/>
            <w:shd w:val="clear" w:color="auto" w:fill="CCEEFF"/>
          </w:tcPr>
          <w:p>
            <w:pPr>
              <w:ind w:left="180"/>
              <w:spacing w:after="0" w:line="26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9"/>
                <w:szCs w:val="29"/>
                <w:color w:val="auto"/>
                <w:vertAlign w:val="superscript"/>
              </w:rPr>
              <w:t>(1)</w:t>
            </w: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(149,040)</w:t>
            </w:r>
          </w:p>
        </w:tc>
      </w:tr>
      <w:tr>
        <w:trPr>
          <w:trHeight w:val="23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606,620</w:t>
            </w:r>
          </w:p>
        </w:tc>
        <w:tc>
          <w:tcPr>
            <w:tcW w:w="80" w:type="dxa"/>
            <w:vAlign w:val="bottom"/>
            <w:tcBorders>
              <w:top w:val="single" w:sz="8" w:color="CCEEFF"/>
            </w:tcBorders>
            <w:shd w:val="clear" w:color="auto" w:fill="CCEEFF"/>
          </w:tcPr>
          <w:p>
            <w:pPr>
              <w:spacing w:after="0"/>
              <w:rPr>
                <w:sz w:val="21"/>
                <w:szCs w:val="2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60" w:right="2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vested shares as of December 31, 2022 reflects the total shares vested during the period and has not been reduced for those vested shares forfeited at time of vest related to net share settlement.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 On June 16, 2020, the Company received exemptive relief from the SEC to permit such withholding of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January 1, 2023 through March 15, 2023, the Company exited or received proceeds from the following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Average Net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82"/>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2"/>
          </w:tcPr>
          <w:p>
            <w:pPr>
              <w:jc w:val="right"/>
              <w:spacing w:after="0" w:line="276" w:lineRule="exact"/>
              <w:rPr>
                <w:sz w:val="20"/>
                <w:szCs w:val="20"/>
                <w:color w:val="auto"/>
              </w:rPr>
            </w:pPr>
            <w:r>
              <w:rPr>
                <w:rFonts w:ascii="Times New Roman" w:cs="Times New Roman" w:eastAsia="Times New Roman" w:hAnsi="Times New Roman"/>
                <w:sz w:val="18"/>
                <w:szCs w:val="18"/>
                <w:b w:val="1"/>
                <w:bCs w:val="1"/>
                <w:color w:val="auto"/>
                <w:w w:val="97"/>
              </w:rPr>
              <w:t xml:space="preserve">Share Price </w:t>
            </w:r>
            <w:r>
              <w:rPr>
                <w:rFonts w:ascii="Times New Roman" w:cs="Times New Roman" w:eastAsia="Times New Roman" w:hAnsi="Times New Roman"/>
                <w:sz w:val="29"/>
                <w:szCs w:val="29"/>
                <w:b w:val="1"/>
                <w:bCs w:val="1"/>
                <w:color w:val="auto"/>
                <w:w w:val="97"/>
                <w:vertAlign w:val="superscript"/>
              </w:rPr>
              <w:t>(1)</w:t>
            </w: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Net Proceeds</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70"/>
              <w:spacing w:after="0" w:line="276" w:lineRule="exact"/>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29"/>
                <w:szCs w:val="29"/>
                <w:b w:val="1"/>
                <w:bCs w:val="1"/>
                <w:color w:val="auto"/>
                <w:vertAlign w:val="superscript"/>
              </w:rPr>
              <w:t>(2)</w:t>
            </w:r>
          </w:p>
        </w:tc>
        <w:tc>
          <w:tcPr>
            <w:tcW w:w="100" w:type="dxa"/>
            <w:vAlign w:val="bottom"/>
            <w:tcBorders>
              <w:bottom w:val="single" w:sz="8" w:color="CCEEFF"/>
            </w:tcBorders>
          </w:tcPr>
          <w:p>
            <w:pPr>
              <w:spacing w:after="0"/>
              <w:rPr>
                <w:sz w:val="24"/>
                <w:szCs w:val="24"/>
                <w:color w:val="auto"/>
              </w:rPr>
            </w:pPr>
          </w:p>
        </w:tc>
      </w:tr>
      <w:tr>
        <w:trPr>
          <w:trHeight w:val="256"/>
        </w:trPr>
        <w:tc>
          <w:tcPr>
            <w:tcW w:w="31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Rent the Runway, Inc.</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1/4/2023</w:t>
            </w:r>
          </w:p>
        </w:tc>
        <w:tc>
          <w:tcPr>
            <w:tcW w:w="2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79,191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241,456</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(961,837)</w:t>
            </w:r>
          </w:p>
        </w:tc>
      </w:tr>
      <w:tr>
        <w:trPr>
          <w:trHeight w:val="257"/>
        </w:trPr>
        <w:tc>
          <w:tcPr>
            <w:tcW w:w="33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Kahoot! ASA</w:t>
            </w:r>
            <w:r>
              <w:rPr>
                <w:rFonts w:ascii="Times New Roman" w:cs="Times New Roman" w:eastAsia="Times New Roman" w:hAnsi="Times New Roman"/>
                <w:sz w:val="29"/>
                <w:szCs w:val="29"/>
                <w:color w:val="auto"/>
                <w:vertAlign w:val="superscript"/>
              </w:rPr>
              <w:t>(4)</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Various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38,305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75,602</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(100,465)</w:t>
            </w:r>
          </w:p>
        </w:tc>
      </w:tr>
      <w:tr>
        <w:trPr>
          <w:trHeight w:val="201"/>
        </w:trPr>
        <w:tc>
          <w:tcPr>
            <w:tcW w:w="33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NewLake Capital Partners, Inc. (f/k/a</w:t>
            </w: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380" w:type="dxa"/>
            <w:vAlign w:val="bottom"/>
            <w:gridSpan w:val="3"/>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GreenAcreage Real Estate Corp.)</w:t>
            </w:r>
            <w:r>
              <w:rPr>
                <w:rFonts w:ascii="Times New Roman" w:cs="Times New Roman" w:eastAsia="Times New Roman" w:hAnsi="Times New Roman"/>
                <w:sz w:val="29"/>
                <w:szCs w:val="29"/>
                <w:color w:val="auto"/>
                <w:vertAlign w:val="superscript"/>
              </w:rPr>
              <w:t>(5)</w:t>
            </w:r>
          </w:p>
        </w:tc>
        <w:tc>
          <w:tcPr>
            <w:tcW w:w="1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4"/>
              </w:rPr>
              <w:t>Various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123,938</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2,293,110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(186,155)</w:t>
            </w:r>
          </w:p>
        </w:tc>
      </w:tr>
      <w:tr>
        <w:trPr>
          <w:trHeight w:val="201"/>
        </w:trPr>
        <w:tc>
          <w:tcPr>
            <w:tcW w:w="338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Residential Homes For Rent, LLC</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2"/>
        </w:trPr>
        <w:tc>
          <w:tcPr>
            <w:tcW w:w="338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(d/b/a Second Avenue)</w:t>
            </w:r>
            <w:r>
              <w:rPr>
                <w:rFonts w:ascii="Times New Roman" w:cs="Times New Roman" w:eastAsia="Times New Roman" w:hAnsi="Times New Roman"/>
                <w:sz w:val="29"/>
                <w:szCs w:val="29"/>
                <w:color w:val="auto"/>
                <w:vertAlign w:val="superscript"/>
              </w:rPr>
              <w:t>(6)</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Various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166,667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2,776,835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(1,248,457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loss does not include adjustments to amounts held in escrow receivable.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4, 2023, SuRo Capital had sold its public common shares of Rent the Runway, Inc.</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8, 2023, SuRo Capital had sold its public common shares of Kahoot! ASA.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15, 2023, SuRo Capital held 105,820 common shares of NewLake Capital Partners, Inc. (f/k/a GreenAcreage Real Estate Corp.)</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December 31, 2022, $0.2 million has been received from Residential Homes for Rent, LLC (d/b/a Second Avenue) related to the 15% term loan due December 23, 2023. Of the proceeds received, $0.2 million repaid a portion of the outstanding principal and the remaining proceeds were attributed to interest.</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From January 1, 2023 through March 15, 2023, the Company made the following investments (not including capitalized transaction costs):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Borders>
              <w:bottom w:val="single" w:sz="8" w:color="CCEEFF"/>
            </w:tcBorders>
          </w:tcPr>
          <w:p>
            <w:pPr>
              <w:spacing w:after="0"/>
              <w:rPr>
                <w:sz w:val="21"/>
                <w:szCs w:val="21"/>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 ($)</w:t>
            </w:r>
          </w:p>
        </w:tc>
        <w:tc>
          <w:tcPr>
            <w:tcW w:w="100" w:type="dxa"/>
            <w:vAlign w:val="bottom"/>
            <w:tcBorders>
              <w:bottom w:val="single" w:sz="8" w:color="CCEEFF"/>
            </w:tcBorders>
            <w:gridSpan w:val="2"/>
          </w:tcPr>
          <w:p>
            <w:pPr>
              <w:spacing w:after="0"/>
              <w:rPr>
                <w:sz w:val="21"/>
                <w:szCs w:val="21"/>
                <w:color w:val="auto"/>
              </w:rPr>
            </w:pPr>
          </w:p>
        </w:tc>
      </w:tr>
      <w:tr>
        <w:trPr>
          <w:trHeight w:val="290"/>
        </w:trPr>
        <w:tc>
          <w:tcPr>
            <w:tcW w:w="580" w:type="dxa"/>
            <w:vAlign w:val="bottom"/>
          </w:tcPr>
          <w:p>
            <w:pPr>
              <w:spacing w:after="0"/>
              <w:rPr>
                <w:sz w:val="24"/>
                <w:szCs w:val="24"/>
                <w:color w:val="auto"/>
              </w:rPr>
            </w:pPr>
          </w:p>
        </w:tc>
        <w:tc>
          <w:tcPr>
            <w:tcW w:w="28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Orchard Technologies, Inc.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4"/>
                <w:szCs w:val="24"/>
                <w:color w:val="auto"/>
              </w:rPr>
            </w:pPr>
          </w:p>
        </w:tc>
        <w:tc>
          <w:tcPr>
            <w:tcW w:w="28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Series 1 Senior Preferred</w:t>
            </w:r>
          </w:p>
        </w:tc>
        <w:tc>
          <w:tcPr>
            <w:tcW w:w="20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1/13/2023</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shd w:val="clear" w:color="auto" w:fill="CCEEFF"/>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304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5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11"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follow-on investment</w:t>
      </w:r>
    </w:p>
    <w:p>
      <w:pPr>
        <w:spacing w:after="0" w:line="225"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January 1, 2023 through March 15, 2023, the Company had $1.3 million in non-binding investment agreements that required it to make a future investment in a portfolio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Terminating Custody Agreements</w:t>
      </w:r>
    </w:p>
    <w:p>
      <w:pPr>
        <w:spacing w:after="0" w:line="256"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On March 10, 2023, the Company and U.S. Bank Trust Company, National Association (the “Custodian”) and U.S. Bank National Association (the “Document Custodian” and, together with the Custodian, the “U.S. Bank Entities”) agreed to terminate, effective as of May 9, 2023 or such later date as the parties mutually agree, the Custody Agreement, dated as of October 28, 2022, between the Company and the Custodian (the “Securities Custody Agreement”), and the Document Custody Agreement, dated as of October 28, 2022, between the Company and the Document Custodian (the “Document Custody Agreement” and, together with the Securities Custody Agreement, the “Custody Agreements”). The Company has commenced a transition process with the U.S. Bank Entities, and are currently in discussions with a number of reputable qualified custodians that it expects will be able to fulfill the Company’s needs in providing the custodial services currently provided by the U.S. Bank Entities without disruption. The termination of the Custody Agreements followed a determination by the parties that the arrangements set forth by the Custody Agreements were no longer mutually beneficial. The Company does not believe that such termination will have a material adverse impact on its operations or financial condition. See “Item 9B. Other Information” of this Form 10-K for additional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13—SELECTED QUARTERLY FINANCIAL DATA</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221"/>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6"/>
                <w:szCs w:val="16"/>
                <w:color w:val="auto"/>
              </w:rPr>
            </w:pPr>
          </w:p>
        </w:tc>
        <w:tc>
          <w:tcPr>
            <w:tcW w:w="1560" w:type="dxa"/>
            <w:vAlign w:val="bottom"/>
            <w:gridSpan w:val="3"/>
          </w:tcPr>
          <w:p>
            <w:pPr>
              <w:jc w:val="center"/>
              <w:ind w:right="2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June 30, 2022</w:t>
            </w:r>
          </w:p>
        </w:tc>
        <w:tc>
          <w:tcPr>
            <w:tcW w:w="12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1,462,951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519,511</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20"/>
                <w:szCs w:val="20"/>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4,326,133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4,328,744</w:t>
            </w:r>
          </w:p>
        </w:tc>
        <w:tc>
          <w:tcPr>
            <w:tcW w:w="80" w:type="dxa"/>
            <w:vAlign w:val="bottom"/>
          </w:tcPr>
          <w:p>
            <w:pPr>
              <w:spacing w:after="0"/>
              <w:rPr>
                <w:sz w:val="20"/>
                <w:szCs w:val="20"/>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4,701,519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4,807,805</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Loss</w:t>
            </w: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(2,863,182)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(3,809,233)</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(3,810,888)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(4,224,705)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80" w:type="dxa"/>
            <w:vAlign w:val="bottom"/>
          </w:tcPr>
          <w:p>
            <w:pPr>
              <w:spacing w:after="0"/>
              <w:rPr>
                <w:sz w:val="18"/>
                <w:szCs w:val="18"/>
                <w:color w:val="auto"/>
              </w:rPr>
            </w:pP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(1,894,406)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(5,141,097)</w:t>
            </w:r>
          </w:p>
        </w:tc>
        <w:tc>
          <w:tcPr>
            <w:tcW w:w="8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(1,966,225)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3,096,275</w:t>
            </w: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 of</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(7,633,982)</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(36,951,920)</w:t>
            </w:r>
          </w:p>
        </w:tc>
        <w:tc>
          <w:tcPr>
            <w:tcW w:w="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(88,562,575)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21,584,885</w:t>
            </w:r>
          </w:p>
        </w:tc>
      </w:tr>
      <w:tr>
        <w:trPr>
          <w:trHeight w:val="257"/>
        </w:trPr>
        <w:tc>
          <w:tcPr>
            <w:tcW w:w="52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Increase/(Decrease)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(12,391,570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(45,902,250</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(94,339,688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20,456,455</w:t>
            </w:r>
          </w:p>
        </w:tc>
        <w:tc>
          <w:tcPr>
            <w:tcW w:w="100" w:type="dxa"/>
            <w:vAlign w:val="bottom"/>
            <w:tcBorders>
              <w:top w:val="single" w:sz="8" w:color="CCEEFF"/>
              <w:bottom w:val="single" w:sz="8" w:color="CCEEFF"/>
            </w:tcBorders>
          </w:tcPr>
          <w:p>
            <w:pPr>
              <w:spacing w:after="0"/>
              <w:rPr>
                <w:sz w:val="22"/>
                <w:szCs w:val="22"/>
                <w:color w:val="auto"/>
              </w:rPr>
            </w:pPr>
          </w:p>
        </w:tc>
      </w:tr>
      <w:tr>
        <w:trPr>
          <w:trHeight w:val="151"/>
        </w:trPr>
        <w:tc>
          <w:tcPr>
            <w:tcW w:w="52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Increase/(Decrease) in Net Assets from Operations per</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(0.44)</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(0.44)</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80" w:type="dxa"/>
            <w:vAlign w:val="bottom"/>
          </w:tcPr>
          <w:p>
            <w:pPr>
              <w:spacing w:after="0"/>
              <w:rPr>
                <w:sz w:val="18"/>
                <w:szCs w:val="18"/>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28,349,822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29,781,801</w:t>
            </w:r>
          </w:p>
        </w:tc>
        <w:tc>
          <w:tcPr>
            <w:tcW w:w="8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30,633,878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31,228,046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28,349,822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29,781,801</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30,633,878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31,228,046</w:t>
            </w:r>
          </w:p>
        </w:tc>
      </w:tr>
      <w:tr>
        <w:trPr>
          <w:trHeight w:val="453"/>
        </w:trPr>
        <w:tc>
          <w:tcPr>
            <w:tcW w:w="5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221"/>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6"/>
                <w:szCs w:val="16"/>
                <w:color w:val="auto"/>
              </w:rPr>
            </w:pPr>
          </w:p>
        </w:tc>
        <w:tc>
          <w:tcPr>
            <w:tcW w:w="1560" w:type="dxa"/>
            <w:vAlign w:val="bottom"/>
            <w:gridSpan w:val="3"/>
          </w:tcPr>
          <w:p>
            <w:pPr>
              <w:jc w:val="center"/>
              <w:ind w:right="2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June 30, 2021</w:t>
            </w:r>
          </w:p>
        </w:tc>
        <w:tc>
          <w:tcPr>
            <w:tcW w:w="12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523,916</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20"/>
                <w:szCs w:val="20"/>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3,210,777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2,747,394</w:t>
            </w:r>
          </w:p>
        </w:tc>
        <w:tc>
          <w:tcPr>
            <w:tcW w:w="80" w:type="dxa"/>
            <w:vAlign w:val="bottom"/>
          </w:tcPr>
          <w:p>
            <w:pPr>
              <w:spacing w:after="0"/>
              <w:rPr>
                <w:sz w:val="20"/>
                <w:szCs w:val="20"/>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2,317,820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3,125,670</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Loss</w:t>
            </w: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(2,830,023)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(2,223,478)</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80" w:type="dxa"/>
            <w:vAlign w:val="bottom"/>
          </w:tcPr>
          <w:p>
            <w:pPr>
              <w:spacing w:after="0"/>
              <w:rPr>
                <w:sz w:val="18"/>
                <w:szCs w:val="18"/>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46,428,514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32,495,660</w:t>
            </w:r>
          </w:p>
        </w:tc>
        <w:tc>
          <w:tcPr>
            <w:tcW w:w="8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27,658,812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112,152,518</w:t>
            </w: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 of</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(53,134,601)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(15,023,778)</w:t>
            </w:r>
          </w:p>
        </w:tc>
        <w:tc>
          <w:tcPr>
            <w:tcW w:w="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7,741,252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(1,315,837)</w:t>
            </w:r>
          </w:p>
        </w:tc>
      </w:tr>
      <w:tr>
        <w:trPr>
          <w:trHeight w:val="257"/>
        </w:trPr>
        <w:tc>
          <w:tcPr>
            <w:tcW w:w="52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Increase/(Decrease)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(9,536,110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15,248,404</w:t>
            </w:r>
          </w:p>
        </w:tc>
        <w:tc>
          <w:tcPr>
            <w:tcW w:w="3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33,357,064</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108,002,363</w:t>
            </w:r>
          </w:p>
        </w:tc>
        <w:tc>
          <w:tcPr>
            <w:tcW w:w="100" w:type="dxa"/>
            <w:vAlign w:val="bottom"/>
            <w:tcBorders>
              <w:top w:val="single" w:sz="8" w:color="CCEEFF"/>
              <w:bottom w:val="single" w:sz="8" w:color="CCEEFF"/>
            </w:tcBorders>
          </w:tcPr>
          <w:p>
            <w:pPr>
              <w:spacing w:after="0"/>
              <w:rPr>
                <w:sz w:val="22"/>
                <w:szCs w:val="22"/>
                <w:color w:val="auto"/>
              </w:rPr>
            </w:pPr>
          </w:p>
        </w:tc>
      </w:tr>
      <w:tr>
        <w:trPr>
          <w:trHeight w:val="151"/>
        </w:trPr>
        <w:tc>
          <w:tcPr>
            <w:tcW w:w="52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Increase/(Decrease) in Net Assets from Operations per</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(0.32)</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(0.32)</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80" w:type="dxa"/>
            <w:vAlign w:val="bottom"/>
          </w:tcPr>
          <w:p>
            <w:pPr>
              <w:spacing w:after="0"/>
              <w:rPr>
                <w:sz w:val="18"/>
                <w:szCs w:val="18"/>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29,883,824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27,619,062</w:t>
            </w:r>
          </w:p>
        </w:tc>
        <w:tc>
          <w:tcPr>
            <w:tcW w:w="8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25,334,482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20,486,621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29,883,824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27,619,062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25,334,482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24,123,339</w:t>
            </w:r>
          </w:p>
        </w:tc>
      </w:tr>
      <w:tr>
        <w:trPr>
          <w:trHeight w:val="439"/>
        </w:trPr>
        <w:tc>
          <w:tcPr>
            <w:tcW w:w="5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6"/>
                <w:szCs w:val="16"/>
                <w:color w:val="auto"/>
              </w:rPr>
            </w:pPr>
          </w:p>
        </w:tc>
        <w:tc>
          <w:tcPr>
            <w:tcW w:w="1560" w:type="dxa"/>
            <w:vAlign w:val="bottom"/>
            <w:gridSpan w:val="3"/>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June 30, 2020</w:t>
            </w:r>
          </w:p>
        </w:tc>
        <w:tc>
          <w:tcPr>
            <w:tcW w:w="12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2020</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408,107</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5,177,327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2,995,998</w:t>
            </w:r>
          </w:p>
        </w:tc>
        <w:tc>
          <w:tcPr>
            <w:tcW w:w="8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4,908,902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3,256,316</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Loss</w:t>
            </w: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(4,254,584)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(2,587,891)</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(4,667,388)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(3,004,553)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Gain/(Loss) on Investments</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7,108,580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2,378,390</w:t>
            </w: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6,978,240</w:t>
            </w: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Appreciation/(Depreciation) of</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58,424,928</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16,129,442</w:t>
            </w:r>
          </w:p>
        </w:tc>
        <w:tc>
          <w:tcPr>
            <w:tcW w:w="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26,522,195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(27,665,934)</w:t>
            </w:r>
          </w:p>
        </w:tc>
      </w:tr>
      <w:tr>
        <w:trPr>
          <w:trHeight w:val="256"/>
        </w:trPr>
        <w:tc>
          <w:tcPr>
            <w:tcW w:w="52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Increase/(Decrease)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61,278,924</w:t>
            </w:r>
          </w:p>
        </w:tc>
        <w:tc>
          <w:tcPr>
            <w:tcW w:w="2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15,919,941</w:t>
            </w:r>
          </w:p>
        </w:tc>
        <w:tc>
          <w:tcPr>
            <w:tcW w:w="3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21,830,820</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(23,692,247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51"/>
        </w:trPr>
        <w:tc>
          <w:tcPr>
            <w:tcW w:w="52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Increase/(Decrease) in Net Assets from Operations per</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4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4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19,999,989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17,795,538</w:t>
            </w: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16,383,188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17,440,994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23,884,529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21,598,403</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20,300,980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17,440,994</w:t>
            </w:r>
          </w:p>
        </w:tc>
      </w:tr>
      <w:tr>
        <w:trPr>
          <w:trHeight w:val="439"/>
        </w:trPr>
        <w:tc>
          <w:tcPr>
            <w:tcW w:w="5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14—SUPPLEMENTAL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Unconsolidated Subsidiaries</w:t>
      </w:r>
    </w:p>
    <w:p>
      <w:pPr>
        <w:spacing w:after="0" w:line="229"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three controlled portfolio companies as of December 31, 2022, SPBRX, INC. (f/k/a GSV Sustainability Partners, Inc.), Architect Capital PayJoy SPV, LLC and Colombier Sponsor LLC, did not meet the definition of a “significant subsidiary” as set forth in Rule 1-02(w)(2). For comparability purposes, the Company has omitted the previously disclosed summarized financial information of the Company’s significant subsidiaries for the quarter ended December 31, 2021 as the Company’s significant subsidiaries would not have been considered significant subsidiaries under the Final Rules.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2022,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2022.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performed an assessment of the effectiveness of our internal control over financial reporting as of December 31, 2022 based upon criteria in Internal Control—</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this assessment, management determined that our internal control over financial reporting was effective as of December 31, 2022.</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pursuant to the rules of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fiscal year ended December 31, 2022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Termination of Material Definitive Agreement</w:t>
      </w:r>
    </w:p>
    <w:p>
      <w:pPr>
        <w:spacing w:after="0" w:line="219"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On March 10, 2023, the Company and U.S. Bank Trust Company, National Association (the “Custodian”) and U.S. Bank National Association (the “Document Custodian” and, together with the Custodian, the “U.S. Bank Entities”) agreed to terminate, effective as of May 9, 2023 or such later date as the parties mutually agree, the Custody Agreement, dated as of October 28, 2022, between the Company and the Custodian (the “Securities Custody Agreement”), and the Document Custody Agreement, dated as of October 28, 2022, between the Company and the Document Custodian (the “Document Custody Agreement” and, together with the Securities Custody Agreement, the “Custody Agreements”). We have commenced a transition process with the U.S. Bank Entities, and we are currently in discussions with a number of reputable qualified custodians that we expect will be able to fulfill the Company’s needs in providing the custodial services currently provided by the U.S. Bank Entities without disruption. The termination of the Custody Agreements followed a determination by the parties that the arrangements set forth by the Custody Agreements were no longer mutually beneficial. We do not believe that such termination will have a material adverse impact on our operations or financial condition.</w:t>
      </w:r>
    </w:p>
    <w:p>
      <w:pPr>
        <w:spacing w:after="0" w:line="215"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Under the Custody Agreement, the Securities Custodian holds all of our portfolio securities and cash and transfers such securities or cash pursuant to Proper Instructions (as such term is defined under the Custody Agreement). Under the Document Custody Agreement, the Document Custodian holds all of our documents evidencing certain investments and transfer such documents pursuant to Proper Instructions (as such term is defined under the Document Custody Agreement). No termination or other fees are payable in connection with the termination of the Custody Agreements.</w:t>
      </w:r>
    </w:p>
    <w:p>
      <w:pPr>
        <w:spacing w:after="0" w:line="207"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Custody Agreements is a summary only and is qualified in all respects by the provisions of the Securities Custody Agreement and the Document Custody Agreement, copies of which are filed as Exhibit 10.1 and 10.2, respectively, to our Current Report on Form 8-K (File No. 814-00852), filed with the SEC on November 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ectPr>
          <w:pgSz w:w="11900" w:h="16838" w:orient="portrait"/>
          <w:cols w:equalWidth="0" w:num="1">
            <w:col w:w="11240"/>
          </w:cols>
          <w:pgMar w:left="320" w:top="229" w:right="339" w:bottom="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337"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will be contained in the 2023 Proxy Statement, to be filed with the SEC within 120 days after December 31, 2022, and is incorporated herein by reference. There have been no material changes to the procedures by which stockholders may recommend nominees to our Board of Directors.</w:t>
      </w:r>
    </w:p>
    <w:p>
      <w:pPr>
        <w:spacing w:after="0" w:line="176"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https://investors.surocap.com/corporate-governance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be contained in the 2023 Proxy Statement, to be filed with the SEC within 120 days after December 31, 2022,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contained in the 2023 Proxy Statement, to be filed with the SEC within 120 days after December 31, 2022,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contained in the 2023 Proxy Statement, to be filed with the SEC within 120 days after December 31, 2022,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contained in the 2023 Proxy Statement, to be filed with the SEC within 120 days after December 31, 2022,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TABLE OF CONTENTS</w:t>
            </w:r>
          </w:p>
        </w:tc>
        <w:tc>
          <w:tcPr>
            <w:tcW w:w="876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r>
      <w:tr>
        <w:trPr>
          <w:trHeight w:val="453"/>
        </w:trPr>
        <w:tc>
          <w:tcPr>
            <w:tcW w:w="10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640" w:type="dxa"/>
            <w:vAlign w:val="bottom"/>
          </w:tcPr>
          <w:p>
            <w:pPr>
              <w:spacing w:after="0"/>
              <w:rPr>
                <w:sz w:val="24"/>
                <w:szCs w:val="24"/>
                <w:color w:val="auto"/>
              </w:rPr>
            </w:pPr>
          </w:p>
        </w:tc>
      </w:tr>
      <w:tr>
        <w:trPr>
          <w:trHeight w:val="432"/>
        </w:trPr>
        <w:tc>
          <w:tcPr>
            <w:tcW w:w="106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or incorporated by reference as part of this annual report on Form 10-K:</w:t>
            </w:r>
          </w:p>
        </w:tc>
        <w:tc>
          <w:tcPr>
            <w:tcW w:w="640" w:type="dxa"/>
            <w:vAlign w:val="bottom"/>
          </w:tcPr>
          <w:p>
            <w:pPr>
              <w:spacing w:after="0"/>
              <w:rPr>
                <w:sz w:val="24"/>
                <w:szCs w:val="24"/>
                <w:color w:val="auto"/>
              </w:rPr>
            </w:pPr>
          </w:p>
        </w:tc>
      </w:tr>
      <w:tr>
        <w:trPr>
          <w:trHeight w:val="432"/>
        </w:trPr>
        <w:tc>
          <w:tcPr>
            <w:tcW w:w="106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(1) Financial Statements—Refer to Part II, Item 8 of this Form 10-K, which are incorporated herein by reference.</w:t>
            </w:r>
          </w:p>
        </w:tc>
        <w:tc>
          <w:tcPr>
            <w:tcW w:w="640" w:type="dxa"/>
            <w:vAlign w:val="bottom"/>
          </w:tcPr>
          <w:p>
            <w:pPr>
              <w:spacing w:after="0"/>
              <w:rPr>
                <w:sz w:val="24"/>
                <w:szCs w:val="24"/>
                <w:color w:val="auto"/>
              </w:rPr>
            </w:pPr>
          </w:p>
        </w:tc>
      </w:tr>
      <w:tr>
        <w:trPr>
          <w:trHeight w:val="439"/>
        </w:trPr>
        <w:tc>
          <w:tcPr>
            <w:tcW w:w="18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6"/>
        </w:trPr>
        <w:tc>
          <w:tcPr>
            <w:tcW w:w="106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18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Assets and Liabilities as of December 31, 2022 and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18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2022, 2021 and 2020</w:t>
            </w:r>
          </w:p>
        </w:tc>
        <w:tc>
          <w:tcPr>
            <w:tcW w:w="37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5"/>
        </w:trPr>
        <w:tc>
          <w:tcPr>
            <w:tcW w:w="106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Net Assets for the years ended December 31, 2022, 2021 and 2020</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1"/>
        </w:trPr>
        <w:tc>
          <w:tcPr>
            <w:tcW w:w="18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2022, 2021 and 2020</w:t>
            </w:r>
          </w:p>
        </w:tc>
        <w:tc>
          <w:tcPr>
            <w:tcW w:w="36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6"/>
        </w:trPr>
        <w:tc>
          <w:tcPr>
            <w:tcW w:w="106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Schedule of Investments as of December 31, 2022</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18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Schedule of Investments as of December 31, 2021</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176"/>
        </w:trPr>
        <w:tc>
          <w:tcPr>
            <w:tcW w:w="316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1460" w:type="dxa"/>
            <w:vAlign w:val="bottom"/>
            <w:tcBorders>
              <w:top w:val="single" w:sz="8" w:color="0000EE"/>
            </w:tcBorders>
            <w:gridSpan w:val="2"/>
          </w:tcPr>
          <w:p>
            <w:pPr>
              <w:spacing w:after="0"/>
              <w:rPr>
                <w:sz w:val="15"/>
                <w:szCs w:val="15"/>
                <w:color w:val="auto"/>
              </w:rPr>
            </w:pPr>
          </w:p>
        </w:tc>
        <w:tc>
          <w:tcPr>
            <w:tcW w:w="59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bl>
    <w:p>
      <w:pPr>
        <w:spacing w:after="0" w:line="225" w:lineRule="exact"/>
        <w:rPr>
          <w:sz w:val="20"/>
          <w:szCs w:val="20"/>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333"/>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w:t>
            </w:r>
          </w:p>
        </w:tc>
        <w:tc>
          <w:tcPr>
            <w:tcW w:w="10320" w:type="dxa"/>
            <w:vAlign w:val="bottom"/>
            <w:gridSpan w:val="30"/>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Articles of Amendment and Restatement</w:t>
              </w:r>
            </w:hyperlink>
            <w:r>
              <w:rPr>
                <w:rFonts w:ascii="Times New Roman" w:cs="Times New Roman" w:eastAsia="Times New Roman" w:hAnsi="Times New Roman"/>
                <w:sz w:val="29"/>
                <w:szCs w:val="29"/>
                <w:color w:val="000000"/>
                <w:vertAlign w:val="superscript"/>
              </w:rPr>
              <w:t>(1)</w:t>
            </w:r>
          </w:p>
        </w:tc>
        <w:tc>
          <w:tcPr>
            <w:tcW w:w="0" w:type="dxa"/>
            <w:vAlign w:val="bottom"/>
          </w:tcPr>
          <w:p>
            <w:pPr>
              <w:spacing w:after="0"/>
              <w:rPr>
                <w:sz w:val="1"/>
                <w:szCs w:val="1"/>
                <w:color w:val="auto"/>
              </w:rPr>
            </w:pPr>
          </w:p>
        </w:tc>
      </w:tr>
      <w:tr>
        <w:trPr>
          <w:trHeight w:val="237"/>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w:t>
            </w:r>
          </w:p>
        </w:tc>
        <w:tc>
          <w:tcPr>
            <w:tcW w:w="2940" w:type="dxa"/>
            <w:vAlign w:val="bottom"/>
            <w:tcBorders>
              <w:top w:val="single" w:sz="8" w:color="0000EE"/>
            </w:tcBorders>
            <w:gridSpan w:val="14"/>
          </w:tcPr>
          <w:p>
            <w:pPr>
              <w:spacing w:after="0" w:line="236"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Articles of Amendment</w:t>
              </w:r>
            </w:hyperlink>
            <w:r>
              <w:rPr>
                <w:rFonts w:ascii="Times New Roman" w:cs="Times New Roman" w:eastAsia="Times New Roman" w:hAnsi="Times New Roman"/>
                <w:sz w:val="27"/>
                <w:szCs w:val="27"/>
                <w:color w:val="000000"/>
                <w:vertAlign w:val="superscript"/>
              </w:rPr>
              <w:t>(2)</w:t>
            </w:r>
          </w:p>
        </w:tc>
        <w:tc>
          <w:tcPr>
            <w:tcW w:w="738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Articles of Amendment</w:t>
              </w:r>
            </w:hyperlink>
            <w:r>
              <w:rPr>
                <w:rFonts w:ascii="Times New Roman" w:cs="Times New Roman" w:eastAsia="Times New Roman" w:hAnsi="Times New Roman"/>
                <w:sz w:val="27"/>
                <w:szCs w:val="27"/>
                <w:color w:val="000000"/>
                <w:vertAlign w:val="superscript"/>
              </w:rPr>
              <w:t>(3)</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Articles of Amendment</w:t>
              </w:r>
            </w:hyperlink>
            <w:r>
              <w:rPr>
                <w:rFonts w:ascii="Times New Roman" w:cs="Times New Roman" w:eastAsia="Times New Roman" w:hAnsi="Times New Roman"/>
                <w:sz w:val="27"/>
                <w:szCs w:val="27"/>
                <w:color w:val="000000"/>
                <w:vertAlign w:val="superscript"/>
              </w:rPr>
              <w:t>(4)</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Second Amended and Restated Bylaws</w:t>
              </w:r>
            </w:hyperlink>
            <w:r>
              <w:rPr>
                <w:rFonts w:ascii="Times New Roman" w:cs="Times New Roman" w:eastAsia="Times New Roman" w:hAnsi="Times New Roman"/>
                <w:sz w:val="27"/>
                <w:szCs w:val="27"/>
                <w:color w:val="000000"/>
                <w:vertAlign w:val="superscript"/>
              </w:rPr>
              <w:t>(4)</w:t>
            </w:r>
          </w:p>
        </w:tc>
        <w:tc>
          <w:tcPr>
            <w:tcW w:w="0" w:type="dxa"/>
            <w:vAlign w:val="bottom"/>
          </w:tcPr>
          <w:p>
            <w:pPr>
              <w:spacing w:after="0"/>
              <w:rPr>
                <w:sz w:val="1"/>
                <w:szCs w:val="1"/>
                <w:color w:val="auto"/>
              </w:rPr>
            </w:pPr>
          </w:p>
        </w:tc>
      </w:tr>
      <w:tr>
        <w:trPr>
          <w:trHeight w:val="23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w:t>
            </w:r>
          </w:p>
        </w:tc>
        <w:tc>
          <w:tcPr>
            <w:tcW w:w="2820" w:type="dxa"/>
            <w:vAlign w:val="bottom"/>
            <w:tcBorders>
              <w:top w:val="single" w:sz="8" w:color="0000EE"/>
            </w:tcBorders>
            <w:gridSpan w:val="13"/>
          </w:tcPr>
          <w:p>
            <w:pPr>
              <w:spacing w:after="0" w:line="236"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Form of Common Stock Certificate</w:t>
              </w:r>
            </w:hyperlink>
            <w:r>
              <w:rPr>
                <w:rFonts w:ascii="Times New Roman" w:cs="Times New Roman" w:eastAsia="Times New Roman" w:hAnsi="Times New Roman"/>
                <w:sz w:val="27"/>
                <w:szCs w:val="27"/>
                <w:color w:val="000000"/>
                <w:vertAlign w:val="superscript"/>
              </w:rPr>
              <w:t>(5)</w:t>
            </w:r>
          </w:p>
        </w:tc>
        <w:tc>
          <w:tcPr>
            <w:tcW w:w="750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Base Indenture, dated March 28, 2018, by and between the Registrant and U.S. Bank National Association, as trustee</w:t>
              </w:r>
            </w:hyperlink>
            <w:r>
              <w:rPr>
                <w:rFonts w:ascii="Times New Roman" w:cs="Times New Roman" w:eastAsia="Times New Roman" w:hAnsi="Times New Roman"/>
                <w:sz w:val="27"/>
                <w:szCs w:val="27"/>
                <w:color w:val="000000"/>
                <w:vertAlign w:val="superscript"/>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3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Second Supplemental Indenture, dated December 17, 2021, relating to the 6.00% Notes due 2026, by and between the Company and U.S.</w:t>
              </w:r>
            </w:hyperlink>
          </w:p>
        </w:tc>
        <w:tc>
          <w:tcPr>
            <w:tcW w:w="0" w:type="dxa"/>
            <w:vAlign w:val="bottom"/>
          </w:tcPr>
          <w:p>
            <w:pPr>
              <w:spacing w:after="0"/>
              <w:rPr>
                <w:sz w:val="1"/>
                <w:szCs w:val="1"/>
                <w:color w:val="auto"/>
              </w:rPr>
            </w:pPr>
          </w:p>
        </w:tc>
      </w:tr>
      <w:tr>
        <w:trPr>
          <w:trHeight w:val="237"/>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4.4</w:t>
            </w: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Bank National Association, as trustee</w:t>
              </w:r>
              <w:r>
                <w:rPr>
                  <w:rFonts w:ascii="Times New Roman" w:cs="Times New Roman" w:eastAsia="Times New Roman" w:hAnsi="Times New Roman"/>
                  <w:sz w:val="27"/>
                  <w:szCs w:val="27"/>
                  <w:color w:val="000000"/>
                  <w:vertAlign w:val="superscript"/>
                </w:rPr>
                <w:t>(7)</w:t>
              </w:r>
            </w:hyperlink>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Form of 6.00% Notes due 2026 (incorporated by reference to Exhibit 4.3)</w:t>
              </w:r>
            </w:hyperlink>
            <w:r>
              <w:rPr>
                <w:rFonts w:ascii="Times New Roman" w:cs="Times New Roman" w:eastAsia="Times New Roman" w:hAnsi="Times New Roman"/>
                <w:sz w:val="27"/>
                <w:szCs w:val="27"/>
                <w:color w:val="000000"/>
                <w:vertAlign w:val="superscript"/>
              </w:rPr>
              <w:t>(7)</w:t>
            </w:r>
          </w:p>
        </w:tc>
        <w:tc>
          <w:tcPr>
            <w:tcW w:w="0" w:type="dxa"/>
            <w:vAlign w:val="bottom"/>
          </w:tcPr>
          <w:p>
            <w:pPr>
              <w:spacing w:after="0"/>
              <w:rPr>
                <w:sz w:val="1"/>
                <w:szCs w:val="1"/>
                <w:color w:val="auto"/>
              </w:rPr>
            </w:pPr>
          </w:p>
        </w:tc>
      </w:tr>
      <w:tr>
        <w:trPr>
          <w:trHeight w:val="237"/>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4.5</w:t>
            </w:r>
          </w:p>
        </w:tc>
        <w:tc>
          <w:tcPr>
            <w:tcW w:w="5300" w:type="dxa"/>
            <w:vAlign w:val="bottom"/>
            <w:tcBorders>
              <w:top w:val="single" w:sz="8" w:color="0000EE"/>
            </w:tcBorders>
            <w:gridSpan w:val="19"/>
          </w:tcPr>
          <w:p>
            <w:pPr>
              <w:spacing w:after="0" w:line="236"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Description of Securities</w:t>
              </w:r>
            </w:hyperlink>
            <w:r>
              <w:rPr>
                <w:rFonts w:ascii="Times New Roman" w:cs="Times New Roman" w:eastAsia="Times New Roman" w:hAnsi="Times New Roman"/>
                <w:sz w:val="27"/>
                <w:szCs w:val="27"/>
                <w:color w:val="000000"/>
                <w:vertAlign w:val="superscript"/>
              </w:rPr>
              <w:t>(8)</w:t>
            </w:r>
          </w:p>
        </w:tc>
        <w:tc>
          <w:tcPr>
            <w:tcW w:w="50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Dividend Reinvestment Plan</w:t>
              </w:r>
            </w:hyperlink>
            <w:r>
              <w:rPr>
                <w:rFonts w:ascii="Times New Roman" w:cs="Times New Roman" w:eastAsia="Times New Roman" w:hAnsi="Times New Roman"/>
                <w:sz w:val="27"/>
                <w:szCs w:val="27"/>
                <w:color w:val="000000"/>
                <w:vertAlign w:val="superscript"/>
              </w:rPr>
              <w:t>(1)</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SuRo Capital Corp. Amended and Restated 2019 Equity Incentive Plan</w:t>
              </w:r>
            </w:hyperlink>
            <w:r>
              <w:rPr>
                <w:rFonts w:ascii="Times New Roman" w:cs="Times New Roman" w:eastAsia="Times New Roman" w:hAnsi="Times New Roman"/>
                <w:sz w:val="27"/>
                <w:szCs w:val="27"/>
                <w:color w:val="000000"/>
                <w:vertAlign w:val="superscript"/>
              </w:rPr>
              <w:t>(9)</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88">
              <w:r>
                <w:rPr>
                  <w:rFonts w:ascii="Times New Roman" w:cs="Times New Roman" w:eastAsia="Times New Roman" w:hAnsi="Times New Roman"/>
                  <w:sz w:val="17"/>
                  <w:szCs w:val="17"/>
                  <w:color w:val="0000EE"/>
                </w:rPr>
                <w:t>Form of SuRo Capital Corp. Restricted Stock Agreement (Non-Employee Directors)</w:t>
              </w:r>
            </w:hyperlink>
            <w:r>
              <w:rPr>
                <w:rFonts w:ascii="Times New Roman" w:cs="Times New Roman" w:eastAsia="Times New Roman" w:hAnsi="Times New Roman"/>
                <w:sz w:val="27"/>
                <w:szCs w:val="27"/>
                <w:color w:val="000000"/>
                <w:vertAlign w:val="superscript"/>
              </w:rPr>
              <w:t>(9)</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Form of SuRo Capital Corp. Restricted Stock Agreement (Employees and Officers)</w:t>
              </w:r>
            </w:hyperlink>
            <w:r>
              <w:rPr>
                <w:rFonts w:ascii="Times New Roman" w:cs="Times New Roman" w:eastAsia="Times New Roman" w:hAnsi="Times New Roman"/>
                <w:sz w:val="27"/>
                <w:szCs w:val="27"/>
                <w:color w:val="000000"/>
                <w:vertAlign w:val="superscript"/>
              </w:rPr>
              <w:t>(9)</w:t>
            </w:r>
          </w:p>
        </w:tc>
        <w:tc>
          <w:tcPr>
            <w:tcW w:w="0" w:type="dxa"/>
            <w:vAlign w:val="bottom"/>
          </w:tcPr>
          <w:p>
            <w:pPr>
              <w:spacing w:after="0"/>
              <w:rPr>
                <w:sz w:val="1"/>
                <w:szCs w:val="1"/>
                <w:color w:val="auto"/>
              </w:rPr>
            </w:pPr>
          </w:p>
        </w:tc>
      </w:tr>
      <w:tr>
        <w:trPr>
          <w:trHeight w:val="237"/>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10.5</w:t>
            </w:r>
          </w:p>
        </w:tc>
        <w:tc>
          <w:tcPr>
            <w:tcW w:w="6080" w:type="dxa"/>
            <w:vAlign w:val="bottom"/>
            <w:tcBorders>
              <w:top w:val="single" w:sz="8" w:color="0000EE"/>
            </w:tcBorders>
            <w:gridSpan w:val="20"/>
          </w:tcPr>
          <w:p>
            <w:pPr>
              <w:spacing w:after="0" w:line="236"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Form of SuRo Capital Corp. Non-Qualified Stock Option Award</w:t>
              </w:r>
            </w:hyperlink>
            <w:r>
              <w:rPr>
                <w:rFonts w:ascii="Times New Roman" w:cs="Times New Roman" w:eastAsia="Times New Roman" w:hAnsi="Times New Roman"/>
                <w:sz w:val="27"/>
                <w:szCs w:val="27"/>
                <w:color w:val="000000"/>
                <w:vertAlign w:val="superscript"/>
              </w:rPr>
              <w:t>(9)</w:t>
            </w:r>
          </w:p>
        </w:tc>
        <w:tc>
          <w:tcPr>
            <w:tcW w:w="42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Custody Agreement dated April 14, 2011 by and between the Registrant and U.S. Bank National Association</w:t>
              </w:r>
            </w:hyperlink>
            <w:r>
              <w:rPr>
                <w:rFonts w:ascii="Times New Roman" w:cs="Times New Roman" w:eastAsia="Times New Roman" w:hAnsi="Times New Roman"/>
                <w:sz w:val="27"/>
                <w:szCs w:val="27"/>
                <w:color w:val="000000"/>
                <w:vertAlign w:val="superscript"/>
              </w:rPr>
              <w:t>(10)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3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Custody Agreement, dated October 28, 2022, by and between the Registrant and U.S. Bank Trust Company, National Association, as</w:t>
              </w:r>
            </w:hyperlink>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Custodian.</w:t>
              </w:r>
              <w:r>
                <w:rPr>
                  <w:rFonts w:ascii="Times New Roman" w:cs="Times New Roman" w:eastAsia="Times New Roman" w:hAnsi="Times New Roman"/>
                  <w:sz w:val="27"/>
                  <w:szCs w:val="27"/>
                  <w:color w:val="000000"/>
                  <w:vertAlign w:val="superscript"/>
                </w:rPr>
                <w:t>(11)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3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Document Custody Agreement, dated October 28, 2022, by and between the Registrant and U.S. Bank Trust Company, National Association,</w:t>
              </w:r>
            </w:hyperlink>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10.9</w:t>
            </w:r>
          </w:p>
        </w:tc>
        <w:tc>
          <w:tcPr>
            <w:tcW w:w="10320" w:type="dxa"/>
            <w:vAlign w:val="bottom"/>
            <w:gridSpan w:val="30"/>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as Document Custodian.</w:t>
              </w:r>
              <w:r>
                <w:rPr>
                  <w:rFonts w:ascii="Times New Roman" w:cs="Times New Roman" w:eastAsia="Times New Roman" w:hAnsi="Times New Roman"/>
                  <w:sz w:val="18"/>
                  <w:szCs w:val="18"/>
                  <w:color w:val="000000"/>
                </w:rPr>
                <w:t>(11)</w:t>
              </w:r>
            </w:hyperlink>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Form of Indemnification Agreement by and between the Company and each of its directors</w:t>
              </w:r>
            </w:hyperlink>
            <w:r>
              <w:rPr>
                <w:rFonts w:ascii="Times New Roman" w:cs="Times New Roman" w:eastAsia="Times New Roman" w:hAnsi="Times New Roman"/>
                <w:sz w:val="27"/>
                <w:szCs w:val="27"/>
                <w:color w:val="000000"/>
                <w:vertAlign w:val="superscript"/>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0320" w:type="dxa"/>
            <w:vAlign w:val="bottom"/>
            <w:gridSpan w:val="30"/>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Second Amended and Restated Employment Agreement, dated April 26, 2021, by and between Sutter Rock Capital Corp. and Mark D.</w:t>
              </w:r>
            </w:hyperlink>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10300" w:type="dxa"/>
            <w:vAlign w:val="bottom"/>
            <w:tcBorders>
              <w:top w:val="single" w:sz="8" w:color="0000EE"/>
            </w:tcBorders>
            <w:gridSpan w:val="29"/>
          </w:tcPr>
          <w:p>
            <w:pPr>
              <w:spacing w:after="0" w:line="236"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Klein</w:t>
              </w:r>
              <w:r>
                <w:rPr>
                  <w:rFonts w:ascii="Times New Roman" w:cs="Times New Roman" w:eastAsia="Times New Roman" w:hAnsi="Times New Roman"/>
                  <w:sz w:val="27"/>
                  <w:szCs w:val="27"/>
                  <w:color w:val="000000"/>
                  <w:vertAlign w:val="superscript"/>
                </w:rPr>
                <w:t>(12)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0320" w:type="dxa"/>
            <w:vAlign w:val="bottom"/>
            <w:gridSpan w:val="30"/>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Second Amended and Restated Employment Agreement, dated April 26, 2021, by and between Sutter Rock Capital Corp. and Allison</w:t>
              </w:r>
            </w:hyperlink>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10300" w:type="dxa"/>
            <w:vAlign w:val="bottom"/>
            <w:tcBorders>
              <w:top w:val="single" w:sz="8" w:color="0000EE"/>
            </w:tcBorders>
            <w:gridSpan w:val="29"/>
          </w:tcPr>
          <w:p>
            <w:pPr>
              <w:spacing w:after="0" w:line="236" w:lineRule="exact"/>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Green</w:t>
              </w:r>
              <w:r>
                <w:rPr>
                  <w:rFonts w:ascii="Times New Roman" w:cs="Times New Roman" w:eastAsia="Times New Roman" w:hAnsi="Times New Roman"/>
                  <w:sz w:val="27"/>
                  <w:szCs w:val="27"/>
                  <w:color w:val="000000"/>
                  <w:vertAlign w:val="superscript"/>
                </w:rPr>
                <w:t>(12)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03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Amendment No. 1 to Second Amended and Restated Employment Agreement, dated March 10, 2022, by and between SuRo Capital Corp. and</w:t>
              </w:r>
            </w:hyperlink>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Allison Green</w:t>
              </w:r>
              <w:r>
                <w:rPr>
                  <w:rFonts w:ascii="Times New Roman" w:cs="Times New Roman" w:eastAsia="Times New Roman" w:hAnsi="Times New Roman"/>
                  <w:sz w:val="27"/>
                  <w:szCs w:val="27"/>
                  <w:color w:val="000000"/>
                  <w:vertAlign w:val="superscript"/>
                </w:rPr>
                <w:t>(8)</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03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At-the-Market Sales Agreement dated as of July 29, 2020, by and among SuRo Capital Corp., BTIG LLC, JMP Securities LLC, and</w:t>
              </w:r>
            </w:hyperlink>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Ladenburg Thalmann &amp; Co., Inc.</w:t>
              </w:r>
              <w:r>
                <w:rPr>
                  <w:rFonts w:ascii="Times New Roman" w:cs="Times New Roman" w:eastAsia="Times New Roman" w:hAnsi="Times New Roman"/>
                  <w:sz w:val="27"/>
                  <w:szCs w:val="27"/>
                  <w:color w:val="000000"/>
                  <w:vertAlign w:val="superscript"/>
                </w:rPr>
                <w:t>(13)</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103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Amendment No.1 to the At-the-Market Sales Agreement, dated as of September 23, 2020, by and among SuRo Capital Corp., BTIG LLC,</w:t>
              </w:r>
            </w:hyperlink>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JMP Securities LLC, and Ladenburg Thalmann &amp; Co., Inc.</w:t>
              </w:r>
              <w:r>
                <w:rPr>
                  <w:rFonts w:ascii="Times New Roman" w:cs="Times New Roman" w:eastAsia="Times New Roman" w:hAnsi="Times New Roman"/>
                  <w:sz w:val="27"/>
                  <w:szCs w:val="27"/>
                  <w:color w:val="000000"/>
                  <w:vertAlign w:val="superscript"/>
                </w:rPr>
                <w:t>(14)</w:t>
              </w:r>
            </w:hyperlink>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1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Code of Ethics*</w:t>
            </w:r>
          </w:p>
        </w:tc>
        <w:tc>
          <w:tcPr>
            <w:tcW w:w="3100" w:type="dxa"/>
            <w:vAlign w:val="bottom"/>
            <w:tcBorders>
              <w:top w:val="single" w:sz="8" w:color="0000EE"/>
            </w:tcBorders>
            <w:gridSpan w:val="10"/>
          </w:tcPr>
          <w:p>
            <w:pPr>
              <w:spacing w:after="0"/>
              <w:rPr>
                <w:sz w:val="17"/>
                <w:szCs w:val="17"/>
                <w:color w:val="auto"/>
              </w:rPr>
            </w:pPr>
          </w:p>
        </w:tc>
        <w:tc>
          <w:tcPr>
            <w:tcW w:w="6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14.2</w:t>
            </w: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 xml:space="preserve">Code of Business Conduct and Ethics </w:t>
              </w:r>
            </w:hyperlink>
            <w:r>
              <w:rPr>
                <w:rFonts w:ascii="Times New Roman" w:cs="Times New Roman" w:eastAsia="Times New Roman" w:hAnsi="Times New Roman"/>
                <w:sz w:val="27"/>
                <w:szCs w:val="27"/>
                <w:color w:val="000000"/>
                <w:vertAlign w:val="superscript"/>
              </w:rPr>
              <w:t>(15)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3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 (Included in the notes to the consolidated financial statements contained in this report)*</w:t>
            </w: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7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Consent of Marcum LLP*</w:t>
            </w:r>
          </w:p>
        </w:tc>
        <w:tc>
          <w:tcPr>
            <w:tcW w:w="25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3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 of the Securities Exchange Act of 1934, as amended*</w:t>
            </w: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50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 of the Securities Exchange Act of 1934, as amended*</w:t>
            </w:r>
          </w:p>
        </w:tc>
        <w:tc>
          <w:tcPr>
            <w:tcW w:w="40" w:type="dxa"/>
            <w:vAlign w:val="bottom"/>
            <w:tcBorders>
              <w:top w:val="single" w:sz="8" w:color="0000EE"/>
            </w:tcBorders>
          </w:tcPr>
          <w:p>
            <w:pPr>
              <w:spacing w:after="0"/>
              <w:rPr>
                <w:sz w:val="17"/>
                <w:szCs w:val="17"/>
                <w:color w:val="auto"/>
              </w:rPr>
            </w:pPr>
          </w:p>
        </w:tc>
        <w:tc>
          <w:tcPr>
            <w:tcW w:w="17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3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22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17"/>
                <w:szCs w:val="17"/>
                <w:color w:val="auto"/>
              </w:rPr>
            </w:pPr>
          </w:p>
        </w:tc>
        <w:tc>
          <w:tcPr>
            <w:tcW w:w="30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3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Report of Marcum LLP regarding the Senior Securities table*</w:t>
            </w: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99.2</w:t>
            </w:r>
          </w:p>
        </w:tc>
        <w:tc>
          <w:tcPr>
            <w:tcW w:w="4440" w:type="dxa"/>
            <w:vAlign w:val="bottom"/>
            <w:gridSpan w:val="16"/>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vMerge w:val="continue"/>
          </w:tcPr>
          <w:p>
            <w:pPr>
              <w:spacing w:after="0"/>
              <w:rPr>
                <w:sz w:val="20"/>
                <w:szCs w:val="20"/>
                <w:color w:val="auto"/>
              </w:rPr>
            </w:pPr>
          </w:p>
        </w:tc>
        <w:tc>
          <w:tcPr>
            <w:tcW w:w="10320" w:type="dxa"/>
            <w:vAlign w:val="bottom"/>
            <w:gridSpan w:val="30"/>
          </w:tcPr>
          <w:p>
            <w:pPr>
              <w:spacing w:after="0" w:line="236"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Report of Deloitte &amp; Touche LLP regarding the Senior Securities table</w:t>
              </w:r>
            </w:hyperlink>
            <w:r>
              <w:rPr>
                <w:rFonts w:ascii="Times New Roman" w:cs="Times New Roman" w:eastAsia="Times New Roman" w:hAnsi="Times New Roman"/>
                <w:sz w:val="27"/>
                <w:szCs w:val="27"/>
                <w:color w:val="000000"/>
                <w:vertAlign w:val="superscript"/>
              </w:rPr>
              <w:t>(6)</w:t>
            </w:r>
          </w:p>
        </w:tc>
        <w:tc>
          <w:tcPr>
            <w:tcW w:w="0" w:type="dxa"/>
            <w:vAlign w:val="bottom"/>
          </w:tcPr>
          <w:p>
            <w:pPr>
              <w:spacing w:after="0"/>
              <w:rPr>
                <w:sz w:val="1"/>
                <w:szCs w:val="1"/>
                <w:color w:val="auto"/>
              </w:rPr>
            </w:pPr>
          </w:p>
        </w:tc>
      </w:tr>
      <w:tr>
        <w:trPr>
          <w:trHeight w:val="218"/>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51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2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4"/>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101.DEF</w:t>
            </w:r>
          </w:p>
        </w:tc>
        <w:tc>
          <w:tcPr>
            <w:tcW w:w="103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0" w:gutter="0" w:footer="0" w:header="0"/>
        </w:sectPr>
      </w:pPr>
    </w:p>
    <w:bookmarkStart w:id="141" w:name="page142"/>
    <w:bookmarkEnd w:id="141"/>
    <w:p>
      <w:pPr>
        <w:ind w:left="12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249" w:lineRule="exact"/>
        <w:rPr>
          <w:sz w:val="20"/>
          <w:szCs w:val="20"/>
          <w:color w:val="auto"/>
        </w:rPr>
      </w:pPr>
    </w:p>
    <w:p>
      <w:pPr>
        <w:ind w:left="34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17830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right="2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August 1, 2019,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16, 2020,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3 to the Registrant’s Registration Statement on Form N-2 (File No. 333-175655), filed on September 20, 2011,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Registration Statement on Form N-2 (File No. 333-239681), filed on July 2, 2020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December 17, 2021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Annual Report on Form 10-K (File No. 814-00852) filed on March 11, 2022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Registration Statement on Form S-8 (File No. 333-239662) filed on July 2, 2020,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3 to the Registrant’s Registration Statement on Form N-2 (File No. 333-171578), filed on April 15, 2011,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November 1, 2022, and incorporated by reference herein.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Quarterly Report on Form 10-Q (File No. 814-00852), filed on May 6, 2021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August 3, 2020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September 23, 2020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Annual Report on Form 10-K (File No. 814-00852), filed on March 13, 2020 and incorporated by reference herein.</w:t>
      </w:r>
    </w:p>
    <w:p>
      <w:pPr>
        <w:spacing w:after="0" w:line="162"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27"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March 16,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March 16,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Chief Compliance Officer, Treasurer,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right="420" w:firstLine="36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2023</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Mark D. Klein</w:t>
            </w:r>
          </w:p>
        </w:tc>
      </w:tr>
      <w:tr>
        <w:trPr>
          <w:trHeight w:val="198"/>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Mark D. Klein</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2023</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Allison Green</w:t>
            </w:r>
          </w:p>
        </w:tc>
      </w:tr>
      <w:tr>
        <w:trPr>
          <w:trHeight w:val="198"/>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Allison Green</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Chief Compliance Officer,</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Treasurer, and Corporate Secretary</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2023</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Leonard A. Potter</w:t>
            </w:r>
          </w:p>
        </w:tc>
      </w:tr>
      <w:tr>
        <w:trPr>
          <w:trHeight w:val="198"/>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Leonard A. Potter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2023</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Ronald M. Lott</w:t>
            </w:r>
          </w:p>
        </w:tc>
      </w:tr>
      <w:tr>
        <w:trPr>
          <w:trHeight w:val="198"/>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Ronald M. Lott</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2023</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Marc Mazur</w:t>
            </w:r>
          </w:p>
        </w:tc>
      </w:tr>
      <w:tr>
        <w:trPr>
          <w:trHeight w:val="198"/>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Marc Mazur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2023</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Lisa Westley</w:t>
            </w:r>
          </w:p>
        </w:tc>
      </w:tr>
      <w:tr>
        <w:trPr>
          <w:trHeight w:val="198"/>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Lisa Westley</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9"/>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130</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I. Statement of General Fiduciary Principles</w:t>
      </w:r>
    </w:p>
    <w:p>
      <w:pPr>
        <w:spacing w:after="0" w:line="225" w:lineRule="exact"/>
        <w:rPr>
          <w:sz w:val="20"/>
          <w:szCs w:val="20"/>
          <w:color w:val="auto"/>
        </w:rPr>
      </w:pPr>
    </w:p>
    <w:p>
      <w:pPr>
        <w:jc w:val="both"/>
        <w:ind w:left="120" w:firstLine="544"/>
        <w:spacing w:after="0" w:line="259" w:lineRule="auto"/>
        <w:rPr>
          <w:sz w:val="20"/>
          <w:szCs w:val="20"/>
          <w:color w:val="auto"/>
        </w:rPr>
      </w:pPr>
      <w:r>
        <w:rPr>
          <w:rFonts w:ascii="Times New Roman" w:cs="Times New Roman" w:eastAsia="Times New Roman" w:hAnsi="Times New Roman"/>
          <w:sz w:val="18"/>
          <w:szCs w:val="18"/>
          <w:color w:val="auto"/>
        </w:rPr>
        <w:t>This Code of Ethics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has been adopted by SuRo Capital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SuRo Capital</w:t>
      </w:r>
      <w:r>
        <w:rPr>
          <w:rFonts w:ascii="Times New Roman" w:cs="Times New Roman" w:eastAsia="Times New Roman" w:hAnsi="Times New Roman"/>
          <w:sz w:val="18"/>
          <w:szCs w:val="18"/>
          <w:color w:val="auto"/>
        </w:rPr>
        <w:t>”) in compliance with Rule 17j-1 under the Investment Company Act of 1940,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under the Act (“</w:t>
      </w:r>
      <w:r>
        <w:rPr>
          <w:rFonts w:ascii="Times New Roman" w:cs="Times New Roman" w:eastAsia="Times New Roman" w:hAnsi="Times New Roman"/>
          <w:sz w:val="18"/>
          <w:szCs w:val="18"/>
          <w:b w:val="1"/>
          <w:bCs w:val="1"/>
          <w:i w:val="1"/>
          <w:iCs w:val="1"/>
          <w:color w:val="auto"/>
        </w:rPr>
        <w:t>Rule 17j-1</w:t>
      </w:r>
      <w:r>
        <w:rPr>
          <w:rFonts w:ascii="Times New Roman" w:cs="Times New Roman" w:eastAsia="Times New Roman" w:hAnsi="Times New Roman"/>
          <w:sz w:val="18"/>
          <w:szCs w:val="18"/>
          <w:color w:val="auto"/>
        </w:rPr>
        <w:t>”) are appropriately to be addressed.</w:t>
      </w:r>
    </w:p>
    <w:p>
      <w:pPr>
        <w:spacing w:after="0" w:line="183" w:lineRule="exact"/>
        <w:rPr>
          <w:sz w:val="20"/>
          <w:szCs w:val="20"/>
          <w:color w:val="auto"/>
        </w:rPr>
      </w:pPr>
    </w:p>
    <w:p>
      <w:pPr>
        <w:jc w:val="both"/>
        <w:ind w:left="120" w:firstLine="544"/>
        <w:spacing w:after="0" w:line="256" w:lineRule="auto"/>
        <w:rPr>
          <w:sz w:val="20"/>
          <w:szCs w:val="20"/>
          <w:color w:val="auto"/>
        </w:rPr>
      </w:pPr>
      <w:r>
        <w:rPr>
          <w:rFonts w:ascii="Times New Roman" w:cs="Times New Roman" w:eastAsia="Times New Roman" w:hAnsi="Times New Roman"/>
          <w:sz w:val="18"/>
          <w:szCs w:val="18"/>
          <w:color w:val="auto"/>
        </w:rPr>
        <w:t>The Code is based on the principle that the directors, officers and employees of the Corporation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officers and employees of the Corporation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are expected to adhere to this general principle as well as to comply with all of the specific provisions of this Code applicable to them. In addition, all Covered Persons must comply with applicable federal securities laws and must report violations of the Code to the Corporation’s Chief Compliance Officer (“</w:t>
      </w:r>
      <w:r>
        <w:rPr>
          <w:rFonts w:ascii="Times New Roman" w:cs="Times New Roman" w:eastAsia="Times New Roman" w:hAnsi="Times New Roman"/>
          <w:sz w:val="18"/>
          <w:szCs w:val="18"/>
          <w:b w:val="1"/>
          <w:bCs w:val="1"/>
          <w:i w:val="1"/>
          <w:iCs w:val="1"/>
          <w:color w:val="auto"/>
        </w:rPr>
        <w:t>CCO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firstLine="544"/>
        <w:spacing w:after="0" w:line="261" w:lineRule="auto"/>
        <w:rPr>
          <w:sz w:val="20"/>
          <w:szCs w:val="20"/>
          <w:color w:val="auto"/>
        </w:rPr>
      </w:pPr>
      <w:r>
        <w:rPr>
          <w:rFonts w:ascii="Times New Roman" w:cs="Times New Roman" w:eastAsia="Times New Roman" w:hAnsi="Times New Roman"/>
          <w:sz w:val="18"/>
          <w:szCs w:val="18"/>
          <w:color w:val="auto"/>
        </w:rPr>
        <w:t>Technical compliance with the Code will not automatically insulate any Covered Person from scrutiny of transactions that show a pattern of compromise or abuse of the individual’s fiduciary duty to the Corporation. Accordingly, all Covered Persons must seek to avoid any actual or potential conflicts between their personal interests and the interests of the Corporation and its stockholders. In sum, all Covered Persons shall place the interests of the Corporation and its investors before their own personal interests.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Covered Persons must read and retain this Code.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II. Definitions</w:t>
      </w:r>
    </w:p>
    <w:p>
      <w:pPr>
        <w:spacing w:after="0" w:line="225" w:lineRule="exact"/>
        <w:rPr>
          <w:sz w:val="20"/>
          <w:szCs w:val="20"/>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Access Person</w:t>
      </w:r>
      <w:r>
        <w:rPr>
          <w:rFonts w:ascii="Times New Roman" w:cs="Times New Roman" w:eastAsia="Times New Roman" w:hAnsi="Times New Roman"/>
          <w:sz w:val="18"/>
          <w:szCs w:val="18"/>
          <w:color w:val="auto"/>
        </w:rPr>
        <w:t>” means any director, employee, officer or Advisory Person (as defined below) of the Corporation.</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59"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Advisory Person</w:t>
      </w:r>
      <w:r>
        <w:rPr>
          <w:rFonts w:ascii="Times New Roman" w:cs="Times New Roman" w:eastAsia="Times New Roman" w:hAnsi="Times New Roman"/>
          <w:sz w:val="18"/>
          <w:szCs w:val="18"/>
          <w:color w:val="auto"/>
        </w:rPr>
        <w:t>” of the Corporation means: (i) any director, officer or employee of the Corporation or any company in a Control (as defined below) relationship to the Corporation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who obtains information concerning recommendations made to the Corporation with regard to the purchase or sale of any Covered Security by the Corporation.</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8"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is interpreted in the same manner as it would be under Rule 16a-1(a)(2)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in determining whether a person is a beneficial owner of a security for purposes of Section 16 of the Exchange Act and the rules and regulations thereunder.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ind w:left="460" w:hanging="452"/>
        <w:spacing w:after="0"/>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CCO</w:t>
      </w:r>
      <w:r>
        <w:rPr>
          <w:rFonts w:ascii="Times New Roman" w:cs="Times New Roman" w:eastAsia="Times New Roman" w:hAnsi="Times New Roman"/>
          <w:sz w:val="18"/>
          <w:szCs w:val="18"/>
          <w:color w:val="auto"/>
        </w:rPr>
        <w:t>” means the Chief Compliance Officer of the Corporation.</w:t>
      </w:r>
    </w:p>
    <w:p>
      <w:pPr>
        <w:spacing w:after="0" w:line="225" w:lineRule="exact"/>
        <w:rPr>
          <w:rFonts w:ascii="Times New Roman" w:cs="Times New Roman" w:eastAsia="Times New Roman" w:hAnsi="Times New Roman"/>
          <w:sz w:val="18"/>
          <w:szCs w:val="18"/>
          <w:color w:val="auto"/>
        </w:rPr>
      </w:pPr>
    </w:p>
    <w:p>
      <w:pPr>
        <w:ind w:left="460" w:hanging="452"/>
        <w:spacing w:after="0" w:line="286"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shall have the same meaning as that set forth in Section 2(a)(9) of the Act, and generally means the power to exercise a controlling influence over the management or policies of a company, unless such power is solely the result of an official position with such company.</w:t>
      </w:r>
    </w:p>
    <w:p>
      <w:pPr>
        <w:spacing w:after="0" w:line="154" w:lineRule="exact"/>
        <w:rPr>
          <w:rFonts w:ascii="Times New Roman" w:cs="Times New Roman" w:eastAsia="Times New Roman" w:hAnsi="Times New Roman"/>
          <w:sz w:val="18"/>
          <w:szCs w:val="18"/>
          <w:color w:val="auto"/>
        </w:rPr>
      </w:pPr>
    </w:p>
    <w:p>
      <w:pPr>
        <w:ind w:left="460" w:hanging="452"/>
        <w:spacing w:after="0" w:line="286"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means any director, officer or employee (including a temporary employee) of the Corporation, or of any of the Corporation’s affiliates or subsidiaries, and any other persons so designated by the CCO.</w:t>
      </w:r>
    </w:p>
    <w:p>
      <w:pPr>
        <w:spacing w:after="0" w:line="154"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Security</w:t>
      </w:r>
      <w:r>
        <w:rPr>
          <w:rFonts w:ascii="Times New Roman" w:cs="Times New Roman" w:eastAsia="Times New Roman" w:hAnsi="Times New Roman"/>
          <w:sz w:val="18"/>
          <w:szCs w:val="18"/>
          <w:color w:val="auto"/>
        </w:rPr>
        <w:t>” means a security as defined in Section 2(a)(36) of the Act, including: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85"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Security</w:t>
      </w:r>
      <w:r>
        <w:rPr>
          <w:rFonts w:ascii="Times New Roman" w:cs="Times New Roman" w:eastAsia="Times New Roman" w:hAnsi="Times New Roman"/>
          <w:sz w:val="18"/>
          <w:szCs w:val="18"/>
          <w:color w:val="auto"/>
        </w:rPr>
        <w:t>”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w:t>
      </w:r>
      <w:r>
        <w:rPr>
          <w:rFonts w:ascii="Times New Roman" w:cs="Times New Roman" w:eastAsia="Times New Roman" w:hAnsi="Times New Roman"/>
          <w:sz w:val="18"/>
          <w:szCs w:val="18"/>
          <w:b w:val="1"/>
          <w:bCs w:val="1"/>
          <w:i w:val="1"/>
          <w:iCs w:val="1"/>
          <w:color w:val="auto"/>
        </w:rPr>
        <w:t>Derivatives</w:t>
      </w:r>
      <w:r>
        <w:rPr>
          <w:rFonts w:ascii="Times New Roman" w:cs="Times New Roman" w:eastAsia="Times New Roman" w:hAnsi="Times New Roman"/>
          <w:sz w:val="18"/>
          <w:szCs w:val="18"/>
          <w:color w:val="auto"/>
        </w:rPr>
        <w:t>”).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88" w:lineRule="exact"/>
        <w:rPr>
          <w:sz w:val="20"/>
          <w:szCs w:val="20"/>
          <w:color w:val="auto"/>
        </w:rPr>
      </w:pPr>
    </w:p>
    <w:p>
      <w:pPr>
        <w:ind w:left="460" w:hanging="452"/>
        <w:spacing w:after="0" w:line="286"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director of the Corporation who is not an “interested person” of the Corporation within the meaning of Section 2(a) (19) of the Act.</w:t>
      </w:r>
    </w:p>
    <w:p>
      <w:pPr>
        <w:spacing w:after="0" w:line="154" w:lineRule="exact"/>
        <w:rPr>
          <w:rFonts w:ascii="Times New Roman" w:cs="Times New Roman" w:eastAsia="Times New Roman" w:hAnsi="Times New Roman"/>
          <w:sz w:val="18"/>
          <w:szCs w:val="18"/>
          <w:color w:val="auto"/>
        </w:rPr>
      </w:pPr>
    </w:p>
    <w:p>
      <w:pPr>
        <w:ind w:left="460" w:hanging="452"/>
        <w:spacing w:after="0" w:line="286"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means an offering of securities registered under the Securities Act of 1933, as amended (the “</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 the issuer of which, immediately before the registration, was not subject to the reporting requirements of Sections 13 or 15(d) of the Exchange Act.</w:t>
      </w:r>
    </w:p>
    <w:p>
      <w:pPr>
        <w:spacing w:after="0" w:line="154"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Persons</w:t>
      </w:r>
      <w:r>
        <w:rPr>
          <w:rFonts w:ascii="Times New Roman" w:cs="Times New Roman" w:eastAsia="Times New Roman" w:hAnsi="Times New Roman"/>
          <w:sz w:val="18"/>
          <w:szCs w:val="18"/>
          <w:color w:val="auto"/>
        </w:rPr>
        <w:t>” of the Corporation means: (i) any employee of the Corporation (or of any company in a Control relationship to the Corporation) who, in connection with his or her regular functions or duties, makes or participates in making recommendations regarding the purchase or sale of securities by the Corporation; and (ii) any natural person who controls the Corporation and who obtains information concerning recommendations made to the Corporation regarding the purchase or sale of securities by the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6" w:name="page147"/>
    <w:bookmarkEnd w:id="146"/>
    <w:p>
      <w:pPr>
        <w:ind w:left="460" w:hanging="452"/>
        <w:spacing w:after="0" w:line="286"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Offering</w:t>
      </w:r>
      <w:r>
        <w:rPr>
          <w:rFonts w:ascii="Times New Roman" w:cs="Times New Roman" w:eastAsia="Times New Roman" w:hAnsi="Times New Roman"/>
          <w:sz w:val="18"/>
          <w:szCs w:val="18"/>
          <w:color w:val="auto"/>
        </w:rPr>
        <w:t>” means an offering that is exempt from registration under the 1933 Act pursuant to Section 4(2) or Section 4(6) thereof or pursuant to Rule 504, Rule 505, or Rule 506 thereunder.</w:t>
      </w:r>
    </w:p>
    <w:p>
      <w:pPr>
        <w:spacing w:after="0" w:line="154" w:lineRule="exact"/>
        <w:rPr>
          <w:rFonts w:ascii="Times New Roman" w:cs="Times New Roman" w:eastAsia="Times New Roman" w:hAnsi="Times New Roman"/>
          <w:sz w:val="18"/>
          <w:szCs w:val="18"/>
          <w:color w:val="auto"/>
        </w:rPr>
      </w:pPr>
    </w:p>
    <w:p>
      <w:pPr>
        <w:jc w:val="both"/>
        <w:ind w:left="460" w:hanging="452"/>
        <w:spacing w:after="0" w:line="268"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Held or to be Acquired</w:t>
      </w:r>
      <w:r>
        <w:rPr>
          <w:rFonts w:ascii="Times New Roman" w:cs="Times New Roman" w:eastAsia="Times New Roman" w:hAnsi="Times New Roman"/>
          <w:sz w:val="18"/>
          <w:szCs w:val="18"/>
          <w:color w:val="auto"/>
        </w:rPr>
        <w:t>” by the Corporation means: (i) any Covered Security which, within the most recent 15 days: (A) is or has been held by the Corporation; or (B) is being or has been considered by the Corporation for purchase by the Corporation; and (ii) any option to purchase or sell, and any security convertible into or exchangeable for, a Covered Security described in Section II(L)(i) above.</w:t>
      </w:r>
    </w:p>
    <w:p>
      <w:pPr>
        <w:spacing w:after="0" w:line="170"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List</w:t>
      </w:r>
      <w:r>
        <w:rPr>
          <w:rFonts w:ascii="Times New Roman" w:cs="Times New Roman" w:eastAsia="Times New Roman" w:hAnsi="Times New Roman"/>
          <w:sz w:val="18"/>
          <w:szCs w:val="18"/>
          <w:color w:val="auto"/>
        </w:rPr>
        <w:t>” means the list promulgated and periodically updated by the CCO, in consultation with the Corporation’s Chief Investment Officer or his/her designee, which lists all of the Covered Securities that (1) the Corporation has purchased or sold within the last 15 calendar days, or is purchasing or selling or intends to purchase or sell within the next 15 calendar days; or that (2) the Corporation has within the last 15 calendar days considered purchasing or selling. or within the next 15 calendar days intends to consider purchasing or selling.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III. Objective and General Prohibitions</w:t>
      </w:r>
    </w:p>
    <w:p>
      <w:pPr>
        <w:spacing w:after="0" w:line="229" w:lineRule="exact"/>
        <w:rPr>
          <w:sz w:val="20"/>
          <w:szCs w:val="20"/>
          <w:color w:val="auto"/>
        </w:rPr>
      </w:pPr>
    </w:p>
    <w:p>
      <w:pPr>
        <w:jc w:val="both"/>
        <w:ind w:firstLine="540"/>
        <w:spacing w:after="0" w:line="261" w:lineRule="auto"/>
        <w:rPr>
          <w:sz w:val="20"/>
          <w:szCs w:val="20"/>
          <w:color w:val="auto"/>
        </w:rPr>
      </w:pPr>
      <w:r>
        <w:rPr>
          <w:rFonts w:ascii="Times New Roman" w:cs="Times New Roman" w:eastAsia="Times New Roman" w:hAnsi="Times New Roman"/>
          <w:sz w:val="18"/>
          <w:szCs w:val="18"/>
          <w:color w:val="auto"/>
        </w:rPr>
        <w:t>Covered Persons may not engage in any investment transaction under circumstances in which the Covered Person benefits from or interferes with the purchase or sale of investments by the Corporation. In addition, Covered Persons may not use information concerning the investments or investment intentions of the Corporation, or their ability to influence such investment intentions, for personal gain or in a manner detrimental to the interests of the Corporation.</w:t>
      </w:r>
    </w:p>
    <w:p>
      <w:pPr>
        <w:spacing w:after="0" w:line="180" w:lineRule="exact"/>
        <w:rPr>
          <w:sz w:val="20"/>
          <w:szCs w:val="20"/>
          <w:color w:val="auto"/>
        </w:rPr>
      </w:pPr>
    </w:p>
    <w:p>
      <w:pPr>
        <w:jc w:val="both"/>
        <w:ind w:firstLine="540"/>
        <w:spacing w:after="0" w:line="261" w:lineRule="auto"/>
        <w:rPr>
          <w:sz w:val="20"/>
          <w:szCs w:val="20"/>
          <w:color w:val="auto"/>
        </w:rPr>
      </w:pPr>
      <w:r>
        <w:rPr>
          <w:rFonts w:ascii="Times New Roman" w:cs="Times New Roman" w:eastAsia="Times New Roman" w:hAnsi="Times New Roman"/>
          <w:sz w:val="18"/>
          <w:szCs w:val="18"/>
          <w:color w:val="auto"/>
        </w:rPr>
        <w:t>Covered Persons may not engage in conduct that is deceitful, fraudulent or manipulative, or that involves false or misleading statements, in connection with the purchase or sale of investments by the Corporation. In this regard, Covered Persons should recognize that Rule 17j-1 makes it unlawful for any affiliated person of the Corporation in connection with the purchase or sale, directly or indirectly, by the person of a Security Held or to be Acquired by the Corporation to:</w:t>
      </w:r>
    </w:p>
    <w:p>
      <w:pPr>
        <w:spacing w:after="0" w:line="180"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any device, scheme or artifice to defraud the Corporation or its investors;</w:t>
      </w:r>
    </w:p>
    <w:p>
      <w:pPr>
        <w:spacing w:after="0" w:line="22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untrue statement of a material fact to the Corporation or its investors or omit to state to the Corporation or its investors a material fact necessary in order to make the statements made, in light of the circumstances under which they are made, not misleading;</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 practice or course of business that operates or would operate as a fraud or deceit upon the Corporation or its investors; or</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manipulative practice with respect to the Corporation or its investors.</w:t>
      </w:r>
    </w:p>
    <w:p>
      <w:pPr>
        <w:spacing w:after="0" w:line="225" w:lineRule="exact"/>
        <w:rPr>
          <w:sz w:val="20"/>
          <w:szCs w:val="20"/>
          <w:color w:val="auto"/>
        </w:rPr>
      </w:pPr>
    </w:p>
    <w:p>
      <w:pPr>
        <w:ind w:firstLine="540"/>
        <w:spacing w:after="0" w:line="282" w:lineRule="auto"/>
        <w:rPr>
          <w:sz w:val="20"/>
          <w:szCs w:val="20"/>
          <w:color w:val="auto"/>
        </w:rPr>
      </w:pPr>
      <w:r>
        <w:rPr>
          <w:rFonts w:ascii="Times New Roman" w:cs="Times New Roman" w:eastAsia="Times New Roman" w:hAnsi="Times New Roman"/>
          <w:sz w:val="18"/>
          <w:szCs w:val="18"/>
          <w:color w:val="auto"/>
        </w:rPr>
        <w:t>Covered Persons should also recognize that a violation of this Code or of Rule 17j-1 may result in the imposition of: (1) sanctions as provided by Section VIII below; or (2) administrative, civil and, in certain cases, criminal fines, sanctions or penalties.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Covered Persons are required to comply with applicable federal securities 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Section IV. Prohibited Transactions</w:t>
      </w:r>
    </w:p>
    <w:p>
      <w:pPr>
        <w:spacing w:after="0" w:line="229" w:lineRule="exact"/>
        <w:rPr>
          <w:sz w:val="20"/>
          <w:szCs w:val="20"/>
          <w:color w:val="auto"/>
        </w:rPr>
      </w:pPr>
    </w:p>
    <w:p>
      <w:pPr>
        <w:jc w:val="both"/>
        <w:ind w:left="460" w:hanging="452"/>
        <w:spacing w:after="0" w:line="266"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Access Person may not, without first obtaining pre-clearance approval, either from the CCO directly in writing (using the “Pre-Clearance Request” form attached as Schedule A, or such similar form as the CCO may hereafter approve (hereinafter, the “Pre-Clearance Request Form”)) or through the online reporting system, which is monitored and overseen by the CCO or his/her designees (the “</w:t>
      </w:r>
      <w:r>
        <w:rPr>
          <w:rFonts w:ascii="Times New Roman" w:cs="Times New Roman" w:eastAsia="Times New Roman" w:hAnsi="Times New Roman"/>
          <w:sz w:val="18"/>
          <w:szCs w:val="18"/>
          <w:b w:val="1"/>
          <w:bCs w:val="1"/>
          <w:i w:val="1"/>
          <w:iCs w:val="1"/>
          <w:color w:val="auto"/>
        </w:rPr>
        <w:t>System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direct or indirect Beneficial Ownership of any security on the Restricted List, or of any Covered Security concerning which he or she has material non-public information, regardless of whether that security is on the Restricted List;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direct or indirect Beneficial Ownership, of any security on the Restricted List, or of any Covered Security concerning which he or she has material non-public information, regardless of whether that security is on the Restricted List.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Access Person may not purchase or otherwise acquire or sell or otherwise dispose of any direct or indirect Beneficial Ownership of the Corporation’s securities without similarly first obtaining pre-clearance approval by the CCO directly in writing using the Pre-Clearance Request Form or online via the System.</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Persons of the Corporation must obtain pre-approval from the CCO before directly or indirectly acquiring Beneficial Ownership in any Covered Securities in an Initial Public Offering or in a Limited Offering. Such approval must be obtained from the CCO, either directly in writing using the Pre-Clearance Request Form, unless the person seeking such approval is the CCO, in which case pre-approval must be obtained from the Corporation’s Chief Executive Officer using the Pre-Clearance Request Form.</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Access Person shall recommend any transaction in any Covered Securities by the Corporation without having disclosed to the CCO his or her interest, if any, in such Covered Securities or the issuer thereof, including: the Access Person’s Beneficial Ownership of any Covered Securities of such issuer; any contemplated transaction by the Access Person in such Covered Securities; any position the Access Person (or any person to whom the Access Person is related, by blood or marriage, and is known) has with such issuer; and any present or proposed business relationship between such issuer and the Access Person (or a party in which the Access Person has a significant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 Reports by Access Persons</w:t>
      </w:r>
    </w:p>
    <w:p>
      <w:pPr>
        <w:spacing w:after="0" w:line="227" w:lineRule="exact"/>
        <w:rPr>
          <w:sz w:val="20"/>
          <w:szCs w:val="20"/>
          <w:color w:val="auto"/>
        </w:rPr>
      </w:pPr>
    </w:p>
    <w:p>
      <w:pPr>
        <w:ind w:left="300" w:hanging="292"/>
        <w:spacing w:after="0"/>
        <w:tabs>
          <w:tab w:leader="none" w:pos="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and Annual Personal Securities Accounts and Holdings Reports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20" w:firstLine="648"/>
        <w:spacing w:after="0" w:line="254" w:lineRule="auto"/>
        <w:rPr>
          <w:sz w:val="20"/>
          <w:szCs w:val="20"/>
          <w:color w:val="auto"/>
        </w:rPr>
      </w:pPr>
      <w:r>
        <w:rPr>
          <w:rFonts w:ascii="Times New Roman" w:cs="Times New Roman" w:eastAsia="Times New Roman" w:hAnsi="Times New Roman"/>
          <w:sz w:val="18"/>
          <w:szCs w:val="18"/>
          <w:color w:val="auto"/>
        </w:rPr>
        <w:t>All Access Persons shall within 10 days of the date on which they become Access Persons, and thereafter, within 30 days after the end of each calendar year, disclose the title and type of security, and as applicable the exchange ticker symbol or CUSIP number,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an “</w:t>
      </w:r>
      <w:r>
        <w:rPr>
          <w:rFonts w:ascii="Times New Roman" w:cs="Times New Roman" w:eastAsia="Times New Roman" w:hAnsi="Times New Roman"/>
          <w:sz w:val="18"/>
          <w:szCs w:val="18"/>
          <w:i w:val="1"/>
          <w:iCs w:val="1"/>
          <w:color w:val="auto"/>
        </w:rPr>
        <w:t>Initial and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Personal Securities Accounts and Holdings Report</w:t>
      </w:r>
      <w:r>
        <w:rPr>
          <w:rFonts w:ascii="Times New Roman" w:cs="Times New Roman" w:eastAsia="Times New Roman" w:hAnsi="Times New Roman"/>
          <w:sz w:val="18"/>
          <w:szCs w:val="18"/>
          <w:color w:val="auto"/>
        </w:rPr>
        <w:t>,” is attached as Schedule B. Each Initial and Annual Personal Securities Accounts and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Initial and Annual Personal Securities Accounts and Holdings Report shall state the date it is being submitted. In all cases, the information must be current as of a date no more than 45 days prior to the date the person becomes an Access Person, or the date the report was submitted, as applicable.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8" w:name="page149"/>
    <w:bookmarkEnd w:id="148"/>
    <w:p>
      <w:pPr>
        <w:ind w:left="300" w:hanging="292"/>
        <w:spacing w:after="0"/>
        <w:tabs>
          <w:tab w:leader="none" w:pos="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Quarterly Transaction Reports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Within 30 days after the end of each calendar quarter, each Access Person shall make a written report to the CCO (or designee) of all transactions occurring in the quarter in a Covered Security in which he or she had any Beneficial Ownership. A form of such report, which is hereinafter called a “</w:t>
      </w:r>
      <w:r>
        <w:rPr>
          <w:rFonts w:ascii="Times New Roman" w:cs="Times New Roman" w:eastAsia="Times New Roman" w:hAnsi="Times New Roman"/>
          <w:sz w:val="18"/>
          <w:szCs w:val="18"/>
          <w:i w:val="1"/>
          <w:iCs w:val="1"/>
          <w:color w:val="auto"/>
        </w:rPr>
        <w:t>Quarterly Securities Transaction Report</w:t>
      </w:r>
      <w:r>
        <w:rPr>
          <w:rFonts w:ascii="Times New Roman" w:cs="Times New Roman" w:eastAsia="Times New Roman" w:hAnsi="Times New Roman"/>
          <w:sz w:val="18"/>
          <w:szCs w:val="18"/>
          <w:color w:val="auto"/>
        </w:rPr>
        <w:t>,” is attached as Schedule C.</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Quarterly Securities Transaction Report shall be in the form of Schedule C or such other form approved by the CCO (or designee) and must contain the following information with respect to each reportable transaction:</w:t>
      </w:r>
    </w:p>
    <w:p>
      <w:pPr>
        <w:spacing w:after="0" w:line="162" w:lineRule="exact"/>
        <w:rPr>
          <w:sz w:val="20"/>
          <w:szCs w:val="20"/>
          <w:color w:val="auto"/>
        </w:rPr>
      </w:pPr>
    </w:p>
    <w:p>
      <w:pPr>
        <w:ind w:left="980" w:hanging="324"/>
        <w:spacing w:after="0"/>
        <w:tabs>
          <w:tab w:leader="none" w:pos="9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nature of the transaction (purchase, sale or any other type of acquisition or disposition);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broker, dealer or bank with or through whom the transaction was effected;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report is submitted by the Access Person.</w:t>
      </w:r>
    </w:p>
    <w:p>
      <w:pPr>
        <w:spacing w:after="0" w:line="22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Directors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18"/>
          <w:szCs w:val="18"/>
          <w:color w:val="auto"/>
        </w:rPr>
        <w:t>Notwithstanding the reporting requirements set forth in this Section V, an Independent Director who would be required to make a report under this Section V solely by reason of being a director of the Corporation is not required to file an Initial and Annual Personal Securities Accounts and Holdings Report upon becoming a director of the Corporation or an annual Initial and Annual Personal Securities Accounts and Holdings Report.</w:t>
      </w:r>
    </w:p>
    <w:p>
      <w:pPr>
        <w:spacing w:after="0" w:line="174" w:lineRule="exact"/>
        <w:rPr>
          <w:sz w:val="20"/>
          <w:szCs w:val="20"/>
          <w:color w:val="auto"/>
        </w:rPr>
      </w:pPr>
    </w:p>
    <w:p>
      <w:pPr>
        <w:jc w:val="both"/>
        <w:ind w:firstLine="540"/>
        <w:spacing w:after="0" w:line="261" w:lineRule="auto"/>
        <w:rPr>
          <w:sz w:val="20"/>
          <w:szCs w:val="20"/>
          <w:color w:val="auto"/>
        </w:rPr>
      </w:pPr>
      <w:r>
        <w:rPr>
          <w:rFonts w:ascii="Times New Roman" w:cs="Times New Roman" w:eastAsia="Times New Roman" w:hAnsi="Times New Roman"/>
          <w:sz w:val="18"/>
          <w:szCs w:val="18"/>
          <w:color w:val="auto"/>
        </w:rPr>
        <w:t xml:space="preserve">Such an Independent Director also need not file a Quarterly Securities Transaction Report </w:t>
      </w:r>
      <w:r>
        <w:rPr>
          <w:rFonts w:ascii="Times New Roman" w:cs="Times New Roman" w:eastAsia="Times New Roman" w:hAnsi="Times New Roman"/>
          <w:sz w:val="18"/>
          <w:szCs w:val="18"/>
          <w:i w:val="1"/>
          <w:iCs w:val="1"/>
          <w:u w:val="single" w:color="auto"/>
          <w:color w:val="auto"/>
        </w:rPr>
        <w:t>unless</w:t>
      </w:r>
      <w:r>
        <w:rPr>
          <w:rFonts w:ascii="Times New Roman" w:cs="Times New Roman" w:eastAsia="Times New Roman" w:hAnsi="Times New Roman"/>
          <w:sz w:val="18"/>
          <w:szCs w:val="18"/>
          <w:color w:val="auto"/>
        </w:rPr>
        <w:t xml:space="preserve">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considered purchasing or selling such Covered Security.</w:t>
      </w:r>
    </w:p>
    <w:p>
      <w:pPr>
        <w:spacing w:after="0" w:line="180" w:lineRule="exact"/>
        <w:rPr>
          <w:sz w:val="20"/>
          <w:szCs w:val="20"/>
          <w:color w:val="auto"/>
        </w:rPr>
      </w:pPr>
    </w:p>
    <w:p>
      <w:pPr>
        <w:ind w:left="300" w:hanging="292"/>
        <w:spacing w:after="0"/>
        <w:tabs>
          <w:tab w:leader="none" w:pos="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Brokerage Accounts and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Persons, except Independent Directors, shall:</w:t>
      </w:r>
    </w:p>
    <w:p>
      <w:pPr>
        <w:spacing w:after="0" w:line="225" w:lineRule="exact"/>
        <w:rPr>
          <w:sz w:val="20"/>
          <w:szCs w:val="20"/>
          <w:color w:val="auto"/>
        </w:rPr>
      </w:pPr>
    </w:p>
    <w:p>
      <w:pPr>
        <w:jc w:val="both"/>
        <w:ind w:left="980" w:hanging="324"/>
        <w:spacing w:after="0" w:line="261"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49" w:name="page150"/>
    <w:bookmarkEnd w:id="149"/>
    <w:p>
      <w:pPr>
        <w:ind w:left="980" w:hanging="324"/>
        <w:spacing w:after="0" w:line="282" w:lineRule="auto"/>
        <w:tabs>
          <w:tab w:leader="none" w:pos="9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brokers, dealers or banks with whom they maintain such an account to provide duplicate account statements to the CCO (or designee);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certify that they have complied with the requirements of (1) and (2) above.</w:t>
      </w:r>
    </w:p>
    <w:p>
      <w:pPr>
        <w:spacing w:after="0" w:line="22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Reports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558"/>
        <w:spacing w:after="0" w:line="312" w:lineRule="auto"/>
        <w:rPr>
          <w:sz w:val="20"/>
          <w:szCs w:val="20"/>
          <w:color w:val="auto"/>
        </w:rPr>
      </w:pPr>
      <w:r>
        <w:rPr>
          <w:rFonts w:ascii="Times New Roman" w:cs="Times New Roman" w:eastAsia="Times New Roman" w:hAnsi="Times New Roman"/>
          <w:sz w:val="17"/>
          <w:szCs w:val="17"/>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38" w:lineRule="exact"/>
        <w:rPr>
          <w:sz w:val="20"/>
          <w:szCs w:val="20"/>
          <w:color w:val="auto"/>
        </w:rPr>
      </w:pPr>
    </w:p>
    <w:p>
      <w:pPr>
        <w:ind w:left="280" w:hanging="272"/>
        <w:spacing w:after="0"/>
        <w:tabs>
          <w:tab w:leader="none" w:pos="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Responsibility to Report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558"/>
        <w:spacing w:after="0" w:line="266" w:lineRule="auto"/>
        <w:rPr>
          <w:sz w:val="20"/>
          <w:szCs w:val="20"/>
          <w:color w:val="auto"/>
        </w:rPr>
      </w:pPr>
      <w:r>
        <w:rPr>
          <w:rFonts w:ascii="Times New Roman" w:cs="Times New Roman" w:eastAsia="Times New Roman" w:hAnsi="Times New Roman"/>
          <w:sz w:val="18"/>
          <w:szCs w:val="18"/>
          <w:color w:val="auto"/>
        </w:rPr>
        <w:t>It is the responsibility of each Access Person to take the initiative to comply with the requirements of this Section V. Any effort by the Corporation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74" w:lineRule="exact"/>
        <w:rPr>
          <w:sz w:val="20"/>
          <w:szCs w:val="20"/>
          <w:color w:val="auto"/>
        </w:rPr>
      </w:pPr>
    </w:p>
    <w:p>
      <w:pPr>
        <w:ind w:left="300" w:hanging="292"/>
        <w:spacing w:after="0"/>
        <w:tabs>
          <w:tab w:leader="none" w:pos="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 to File Reports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558"/>
        <w:spacing w:after="0" w:line="266" w:lineRule="auto"/>
        <w:rPr>
          <w:sz w:val="20"/>
          <w:szCs w:val="20"/>
          <w:color w:val="auto"/>
        </w:rPr>
      </w:pPr>
      <w:r>
        <w:rPr>
          <w:rFonts w:ascii="Times New Roman" w:cs="Times New Roman" w:eastAsia="Times New Roman" w:hAnsi="Times New Roman"/>
          <w:sz w:val="18"/>
          <w:szCs w:val="18"/>
          <w:color w:val="auto"/>
        </w:rPr>
        <w:t>All Quarterly Securities Transaction Reports and Initial and Annual Personal Securities Accounts and Holdings Reports must be filed with the CCO, either (1) directly in writing using Schedules C or B, respectively (or such other forms as the CCO may prescribe for this purpose), or (2) online, via the System.</w:t>
      </w:r>
    </w:p>
    <w:p>
      <w:pPr>
        <w:spacing w:after="0" w:line="174" w:lineRule="exact"/>
        <w:rPr>
          <w:sz w:val="20"/>
          <w:szCs w:val="20"/>
          <w:color w:val="auto"/>
        </w:rPr>
      </w:pPr>
    </w:p>
    <w:p>
      <w:pPr>
        <w:ind w:left="300" w:hanging="292"/>
        <w:spacing w:after="0"/>
        <w:tabs>
          <w:tab w:leader="none" w:pos="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Disclaimers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558"/>
        <w:spacing w:after="0" w:line="282" w:lineRule="auto"/>
        <w:rPr>
          <w:sz w:val="20"/>
          <w:szCs w:val="20"/>
          <w:color w:val="auto"/>
        </w:rPr>
      </w:pPr>
      <w:r>
        <w:rPr>
          <w:rFonts w:ascii="Times New Roman" w:cs="Times New Roman" w:eastAsia="Times New Roman" w:hAnsi="Times New Roman"/>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 Additional Prohibitions</w:t>
      </w:r>
    </w:p>
    <w:p>
      <w:pPr>
        <w:spacing w:after="0" w:line="227" w:lineRule="exact"/>
        <w:rPr>
          <w:sz w:val="20"/>
          <w:szCs w:val="20"/>
          <w:color w:val="auto"/>
        </w:rPr>
      </w:pPr>
    </w:p>
    <w:p>
      <w:pPr>
        <w:ind w:left="300" w:hanging="292"/>
        <w:spacing w:after="0"/>
        <w:tabs>
          <w:tab w:leader="none" w:pos="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Confidentiality of the Corporation’s Transactions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disclosed in a public report to stockholders or to the U.S. Securities and Exchange Commission in the normal course, all information concerning the securities “being considered for purchase or sale” by the Corporation shall be kept confidential by all Covered Persons and disclosed by them only on a “need to know” basis. It shall be the responsibility of the CCO to report to the directors of the Corporation any known violations found in this regard.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0" w:name="page151"/>
    <w:bookmarkEnd w:id="150"/>
    <w:p>
      <w:pPr>
        <w:ind w:left="300" w:hanging="292"/>
        <w:spacing w:after="0"/>
        <w:tabs>
          <w:tab w:leader="none" w:pos="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Gifts and Entertainment Policy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Covered Persons and their immediate families should not solicit, accept, retain or provide any gifts or favors which might influence decisions of the Covered Person or the recipient in making business transactions involving the Corporation, or which others might reasonably believe could influence those decisions. Even a nominal gift should not be accepted if, to a reasonable observer, it might appear that the gift would influence a business decision. No Covered Person may give or accept gifts of cash or cash equivalents.</w:t>
      </w:r>
    </w:p>
    <w:p>
      <w:pPr>
        <w:spacing w:after="0" w:line="178"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policy does not apply to gifts of de minimis value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pens, notepads, doughnuts, pizza, modest desk ornaments, etc.) or to promotional items of nominal value that display a firm logo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umbrellas, tote bags, shirts, etc.) and “personal” gifts received because of kinship, marriage or social relationships entirely beyond and apart from an organization in which membership or an official position is held. De minimis gifts and promotional items must be less than the $250 limit to fall within the exclusion.</w:t>
      </w:r>
    </w:p>
    <w:p>
      <w:pPr>
        <w:spacing w:after="0" w:line="18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These prohibitions do not apply to ordinary and usual business entertainment, so long as such entertainment is neither so frequent nor so lavish as to raise any questions of impropriety. For an item to be considered “business entertainment,” the vendor must be present at the event/meal and there must be an opportunity to discuss matters relating to Corporation business. For example, if a Covered Person receives theater tickets from a vendor, the tickets are “business entertainment” only if the vendor attends the event and there is an opportunity to discuss business matters. If not, the tickets should be treated as a “gift” for purposes of this policy and subject to the limitations.</w:t>
      </w:r>
    </w:p>
    <w:p>
      <w:pPr>
        <w:spacing w:after="0" w:line="183"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18"/>
          <w:szCs w:val="18"/>
          <w:color w:val="auto"/>
        </w:rPr>
        <w:t xml:space="preserve">All Covered Persons must report the receipt or giving of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SuRo Capital Entity business-related gift with an apparent value that exceeds $250 (other than personal gifts and gifts of de minimis or nominal value, as defined above) and the acceptance or furnishing of all similarly related business entertainment with an apparent value that exceeds $250. Both of these thresholds are on a “per individual” basis.</w:t>
      </w:r>
    </w:p>
    <w:p>
      <w:pPr>
        <w:spacing w:after="0" w:line="176" w:lineRule="exact"/>
        <w:rPr>
          <w:sz w:val="20"/>
          <w:szCs w:val="20"/>
          <w:color w:val="auto"/>
        </w:rPr>
      </w:pPr>
    </w:p>
    <w:p>
      <w:pPr>
        <w:jc w:val="both"/>
        <w:ind w:firstLine="540"/>
        <w:spacing w:after="0" w:line="282" w:lineRule="auto"/>
        <w:rPr>
          <w:sz w:val="20"/>
          <w:szCs w:val="20"/>
          <w:color w:val="auto"/>
        </w:rPr>
      </w:pPr>
      <w:r>
        <w:rPr>
          <w:rFonts w:ascii="Times New Roman" w:cs="Times New Roman" w:eastAsia="Times New Roman" w:hAnsi="Times New Roman"/>
          <w:sz w:val="18"/>
          <w:szCs w:val="18"/>
          <w:color w:val="auto"/>
        </w:rPr>
        <w:t>In addition, the extension by Covered Persons, on behalf of a SuRo Capital Entity, of all invitations for business entertainment that can reasonably be expected to be valued in excess of $500 must be pre-approved by the CCO prior to any such extension. This threshold is on a “per individual” basis.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Regardless of the dollar value, Covered Persons may not give a gift or provide entertainment that is inappropriate under the circumstances, or inconsistent with applicable law or regulations, to persons associated with securities or financial organizations, exchanges, member firms, commodity firms, news media or ERISA fiduciaries. In addition, Covered Persons must confer with the CCO, who may consult legal counsel, before making contact with state or local government plans, and comply with all applicable state or local laws regarding such communications.</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CCO shall maintain a log of all business-related gifts given or received by all Covered Persons in excess of $250, and of all similarly related business entertainment accepted by a Covered Person or furnished by a Covered Person on behalf of the Corporation, the value of either which exceeds $250. These thresholds are on a “per individual”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 Annual Acknowledgement, Affirmation and Certification</w:t>
      </w:r>
    </w:p>
    <w:p>
      <w:pPr>
        <w:spacing w:after="0" w:line="227" w:lineRule="exact"/>
        <w:rPr>
          <w:sz w:val="20"/>
          <w:szCs w:val="20"/>
          <w:color w:val="auto"/>
        </w:rPr>
      </w:pPr>
    </w:p>
    <w:p>
      <w:pPr>
        <w:ind w:left="300" w:hanging="292"/>
        <w:spacing w:after="0"/>
        <w:tabs>
          <w:tab w:leader="none" w:pos="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Persons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540"/>
        <w:spacing w:after="0" w:line="261" w:lineRule="auto"/>
        <w:rPr>
          <w:sz w:val="20"/>
          <w:szCs w:val="20"/>
          <w:color w:val="auto"/>
        </w:rPr>
      </w:pPr>
      <w:r>
        <w:rPr>
          <w:rFonts w:ascii="Times New Roman" w:cs="Times New Roman" w:eastAsia="Times New Roman" w:hAnsi="Times New Roman"/>
          <w:sz w:val="18"/>
          <w:szCs w:val="18"/>
          <w:color w:val="auto"/>
        </w:rPr>
        <w:t>Access Persons shall be required to acknowledge annually that they have read this Code, that they understand and recognize that they are subject to the Code, and affirm that they will fully comply with the Code on a going-forward basis. Further, Access Persons who have been subject to the Code at any time during the previous year shall be required to certify annually that they have complied with the requirements of this Code. A form of such acknowledgement, affirmation and certification is attached as Schedule 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1" w:name="page152"/>
    <w:bookmarkEnd w:id="151"/>
    <w:p>
      <w:pPr>
        <w:ind w:left="300" w:hanging="292"/>
        <w:spacing w:after="0"/>
        <w:tabs>
          <w:tab w:leader="none" w:pos="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Review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540"/>
        <w:spacing w:after="0" w:line="261" w:lineRule="auto"/>
        <w:rPr>
          <w:sz w:val="20"/>
          <w:szCs w:val="20"/>
          <w:color w:val="auto"/>
        </w:rPr>
      </w:pPr>
      <w:r>
        <w:rPr>
          <w:rFonts w:ascii="Times New Roman" w:cs="Times New Roman" w:eastAsia="Times New Roman" w:hAnsi="Times New Roman"/>
          <w:sz w:val="18"/>
          <w:szCs w:val="18"/>
          <w:color w:val="auto"/>
        </w:rPr>
        <w:t>No less frequently than annually, the SuRo Capital Entities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has adopted procedures reasonably necessary to prevent Access Persons from violating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VIII. Sanctions</w:t>
      </w:r>
    </w:p>
    <w:p>
      <w:pPr>
        <w:spacing w:after="0" w:line="22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18"/>
          <w:szCs w:val="18"/>
          <w:color w:val="auto"/>
        </w:rPr>
        <w:t>Any violation of this Code shall be subject to the imposition of such sanctions as may be deemed appropriate under the circumstances to achieve the purposes of Rule 17j-1 and this Code. Sanctions for employees for minor violations, such as a short delay in reporting, shall be determined by the Chief Compliance Officer. Sanctions for any violation or failure to comply by the requisite deadline will be included in the Chief Compliance Officer’s quarterly report to the Board, and may be subject to heightened sanctions, including, but not limited to, mandatory compliance training, a notation in the employee’s personnel file, suspension or termination of employment, a letter of censure in the employee’s personnel file, and/or reversal of any noncompliant trades with surrender of profits in a manner to be determined by the Chief Executive Officer, such as, for example, in a gift to charity. Sanctions for senior executives and members of the board shall be determined by the independent directors, with the advice of the Chief Compliance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IX. Administration and Construction</w:t>
      </w:r>
    </w:p>
    <w:p>
      <w:pPr>
        <w:spacing w:after="0" w:line="229"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this Code shall be the responsibility of the CCO.</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CCO are as follows: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continuously a current list of the names of all Access Persons with an appropriate description of their title or employment, including a notation of any directorships held by Access Persons, and inform all Access Persons of their reporting obligations hereunder;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provide all Covered Persons a copy of this Code and inform such persons of their duties and obligations hereunder including making available any supplemental training that may be required from time to time. In addition, provide to all Covered Persons updated copies of the Code each time it is amended;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from all Covered Persons a signed “Acknowledgement, Affirmation and Certification of Compliance with SuRo Capital Compliance Program Documents” form (which is attached as Schedule D) annually and each time the Code is amended;</w:t>
      </w:r>
    </w:p>
    <w:p>
      <w:pPr>
        <w:spacing w:after="0" w:line="161" w:lineRule="exact"/>
        <w:rPr>
          <w:rFonts w:ascii="Times New Roman" w:cs="Times New Roman" w:eastAsia="Times New Roman" w:hAnsi="Times New Roman"/>
          <w:sz w:val="18"/>
          <w:szCs w:val="18"/>
          <w:color w:val="auto"/>
        </w:rPr>
      </w:pPr>
    </w:p>
    <w:p>
      <w:pPr>
        <w:ind w:left="5580" w:right="80" w:hanging="4924"/>
        <w:spacing w:after="0" w:line="532" w:lineRule="auto"/>
        <w:tabs>
          <w:tab w:leader="none" w:pos="98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supervise the maintenance of all records (including pre-clearance and other approvals granted) and reports required by this Code;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2" w:name="page153"/>
    <w:bookmarkEnd w:id="152"/>
    <w:p>
      <w:pPr>
        <w:ind w:left="972" w:hanging="324"/>
        <w:spacing w:after="0"/>
        <w:tabs>
          <w:tab w:leader="none" w:pos="972" w:val="left"/>
        </w:tabs>
        <w:numPr>
          <w:ilvl w:val="1"/>
          <w:numId w:val="10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Review the contents of holdings reports submitted by Access Persons;</w:t>
      </w:r>
      <w:r>
        <w:rPr>
          <w:rFonts w:ascii="Times New Roman" w:cs="Times New Roman" w:eastAsia="Times New Roman" w:hAnsi="Times New Roman"/>
          <w:sz w:val="29"/>
          <w:szCs w:val="29"/>
          <w:color w:val="auto"/>
          <w:vertAlign w:val="superscript"/>
        </w:rPr>
        <w:t>1</w:t>
      </w:r>
    </w:p>
    <w:p>
      <w:pPr>
        <w:spacing w:after="0" w:line="77" w:lineRule="exact"/>
        <w:rPr>
          <w:rFonts w:ascii="Times New Roman" w:cs="Times New Roman" w:eastAsia="Times New Roman" w:hAnsi="Times New Roman"/>
          <w:sz w:val="36"/>
          <w:szCs w:val="36"/>
          <w:color w:val="auto"/>
          <w:vertAlign w:val="superscript"/>
        </w:rPr>
      </w:pPr>
    </w:p>
    <w:p>
      <w:pPr>
        <w:jc w:val="both"/>
        <w:ind w:left="972" w:hanging="324"/>
        <w:spacing w:after="0" w:line="264" w:lineRule="auto"/>
        <w:tabs>
          <w:tab w:leader="none" w:pos="97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of all transactions effected by Access Persons who are subject to the requirement to file Quarterly Securities Transaction Reports and review such transactions against a listing of all transactions effected by the Corporation and securities of any companies included on the Restricted List during the reporting period;</w:t>
      </w:r>
    </w:p>
    <w:p>
      <w:pPr>
        <w:spacing w:after="0" w:line="178"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either personally or with the assistance of counsel, as may be appropriate, any interpretation of this Code that may appear consistent with the objectives of Rule 17j-1 and this Code;</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such inspections or investigations as shall reasonably be required to detect and report, with recommendations, any apparent violations of this Code to the board of directors of the Corporation; and</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report to the board of directors of the Corporation, no less frequently than annually, that describes any issues arising under the Code since the last such report, including but not limited to the information described in Section VII(B).</w:t>
      </w:r>
    </w:p>
    <w:p>
      <w:pPr>
        <w:spacing w:after="0" w:line="161"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CCO shall maintain and cause to be maintained in an easily accessible place at the principal place of business of the Corporation the following records:</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all codes of ethics adopted by the Corporation pursuant to Rule 17j-1 that have been in effect at any time during the past five (5) years;</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all signed “Acknowledgement, Affirmation and Certification of Compliance with SuRo Capital Compliance Program Documents” forms (see Schedule D) for at least five (5) years after the end of the fiscal year in which the Acknowledgement, etc. is submitted;</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of each violation of such code of ethics and of any action taken as a result of such violation for at least five (5) years after the end of the fiscal year in which the violation occurs;</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report made by the CCO to the board of directors for two (2) years from the end of the fiscal year of the Corporation in which such report is made or issued and for an additional three (3) years in a place that need not be easily accessible;</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all persons who are, or within the past five (5) years have been, required to make reports pursuant to Rule 17j-1 and this Code, or who are or were responsible for reviewing such reports;</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report required by Section VII(B) for at least two (2) years after the end of the fiscal year in which it is made, and for an additional three (3) years in a place that need not be easily accessible; and</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of any decision, and the reasons supporting the decision, to approve the acquisition by Investment Persons of securities in an Initial Public Offering or Limited Offering for at least five (5) years after the end of the fiscal year in which the approval is granted.</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Code may not be amended or modified except in a written form that is specifically approved by majority vote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178308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6" w:lineRule="exact"/>
        <w:rPr>
          <w:sz w:val="20"/>
          <w:szCs w:val="20"/>
          <w:color w:val="auto"/>
        </w:rPr>
      </w:pPr>
    </w:p>
    <w:p>
      <w:pPr>
        <w:ind w:left="5572" w:right="3300" w:hanging="5572"/>
        <w:spacing w:after="0" w:line="372" w:lineRule="auto"/>
        <w:tabs>
          <w:tab w:leader="none" w:pos="113"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reportable holdings and transaction reports of the CCO shall be reviewed by the Chief Financial Officer.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72"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SuRo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Request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Section IV of the SuRo Capital Corp. Code of Ethics, this form must be submitted prior to an “Access Person” executing any transaction in SuRo Capital Corp. securities, securities of any issuer included on the Restricted List, or effecting purchasing in a private placement or initial public offering of securities of any issuer.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Upon completion of this form, please submit to the CCO at: Compliance@surocap.com.</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gridSpan w:val="7"/>
          </w:tcPr>
          <w:p>
            <w:pPr>
              <w:spacing w:after="0" w:line="20" w:lineRule="exact"/>
              <w:rPr>
                <w:sz w:val="1"/>
                <w:szCs w:val="1"/>
                <w:color w:val="auto"/>
              </w:rPr>
            </w:pPr>
          </w:p>
        </w:tc>
        <w:tc>
          <w:tcPr>
            <w:tcW w:w="2100" w:type="dxa"/>
            <w:vAlign w:val="bottom"/>
            <w:gridSpan w:val="4"/>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Date of Request: _________________ Intended Trade Date: ____________________</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__________________________________________________</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Buy</w:t>
            </w:r>
          </w:p>
        </w:tc>
        <w:tc>
          <w:tcPr>
            <w:tcW w:w="580" w:type="dxa"/>
            <w:vAlign w:val="bottom"/>
            <w:tcBorders>
              <w:bottom w:val="single" w:sz="8" w:color="auto"/>
            </w:tcBorders>
          </w:tcPr>
          <w:p>
            <w:pPr>
              <w:spacing w:after="0"/>
              <w:rPr>
                <w:sz w:val="19"/>
                <w:szCs w:val="19"/>
                <w:color w:val="auto"/>
              </w:rPr>
            </w:pPr>
          </w:p>
        </w:tc>
        <w:tc>
          <w:tcPr>
            <w:tcW w:w="440" w:type="dxa"/>
            <w:vAlign w:val="bottom"/>
            <w:vMerge w:val="restart"/>
          </w:tcPr>
          <w:p>
            <w:pPr>
              <w:spacing w:after="0"/>
              <w:rPr>
                <w:sz w:val="19"/>
                <w:szCs w:val="19"/>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Sell</w:t>
            </w:r>
          </w:p>
        </w:tc>
        <w:tc>
          <w:tcPr>
            <w:tcW w:w="600" w:type="dxa"/>
            <w:vAlign w:val="bottom"/>
            <w:tcBorders>
              <w:bottom w:val="single" w:sz="8" w:color="auto"/>
            </w:tcBorders>
          </w:tcPr>
          <w:p>
            <w:pPr>
              <w:spacing w:after="0"/>
              <w:rPr>
                <w:sz w:val="19"/>
                <w:szCs w:val="19"/>
                <w:color w:val="auto"/>
              </w:rPr>
            </w:pPr>
          </w:p>
        </w:tc>
        <w:tc>
          <w:tcPr>
            <w:tcW w:w="420" w:type="dxa"/>
            <w:vAlign w:val="bottom"/>
            <w:vMerge w:val="restart"/>
          </w:tcPr>
          <w:p>
            <w:pPr>
              <w:spacing w:after="0"/>
              <w:rPr>
                <w:sz w:val="19"/>
                <w:szCs w:val="1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Sell Short</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Cover Short</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580" w:type="dxa"/>
            <w:vAlign w:val="bottom"/>
            <w:tcBorders>
              <w:left w:val="single" w:sz="8" w:color="auto"/>
              <w:right w:val="single" w:sz="8" w:color="auto"/>
            </w:tcBorders>
          </w:tcPr>
          <w:p>
            <w:pPr>
              <w:spacing w:after="0"/>
              <w:rPr>
                <w:sz w:val="17"/>
                <w:szCs w:val="17"/>
                <w:color w:val="auto"/>
              </w:rPr>
            </w:pPr>
          </w:p>
        </w:tc>
        <w:tc>
          <w:tcPr>
            <w:tcW w:w="4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600" w:type="dxa"/>
            <w:vAlign w:val="bottom"/>
            <w:tcBorders>
              <w:left w:val="single" w:sz="8" w:color="auto"/>
              <w:right w:val="single" w:sz="8" w:color="auto"/>
            </w:tcBorders>
          </w:tcPr>
          <w:p>
            <w:pPr>
              <w:spacing w:after="0"/>
              <w:rPr>
                <w:sz w:val="17"/>
                <w:szCs w:val="17"/>
                <w:color w:val="auto"/>
              </w:rPr>
            </w:pPr>
          </w:p>
        </w:tc>
        <w:tc>
          <w:tcPr>
            <w:tcW w:w="42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40" w:type="dxa"/>
            <w:vAlign w:val="bottom"/>
            <w:tcBorders>
              <w:lef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0" w:type="dxa"/>
            <w:vAlign w:val="bottom"/>
            <w:gridSpan w:val="3"/>
            <w:vMerge w:val="continue"/>
          </w:tcPr>
          <w:p>
            <w:pPr>
              <w:spacing w:after="0"/>
              <w:rPr>
                <w:sz w:val="17"/>
                <w:szCs w:val="17"/>
                <w:color w:val="auto"/>
              </w:rPr>
            </w:pPr>
          </w:p>
        </w:tc>
        <w:tc>
          <w:tcPr>
            <w:tcW w:w="460" w:type="dxa"/>
            <w:vAlign w:val="bottom"/>
            <w:tcBorders>
              <w:lef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58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Issuer name / Security description &amp; CUSIP #:</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Market order:</w:t>
            </w: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Limit Order:</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-316230</wp:posOffset>
            </wp:positionV>
            <wp:extent cx="514350" cy="316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514350" cy="31686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457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Last trade in security (direction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457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Broker: </w:t>
            </w:r>
            <w:r>
              <w:rPr>
                <w:rFonts w:ascii="Times New Roman" w:cs="Times New Roman" w:eastAsia="Times New Roman" w:hAnsi="Times New Roman"/>
                <w:sz w:val="18"/>
                <w:szCs w:val="18"/>
                <w:color w:val="auto"/>
                <w:w w:val="99"/>
              </w:rPr>
              <w:t>______________________________________________________</w:t>
            </w:r>
          </w:p>
        </w:tc>
        <w:tc>
          <w:tcPr>
            <w:tcW w:w="620" w:type="dxa"/>
            <w:vAlign w:val="bottom"/>
          </w:tcPr>
          <w:p>
            <w:pPr>
              <w:spacing w:after="0"/>
              <w:rPr>
                <w:sz w:val="20"/>
                <w:szCs w:val="20"/>
                <w:color w:val="auto"/>
              </w:rPr>
            </w:pPr>
          </w:p>
        </w:tc>
      </w:tr>
      <w:tr>
        <w:trPr>
          <w:trHeight w:val="43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Authorized by:</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Date:</w:t>
            </w:r>
          </w:p>
        </w:tc>
      </w:tr>
      <w:tr>
        <w:trPr>
          <w:trHeight w:val="234"/>
        </w:trPr>
        <w:tc>
          <w:tcPr>
            <w:tcW w:w="148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Compliance Officer or Designee)</w:t>
            </w: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-165100</wp:posOffset>
            </wp:positionV>
            <wp:extent cx="313753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Chief Compliance Officer or his designee has reviewed the proposed trade, contract, instruction or plan and confirms that SuRo Capital Corp. does not intend to buy or sell the above security for any client accounts within the next fifteen (15) days and/or has completed all client transactions in this security at this time. Exceptions to this statement should be noted on this form and any exception must be authorized by the Chief Compliance Officer.</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Upon completion of the transaction, you must notify SuRo Capital Compliance at </w:t>
      </w:r>
      <w:r>
        <w:rPr>
          <w:rFonts w:ascii="Times New Roman" w:cs="Times New Roman" w:eastAsia="Times New Roman" w:hAnsi="Times New Roman"/>
          <w:sz w:val="18"/>
          <w:szCs w:val="18"/>
          <w:b w:val="1"/>
          <w:bCs w:val="1"/>
          <w:u w:val="single" w:color="auto"/>
          <w:color w:val="auto"/>
        </w:rPr>
        <w:t>Compliance@surocap.com</w:t>
      </w:r>
      <w:r>
        <w:rPr>
          <w:rFonts w:ascii="Times New Roman" w:cs="Times New Roman" w:eastAsia="Times New Roman" w:hAnsi="Times New Roman"/>
          <w:sz w:val="18"/>
          <w:szCs w:val="18"/>
          <w:b w:val="1"/>
          <w:bCs w:val="1"/>
          <w:color w:val="auto"/>
        </w:rPr>
        <w:t xml:space="preserve"> of the final execution price and trade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INITIAL AND ANNUAL PERSONAL SECURITIES ACCOUNTS AND HOLDINGS REPORT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certify that the following bank or broker-dealer accounts are the only accounts holding securities </w:t>
      </w:r>
      <w:r>
        <w:rPr>
          <w:rFonts w:ascii="Times New Roman" w:cs="Times New Roman" w:eastAsia="Times New Roman" w:hAnsi="Times New Roman"/>
          <w:sz w:val="18"/>
          <w:szCs w:val="18"/>
          <w:u w:val="single" w:color="auto"/>
          <w:color w:val="auto"/>
        </w:rPr>
        <w:t>of any kind or nature whatsoever</w:t>
      </w:r>
      <w:r>
        <w:rPr>
          <w:rFonts w:ascii="Times New Roman" w:cs="Times New Roman" w:eastAsia="Times New Roman" w:hAnsi="Times New Roman"/>
          <w:sz w:val="18"/>
          <w:szCs w:val="18"/>
          <w:color w:val="auto"/>
        </w:rPr>
        <w:t xml:space="preserve"> in which I have or share a “Beneficial Ownership” interest as such term is defined in the SuRo Capital Corp. Code of Ethics.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beneficial owner of</w:t>
            </w:r>
          </w:p>
        </w:tc>
      </w:tr>
      <w:tr>
        <w:trPr>
          <w:trHeight w:val="241"/>
        </w:trPr>
        <w:tc>
          <w:tcPr>
            <w:tcW w:w="3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Name of bank or broker custodian</w:t>
            </w:r>
          </w:p>
        </w:tc>
        <w:tc>
          <w:tcPr>
            <w:tcW w:w="38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Account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 with the account custodian</w:t>
            </w:r>
          </w:p>
        </w:tc>
      </w:tr>
      <w:tr>
        <w:trPr>
          <w:trHeight w:val="216"/>
        </w:trPr>
        <w:tc>
          <w:tcPr>
            <w:tcW w:w="3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further certify that the following is a listing of all “</w:t>
      </w:r>
      <w:r>
        <w:rPr>
          <w:rFonts w:ascii="Times New Roman" w:cs="Times New Roman" w:eastAsia="Times New Roman" w:hAnsi="Times New Roman"/>
          <w:sz w:val="18"/>
          <w:szCs w:val="18"/>
          <w:u w:val="single" w:color="auto"/>
          <w:color w:val="auto"/>
        </w:rPr>
        <w:t>Covered Securities”</w:t>
      </w:r>
      <w:r>
        <w:rPr>
          <w:rFonts w:ascii="Times New Roman" w:cs="Times New Roman" w:eastAsia="Times New Roman" w:hAnsi="Times New Roman"/>
          <w:sz w:val="18"/>
          <w:szCs w:val="18"/>
          <w:color w:val="auto"/>
        </w:rPr>
        <w:t xml:space="preserve"> in which I had or shared a “Beneficial Ownership” interest as of the following date:</w:t>
      </w:r>
    </w:p>
    <w:p>
      <w:pPr>
        <w:spacing w:after="0" w:line="162" w:lineRule="exact"/>
        <w:rPr>
          <w:sz w:val="20"/>
          <w:szCs w:val="20"/>
          <w:color w:val="auto"/>
        </w:rPr>
      </w:pPr>
    </w:p>
    <w:p>
      <w:pPr>
        <w:ind w:left="680" w:hanging="335"/>
        <w:spacing w:after="0"/>
        <w:tabs>
          <w:tab w:leader="none" w:pos="6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Personal Securities Holdings Report:</w:t>
      </w:r>
    </w:p>
    <w:p>
      <w:pPr>
        <w:spacing w:after="0" w:line="2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indicated may not be more than 45 days prior to the date of submission, as indicated below, of this report)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Personal Securities Holdings Report: December 31,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-565150</wp:posOffset>
            </wp:positionV>
            <wp:extent cx="24942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For holdings report purposes, the term “</w:t>
      </w:r>
      <w:r>
        <w:rPr>
          <w:rFonts w:ascii="Times New Roman" w:cs="Times New Roman" w:eastAsia="Times New Roman" w:hAnsi="Times New Roman"/>
          <w:sz w:val="18"/>
          <w:szCs w:val="18"/>
          <w:u w:val="single" w:color="auto"/>
          <w:color w:val="auto"/>
        </w:rPr>
        <w:t>Covered Securities</w:t>
      </w:r>
      <w:r>
        <w:rPr>
          <w:rFonts w:ascii="Times New Roman" w:cs="Times New Roman" w:eastAsia="Times New Roman" w:hAnsi="Times New Roman"/>
          <w:sz w:val="18"/>
          <w:szCs w:val="18"/>
          <w:color w:val="auto"/>
        </w:rPr>
        <w:t>” should be understood as including securities of all sorts,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(i)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open-end mutual funds; (ii) U.S. government or agency issued securities; and (iii) short-term debt instruments, bank CDs, bankers acceptances or repurchase agreements. Shares of exchange-traded funds (“</w:t>
      </w:r>
      <w:r>
        <w:rPr>
          <w:rFonts w:ascii="Times New Roman" w:cs="Times New Roman" w:eastAsia="Times New Roman" w:hAnsi="Times New Roman"/>
          <w:sz w:val="18"/>
          <w:szCs w:val="18"/>
          <w:b w:val="1"/>
          <w:bCs w:val="1"/>
          <w:i w:val="1"/>
          <w:iCs w:val="1"/>
          <w:color w:val="auto"/>
        </w:rPr>
        <w:t>ETFs</w:t>
      </w:r>
      <w:r>
        <w:rPr>
          <w:rFonts w:ascii="Times New Roman" w:cs="Times New Roman" w:eastAsia="Times New Roman" w:hAnsi="Times New Roman"/>
          <w:sz w:val="18"/>
          <w:szCs w:val="18"/>
          <w:color w:val="auto"/>
        </w:rPr>
        <w:t>”) are Covered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5" w:name="page156"/>
    <w:bookmarkEnd w:id="155"/>
    <w:p>
      <w:pPr>
        <w:jc w:val="both"/>
        <w:spacing w:after="0" w:line="266" w:lineRule="auto"/>
        <w:rPr>
          <w:sz w:val="20"/>
          <w:szCs w:val="20"/>
          <w:color w:val="auto"/>
        </w:rPr>
      </w:pPr>
      <w:r>
        <w:rPr>
          <w:rFonts w:ascii="Times New Roman" w:cs="Times New Roman" w:eastAsia="Times New Roman" w:hAnsi="Times New Roman"/>
          <w:sz w:val="18"/>
          <w:szCs w:val="18"/>
          <w:color w:val="auto"/>
        </w:rPr>
        <w:t>In lieu of indicating the following required information within this form, you may submit—under cover of a signed and dated copy of this form—legible copies of statements of accounts issued by the account custodian(s) wherein Covered Securities are held as of the date indicated above. Such statements should be either emailed or sent, by U.S. mail or courier service, to:</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Compliance@surocap.com</w:t>
            </w:r>
          </w:p>
        </w:tc>
        <w:tc>
          <w:tcPr>
            <w:tcW w:w="3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Suro Capital Corp.</w:t>
            </w:r>
          </w:p>
        </w:tc>
      </w:tr>
      <w:tr>
        <w:trPr>
          <w:trHeight w:val="218"/>
        </w:trPr>
        <w:tc>
          <w:tcPr>
            <w:tcW w:w="196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3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Attn: Compliance Dept.</w:t>
            </w:r>
          </w:p>
        </w:tc>
      </w:tr>
      <w:tr>
        <w:trPr>
          <w:trHeight w:val="216"/>
        </w:trPr>
        <w:tc>
          <w:tcPr>
            <w:tcW w:w="1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One Sansome Street, Suite 730</w:t>
            </w:r>
          </w:p>
        </w:tc>
      </w:tr>
      <w:tr>
        <w:trPr>
          <w:trHeight w:val="234"/>
        </w:trPr>
        <w:tc>
          <w:tcPr>
            <w:tcW w:w="1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San Francisco, California 94104</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Aggregate</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principal</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Custodian</w:t>
            </w:r>
          </w:p>
        </w:tc>
        <w:tc>
          <w:tcPr>
            <w:tcW w:w="114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Security</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Ticker Symbol</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equity</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amount of</w:t>
            </w:r>
          </w:p>
        </w:tc>
        <w:tc>
          <w:tcPr>
            <w:tcW w:w="820" w:type="dxa"/>
            <w:vAlign w:val="bottom"/>
          </w:tcPr>
          <w:p>
            <w:pPr>
              <w:spacing w:after="0"/>
              <w:rPr>
                <w:sz w:val="18"/>
                <w:szCs w:val="18"/>
                <w:color w:val="auto"/>
              </w:rPr>
            </w:pPr>
          </w:p>
        </w:tc>
      </w:tr>
      <w:tr>
        <w:trPr>
          <w:trHeight w:val="24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Number</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Type</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CUSIP Number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security shares</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820" w:type="dxa"/>
            <w:vAlign w:val="bottom"/>
          </w:tcPr>
          <w:p>
            <w:pPr>
              <w:spacing w:after="0"/>
              <w:rPr>
                <w:sz w:val="20"/>
                <w:szCs w:val="20"/>
                <w:color w:val="auto"/>
              </w:rPr>
            </w:pPr>
          </w:p>
        </w:tc>
      </w:tr>
      <w:tr>
        <w:trPr>
          <w:trHeight w:val="216"/>
        </w:trPr>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a continuation sheet if necessary.)</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Holdings Reports – Must be within 10 days of initial date of association with SuRo Capital Corp.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Holdings Reports – Must be on or before January 30 of the current year.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SECURITIES TRANSACTION REPORT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lists all transactions in Covered Securities, in which I had any direct or indirect Beneficial Ownership interest, that were effected during the last calendar quarter and required to be reported by Section V(B) of the SuRo Capital Corp. Code of Ethics. (If no such transactions took place write “NONE.”) Please sign and date this report and return it to the Chief Compliance Officer no later than the 30th day following the end of the quarter. Use reverse side if additional space is needed.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PURCHASES AND ACQUISITIONS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34"/>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 of Shares or</w:t>
            </w:r>
          </w:p>
        </w:tc>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Interest Rate</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29"/>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Trade</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w:t>
            </w:r>
          </w:p>
        </w:tc>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and Maturity</w:t>
            </w: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Name of</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Dealer, or</w:t>
            </w:r>
          </w:p>
        </w:tc>
      </w:tr>
      <w:tr>
        <w:trPr>
          <w:trHeight w:val="241"/>
        </w:trPr>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Date</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Date</w:t>
            </w: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Security</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 Price</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r>
      <w:tr>
        <w:trPr>
          <w:trHeight w:val="439"/>
        </w:trPr>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r>
      <w:tr>
        <w:trPr>
          <w:trHeight w:val="223"/>
        </w:trPr>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223"/>
        </w:trPr>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SALES AND OTHER DISPOSITIONS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34"/>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 of Shares or</w:t>
            </w:r>
          </w:p>
        </w:tc>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Interest Rate</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29"/>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Trade</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w:t>
            </w:r>
          </w:p>
        </w:tc>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and Maturity</w:t>
            </w:r>
          </w:p>
        </w:tc>
        <w:tc>
          <w:tcPr>
            <w:tcW w:w="1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Name of</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Dealer, or</w:t>
            </w:r>
          </w:p>
        </w:tc>
      </w:tr>
      <w:tr>
        <w:trPr>
          <w:trHeight w:val="241"/>
        </w:trPr>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Date</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Date</w:t>
            </w:r>
          </w:p>
        </w:tc>
        <w:tc>
          <w:tcPr>
            <w:tcW w:w="1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Security</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Unit Price</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r>
      <w:tr>
        <w:trPr>
          <w:trHeight w:val="439"/>
        </w:trPr>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r>
      <w:tr>
        <w:trPr>
          <w:trHeight w:val="223"/>
        </w:trPr>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223"/>
        </w:trPr>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4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NEW ACCOUNTS ESTABLISHED DURING THE QUARTER</w:t>
            </w:r>
          </w:p>
        </w:tc>
        <w:tc>
          <w:tcPr>
            <w:tcW w:w="3280" w:type="dxa"/>
            <w:vAlign w:val="bottom"/>
          </w:tcPr>
          <w:p>
            <w:pPr>
              <w:spacing w:after="0"/>
              <w:rPr>
                <w:sz w:val="18"/>
                <w:szCs w:val="18"/>
                <w:color w:val="auto"/>
              </w:rPr>
            </w:pPr>
          </w:p>
        </w:tc>
      </w:tr>
      <w:tr>
        <w:trPr>
          <w:trHeight w:val="650"/>
        </w:trPr>
        <w:tc>
          <w:tcPr>
            <w:tcW w:w="32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Name of Broker,</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Name of Account</w:t>
            </w:r>
          </w:p>
        </w:tc>
        <w:tc>
          <w:tcPr>
            <w:tcW w:w="3280" w:type="dxa"/>
            <w:vAlign w:val="bottom"/>
          </w:tcPr>
          <w:p>
            <w:pPr>
              <w:spacing w:after="0"/>
              <w:rPr>
                <w:sz w:val="24"/>
                <w:szCs w:val="24"/>
                <w:color w:val="auto"/>
              </w:rPr>
            </w:pPr>
          </w:p>
        </w:tc>
      </w:tr>
      <w:tr>
        <w:trPr>
          <w:trHeight w:val="241"/>
        </w:trPr>
        <w:tc>
          <w:tcPr>
            <w:tcW w:w="32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Dealer or Bank</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and Account Number</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 Established</w:t>
            </w:r>
          </w:p>
        </w:tc>
      </w:tr>
      <w:tr>
        <w:trPr>
          <w:trHeight w:val="439"/>
        </w:trPr>
        <w:tc>
          <w:tcPr>
            <w:tcW w:w="32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280" w:type="dxa"/>
            <w:vAlign w:val="bottom"/>
            <w:tcBorders>
              <w:top w:val="single" w:sz="8" w:color="auto"/>
              <w:bottom w:val="single" w:sz="8" w:color="auto"/>
            </w:tcBorders>
          </w:tcPr>
          <w:p>
            <w:pPr>
              <w:spacing w:after="0"/>
              <w:rPr>
                <w:sz w:val="24"/>
                <w:szCs w:val="24"/>
                <w:color w:val="auto"/>
              </w:rPr>
            </w:pPr>
          </w:p>
        </w:tc>
      </w:tr>
      <w:tr>
        <w:trPr>
          <w:trHeight w:val="223"/>
        </w:trPr>
        <w:tc>
          <w:tcPr>
            <w:tcW w:w="3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r>
      <w:tr>
        <w:trPr>
          <w:trHeight w:val="223"/>
        </w:trPr>
        <w:tc>
          <w:tcPr>
            <w:tcW w:w="3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r>
      <w:tr>
        <w:trPr>
          <w:trHeight w:val="439"/>
        </w:trPr>
        <w:tc>
          <w:tcPr>
            <w:tcW w:w="3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AFFIRMATION AND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COMPLIANCE WITH SURO CAPITAL COMPLIANCE PROGRAM DOCUMENTS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as a Covered Person of SuRo Capital Corp, hereby acknowledges, affirms and/or certifies as follows:</w:t>
      </w:r>
    </w:p>
    <w:p>
      <w:pPr>
        <w:spacing w:after="0" w:line="225" w:lineRule="exact"/>
        <w:rPr>
          <w:sz w:val="20"/>
          <w:szCs w:val="20"/>
          <w:color w:val="auto"/>
        </w:rPr>
      </w:pPr>
    </w:p>
    <w:p>
      <w:pPr>
        <w:ind w:left="780" w:hanging="327"/>
        <w:spacing w:after="0"/>
        <w:tabs>
          <w:tab w:leader="none" w:pos="7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read and understand the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SuRo Capital Corp. Code of Ethics;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 and Procedures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(collectively, the “SuRo Capital Compliance Program Documents”) and agree to comply in all respects with the policies and procedures stated therein.</w:t>
      </w:r>
    </w:p>
    <w:p>
      <w:pPr>
        <w:spacing w:after="0" w:line="225" w:lineRule="exact"/>
        <w:rPr>
          <w:sz w:val="20"/>
          <w:szCs w:val="20"/>
          <w:color w:val="auto"/>
        </w:rPr>
      </w:pPr>
    </w:p>
    <w:p>
      <w:pPr>
        <w:jc w:val="both"/>
        <w:ind w:left="740" w:hanging="327"/>
        <w:spacing w:after="0" w:line="266" w:lineRule="auto"/>
        <w:tabs>
          <w:tab w:leader="none" w:pos="7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past calendar year I was subject to any one, some or all of the SuRo Capital Compliance Program Documents, I further certify that I have complied in all respects with the requirements of each such Document as was then in effect or, in the event that I have not so complied, I have previously fully disclosed all such non-compliance to the Chief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63144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SuRo Capital Corp. and subsidiaries (the “Company”) on Form N-2 (File No. 333-239681) and in the Registration Statement on Form S-8 (File No. 814-00852) of the Company (collectively, the “Registration Statements”) of our report dated March 16, 2023, with respect to our audits of the consolidated financial statements of the Company as of December 31, 2022 and 2021, and for each of the years in the period ended December 31, 2022, which report is included in this Annual Report on Form 10-K of the Company for the year ended December 31, 2022 (the “Form 10-K”). We also consent to the reference to us under the heading “Senior Securities” in Part II, Item 5 of the Form 10-K.</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our report dated March 16, 2023, relating to the financial information set forth under the heading “senior Securities” in part II, item 5 of the Form 10-K, which report is included as an exhibit to the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Marcum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2"/>
          <w:szCs w:val="12"/>
          <w:color w:val="auto"/>
        </w:rPr>
        <w:t>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SuRo Capital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16th day of March,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SuRo Capital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16th day of March,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2022 (the “Report”) of SuRo Capital Corp. (the “Registrant”), as filed with the Securities and Exchange Commission on the date hereof, I, Mark D. Klein, the Chief Executive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Name: Mark D. Klein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2022 (the “Report”) of SuRo Capital Corp. (the “Registrant”), as filed with the Securities and Exchange Commission on the date hereof, I, Allison Green, the Chief Financial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Name: Allison Green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SuRo Capital Corp. (f/k/a Sutter Rock Capital Corp.)</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consolidated statements of assets and liabilities of SuRo Capital Corp. and subsidiaries (the “Company”), including the consolidated schedule of investments as of December 31, 2022 and 2021, and the related consolidated statements of operations, cash flows, changes in net assets, and financial highlights for each of the three years in the period ended December 31, 2022, and have issued our report thereon dated March 16, 2023, which contained an unqualified opinion on those consolidated financial statements. The supplemental financial information set forth under the heading “Senior Securities” as of December 31, 2022 and 2021 included in Part II, Item 5 of the Company’s Annual Report on Form 10-K has been subjected to audit procedures performed in conjunction with the audit of the Company’s consolidated financial statements. The supplemental financial information is the responsibility of the Company’s management. Our audit procedures included determining whether the supplemental financial information reconciles to the consolidated financial statements or the underlying accounting and other records, as applicable, and performing procedures to test the completeness and accuracy of the information presented in the supplemental financial information. In our opinion, such financial information is fairly stated, in all material respects, in relation to the consolidated financial statements as a whole.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Marcum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2"/>
          <w:szCs w:val="12"/>
          <w:color w:val="auto"/>
        </w:rPr>
        <w:t>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1."/>
      <w:numFmt w:val="decimal"/>
      <w:start w:val="1"/>
    </w:lvl>
  </w:abstractNum>
  <w:abstractNum w:abstractNumId="7">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77AE35EB"/>
    <w:multiLevelType w:val="hybridMultilevel"/>
    <w:lvl w:ilvl="0">
      <w:lvlJc w:val="left"/>
      <w:lvlText w:val="%1."/>
      <w:numFmt w:val="decimal"/>
      <w:start w:val="2"/>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lvl w:ilvl="1">
      <w:lvlJc w:val="left"/>
      <w:lvlText w:val="●"/>
      <w:numFmt w:val="bullet"/>
      <w:start w:val="1"/>
    </w:lvl>
  </w:abstractNum>
  <w:abstractNum w:abstractNumId="13">
    <w:nsid w:val="25A70BF7"/>
    <w:multiLevelType w:val="hybridMultilevel"/>
    <w:lvl w:ilvl="0">
      <w:lvlJc w:val="left"/>
      <w:lvlText w:val="(%1)"/>
      <w:numFmt w:val="decimal"/>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1)"/>
      <w:numFmt w:val="decimal"/>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1)"/>
      <w:numFmt w:val="decimal"/>
      <w:start w:val="1"/>
    </w:lvl>
  </w:abstractNum>
  <w:abstractNum w:abstractNumId="26">
    <w:nsid w:val="42C296BD"/>
    <w:multiLevelType w:val="hybridMultilevel"/>
    <w:lvl w:ilvl="0">
      <w:lvlJc w:val="left"/>
      <w:lvlText w:val="(%1)"/>
      <w:numFmt w:val="decimal"/>
      <w:start w:val="1"/>
    </w:lvl>
  </w:abstractNum>
  <w:abstractNum w:abstractNumId="27">
    <w:nsid w:val="168E121F"/>
    <w:multiLevelType w:val="hybridMultilevel"/>
    <w:lvl w:ilvl="0">
      <w:lvlJc w:val="left"/>
      <w:lvlText w:val="(%1)"/>
      <w:numFmt w:val="decimal"/>
      <w:start w:val="8"/>
    </w:lvl>
  </w:abstractNum>
  <w:abstractNum w:abstractNumId="28">
    <w:nsid w:val="1EBA5D23"/>
    <w:multiLevelType w:val="hybridMultilevel"/>
    <w:lvl w:ilvl="0">
      <w:lvlJc w:val="left"/>
      <w:lvlText w:val="(%1)"/>
      <w:numFmt w:val="decimal"/>
      <w:start w:val="1"/>
    </w:lvl>
    <w:lvl w:ilvl="1">
      <w:lvlJc w:val="left"/>
      <w:lvlText w:val="(%2)"/>
      <w:numFmt w:val="lowerRoman"/>
      <w:start w:val="2"/>
    </w:lvl>
  </w:abstractNum>
  <w:abstractNum w:abstractNumId="29">
    <w:nsid w:val="661E3F1E"/>
    <w:multiLevelType w:val="hybridMultilevel"/>
    <w:lvl w:ilvl="0">
      <w:lvlJc w:val="left"/>
      <w:lvlText w:val="%1"/>
      <w:numFmt w:val="decimal"/>
      <w:start w:val="1"/>
    </w:lvl>
    <w:lvl w:ilvl="1">
      <w:lvlJc w:val="left"/>
      <w:lvlText w:val="(%2)"/>
      <w:numFmt w:val="lowerRoman"/>
      <w:start w:val="1"/>
    </w:lvl>
  </w:abstractNum>
  <w:abstractNum w:abstractNumId="30">
    <w:nsid w:val="5DC79EA8"/>
    <w:multiLevelType w:val="hybridMultilevel"/>
    <w:lvl w:ilvl="0">
      <w:lvlJc w:val="left"/>
      <w:lvlText w:val="(%1)"/>
      <w:numFmt w:val="decimal"/>
      <w:start w:val="2"/>
    </w:lvl>
    <w:lvl w:ilvl="1">
      <w:lvlJc w:val="left"/>
      <w:lvlText w:val="%2"/>
      <w:numFmt w:val="lowerRoman"/>
      <w:start w:val="1"/>
    </w:lvl>
  </w:abstractNum>
  <w:abstractNum w:abstractNumId="31">
    <w:nsid w:val="540A471C"/>
    <w:multiLevelType w:val="hybridMultilevel"/>
    <w:lvl w:ilvl="0">
      <w:lvlJc w:val="left"/>
      <w:lvlText w:val="(%1)"/>
      <w:numFmt w:val="decimal"/>
      <w:start w:val="1"/>
    </w:lvl>
  </w:abstractNum>
  <w:abstractNum w:abstractNumId="32">
    <w:nsid w:val="7BD3EE7B"/>
    <w:multiLevelType w:val="hybridMultilevel"/>
    <w:lvl w:ilvl="0">
      <w:lvlJc w:val="left"/>
      <w:lvlText w:val="(%1)"/>
      <w:numFmt w:val="decimal"/>
      <w:start w:val="2"/>
    </w:lvl>
  </w:abstractNum>
  <w:abstractNum w:abstractNumId="33">
    <w:nsid w:val="51D9C564"/>
    <w:multiLevelType w:val="hybridMultilevel"/>
    <w:lvl w:ilvl="0">
      <w:lvlJc w:val="left"/>
      <w:lvlText w:val="(%1)"/>
      <w:numFmt w:val="decimal"/>
      <w:start w:val="1"/>
    </w:lvl>
  </w:abstractNum>
  <w:abstractNum w:abstractNumId="34">
    <w:nsid w:val="613EFDC5"/>
    <w:multiLevelType w:val="hybridMultilevel"/>
    <w:lvl w:ilvl="0">
      <w:lvlJc w:val="left"/>
      <w:lvlText w:val="(%1)"/>
      <w:numFmt w:val="decimal"/>
      <w:start w:val="2"/>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1)"/>
      <w:numFmt w:val="decimal"/>
      <w:start w:val="1"/>
    </w:lvl>
  </w:abstractNum>
  <w:abstractNum w:abstractNumId="38">
    <w:nsid w:val="A0382C5"/>
    <w:multiLevelType w:val="hybridMultilevel"/>
    <w:lvl w:ilvl="0">
      <w:lvlJc w:val="left"/>
      <w:lvlText w:val="(%1)"/>
      <w:numFmt w:val="decimal"/>
      <w:start w:val="1"/>
    </w:lvl>
  </w:abstractNum>
  <w:abstractNum w:abstractNumId="39">
    <w:nsid w:val="8F2B15E"/>
    <w:multiLevelType w:val="hybridMultilevel"/>
    <w:lvl w:ilvl="0">
      <w:lvlJc w:val="left"/>
      <w:lvlText w:val="(%1)"/>
      <w:numFmt w:val="decimal"/>
      <w:start w:val="1"/>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1)"/>
      <w:numFmt w:val="decimal"/>
      <w:start w:val="1"/>
    </w:lvl>
  </w:abstractNum>
  <w:abstractNum w:abstractNumId="42">
    <w:nsid w:val="68EB2F63"/>
    <w:multiLevelType w:val="hybridMultilevel"/>
    <w:lvl w:ilvl="0">
      <w:lvlJc w:val="left"/>
      <w:lvlText w:val="(%1)"/>
      <w:numFmt w:val="decimal"/>
      <w:start w:val="5"/>
    </w:lvl>
  </w:abstractNum>
  <w:abstractNum w:abstractNumId="43">
    <w:nsid w:val="4962813B"/>
    <w:multiLevelType w:val="hybridMultilevel"/>
    <w:lvl w:ilvl="0">
      <w:lvlJc w:val="left"/>
      <w:lvlText w:val="(%1)"/>
      <w:numFmt w:val="decimal"/>
      <w:start w:val="1"/>
    </w:lvl>
  </w:abstractNum>
  <w:abstractNum w:abstractNumId="44">
    <w:nsid w:val="60B6DF70"/>
    <w:multiLevelType w:val="hybridMultilevel"/>
    <w:lvl w:ilvl="0">
      <w:lvlJc w:val="left"/>
      <w:lvlText w:val="(%1)"/>
      <w:numFmt w:val="decimal"/>
      <w:start w:val="1"/>
    </w:lvl>
  </w:abstractNum>
  <w:abstractNum w:abstractNumId="45">
    <w:nsid w:val="6A5EE64"/>
    <w:multiLevelType w:val="hybridMultilevel"/>
    <w:lvl w:ilvl="0">
      <w:lvlJc w:val="left"/>
      <w:lvlText w:val="(%1)"/>
      <w:numFmt w:val="decimal"/>
      <w:start w:val="1"/>
    </w:lvl>
  </w:abstractNum>
  <w:abstractNum w:abstractNumId="46">
    <w:nsid w:val="14330624"/>
    <w:multiLevelType w:val="hybridMultilevel"/>
    <w:lvl w:ilvl="0">
      <w:lvlJc w:val="left"/>
      <w:lvlText w:val="(%1)"/>
      <w:numFmt w:val="decimal"/>
      <w:start w:val="1"/>
    </w:lvl>
  </w:abstractNum>
  <w:abstractNum w:abstractNumId="47">
    <w:nsid w:val="7FFFCA11"/>
    <w:multiLevelType w:val="hybridMultilevel"/>
    <w:lvl w:ilvl="0">
      <w:lvlJc w:val="left"/>
      <w:lvlText w:val="(%1)"/>
      <w:numFmt w:val="lowerRoman"/>
      <w:start w:val="1"/>
    </w:lvl>
  </w:abstractNum>
  <w:abstractNum w:abstractNumId="48">
    <w:nsid w:val="1A27709E"/>
    <w:multiLevelType w:val="hybridMultilevel"/>
    <w:lvl w:ilvl="0">
      <w:lvlJc w:val="left"/>
      <w:lvlText w:val="(%1)"/>
      <w:numFmt w:val="decimal"/>
      <w:start w:val="1"/>
    </w:lvl>
  </w:abstractNum>
  <w:abstractNum w:abstractNumId="49">
    <w:nsid w:val="71EA1109"/>
    <w:multiLevelType w:val="hybridMultilevel"/>
    <w:lvl w:ilvl="0">
      <w:lvlJc w:val="left"/>
      <w:lvlText w:val="(%1)"/>
      <w:numFmt w:val="decimal"/>
      <w:start w:val="1"/>
    </w:lvl>
  </w:abstractNum>
  <w:abstractNum w:abstractNumId="50">
    <w:nsid w:val="100F59DC"/>
    <w:multiLevelType w:val="hybridMultilevel"/>
    <w:lvl w:ilvl="0">
      <w:lvlJc w:val="left"/>
      <w:lvlText w:val="(%1)"/>
      <w:numFmt w:val="decimal"/>
      <w:start w:val="1"/>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1)"/>
      <w:numFmt w:val="decimal"/>
      <w:start w:val="1"/>
    </w:lvl>
  </w:abstractNum>
  <w:abstractNum w:abstractNumId="56">
    <w:nsid w:val="76272110"/>
    <w:multiLevelType w:val="hybridMultilevel"/>
    <w:lvl w:ilvl="0">
      <w:lvlJc w:val="left"/>
      <w:lvlText w:val="(%1)"/>
      <w:numFmt w:val="decimal"/>
      <w:start w:val="8"/>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1)"/>
      <w:numFmt w:val="decimal"/>
      <w:start w:val="1"/>
    </w:lvl>
  </w:abstractNum>
  <w:abstractNum w:abstractNumId="61">
    <w:nsid w:val="74DE0EE3"/>
    <w:multiLevelType w:val="hybridMultilevel"/>
    <w:lvl w:ilvl="0">
      <w:lvlJc w:val="left"/>
      <w:lvlText w:val="(%1)"/>
      <w:numFmt w:val="decimal"/>
      <w:start w:val="14"/>
    </w:lvl>
  </w:abstractNum>
  <w:abstractNum w:abstractNumId="62">
    <w:nsid w:val="68EBC550"/>
    <w:multiLevelType w:val="hybridMultilevel"/>
    <w:lvl w:ilvl="0">
      <w:lvlJc w:val="left"/>
      <w:lvlText w:val="%1."/>
      <w:numFmt w:val="decimal"/>
      <w:start w:val="1"/>
    </w:lvl>
  </w:abstractNum>
  <w:abstractNum w:abstractNumId="63">
    <w:nsid w:val="2DF6D648"/>
    <w:multiLevelType w:val="hybridMultilevel"/>
    <w:lvl w:ilvl="0">
      <w:lvlJc w:val="left"/>
      <w:lvlText w:val="(%1)"/>
      <w:numFmt w:val="decimal"/>
      <w:start w:val="1"/>
    </w:lvl>
  </w:abstractNum>
  <w:abstractNum w:abstractNumId="64">
    <w:nsid w:val="46B7D447"/>
    <w:multiLevelType w:val="hybridMultilevel"/>
    <w:lvl w:ilvl="0">
      <w:lvlJc w:val="left"/>
      <w:lvlText w:val="(%1)"/>
      <w:numFmt w:val="decimal"/>
      <w:start w:val="1"/>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1)"/>
      <w:numFmt w:val="decimal"/>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1)"/>
      <w:numFmt w:val="decimal"/>
      <w:start w:val="1"/>
    </w:lvl>
  </w:abstractNum>
  <w:abstractNum w:abstractNumId="74">
    <w:nsid w:val="7055A5F5"/>
    <w:multiLevelType w:val="hybridMultilevel"/>
    <w:lvl w:ilvl="0">
      <w:lvlJc w:val="left"/>
      <w:lvlText w:val="(%1)"/>
      <w:numFmt w:val="decimal"/>
      <w:start w:val="1"/>
    </w:lvl>
  </w:abstractNum>
  <w:abstractNum w:abstractNumId="75">
    <w:nsid w:val="5FB8370B"/>
    <w:multiLevelType w:val="hybridMultilevel"/>
    <w:lvl w:ilvl="0">
      <w:lvlJc w:val="left"/>
      <w:lvlText w:val="(%1)"/>
      <w:numFmt w:val="decimal"/>
      <w:start w:val="1"/>
    </w:lvl>
  </w:abstractNum>
  <w:abstractNum w:abstractNumId="76">
    <w:nsid w:val="50801EE1"/>
    <w:multiLevelType w:val="hybridMultilevel"/>
    <w:lvl w:ilvl="0">
      <w:lvlJc w:val="left"/>
      <w:lvlText w:val="(%1)"/>
      <w:numFmt w:val="lowerRoman"/>
      <w:start w:val="2"/>
    </w:lvl>
  </w:abstractNum>
  <w:abstractNum w:abstractNumId="77">
    <w:nsid w:val="488AC1A"/>
    <w:multiLevelType w:val="hybridMultilevel"/>
    <w:lvl w:ilvl="0">
      <w:lvlJc w:val="left"/>
      <w:lvlText w:val="(%1)"/>
      <w:numFmt w:val="decimal"/>
      <w:start w:val="1"/>
    </w:lvl>
  </w:abstractNum>
  <w:abstractNum w:abstractNumId="78">
    <w:nsid w:val="5FB8011C"/>
    <w:multiLevelType w:val="hybridMultilevel"/>
    <w:lvl w:ilvl="0">
      <w:lvlJc w:val="left"/>
      <w:lvlText w:val="(%1)"/>
      <w:numFmt w:val="decimal"/>
      <w:start w:val="1"/>
    </w:lvl>
  </w:abstractNum>
  <w:abstractNum w:abstractNumId="79">
    <w:nsid w:val="6AA78F7F"/>
    <w:multiLevelType w:val="hybridMultilevel"/>
    <w:lvl w:ilvl="0">
      <w:lvlJc w:val="left"/>
      <w:lvlText w:val="(%1)"/>
      <w:numFmt w:val="decimal"/>
      <w:start w:val="1"/>
    </w:lvl>
  </w:abstractNum>
  <w:abstractNum w:abstractNumId="80">
    <w:nsid w:val="7672BD23"/>
    <w:multiLevelType w:val="hybridMultilevel"/>
    <w:lvl w:ilvl="0">
      <w:lvlJc w:val="left"/>
      <w:lvlText w:val="(%1)"/>
      <w:numFmt w:val="decimal"/>
      <w:start w:val="2"/>
    </w:lvl>
  </w:abstractNum>
  <w:abstractNum w:abstractNumId="81">
    <w:nsid w:val="6FC75AF8"/>
    <w:multiLevelType w:val="hybridMultilevel"/>
    <w:lvl w:ilvl="0">
      <w:lvlJc w:val="left"/>
      <w:lvlText w:val="(%1)"/>
      <w:numFmt w:val="decimal"/>
      <w:start w:val="1"/>
    </w:lvl>
  </w:abstractNum>
  <w:abstractNum w:abstractNumId="82">
    <w:nsid w:val="6A5F7029"/>
    <w:multiLevelType w:val="hybridMultilevel"/>
    <w:lvl w:ilvl="0">
      <w:lvlJc w:val="left"/>
      <w:lvlText w:val="(%1)"/>
      <w:numFmt w:val="decimal"/>
      <w:start w:val="2"/>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1)"/>
      <w:numFmt w:val="upperLetter"/>
      <w:start w:val="1"/>
    </w:lvl>
  </w:abstractNum>
  <w:abstractNum w:abstractNumId="85">
    <w:nsid w:val="73A1821B"/>
    <w:multiLevelType w:val="hybridMultilevel"/>
    <w:lvl w:ilvl="0">
      <w:lvlJc w:val="left"/>
      <w:lvlText w:val="(%1)"/>
      <w:numFmt w:val="upperLetter"/>
      <w:start w:val="4"/>
    </w:lvl>
  </w:abstractNum>
  <w:abstractNum w:abstractNumId="86">
    <w:nsid w:val="7DE67713"/>
    <w:multiLevelType w:val="hybridMultilevel"/>
    <w:lvl w:ilvl="0">
      <w:lvlJc w:val="left"/>
      <w:lvlText w:val="(%1)"/>
      <w:numFmt w:val="upperLetter"/>
      <w:start w:val="8"/>
    </w:lvl>
  </w:abstractNum>
  <w:abstractNum w:abstractNumId="87">
    <w:nsid w:val="555C55B5"/>
    <w:multiLevelType w:val="hybridMultilevel"/>
    <w:lvl w:ilvl="0">
      <w:lvlJc w:val="left"/>
      <w:lvlText w:val="(%1)"/>
      <w:numFmt w:val="upperLetter"/>
      <w:start w:val="11"/>
    </w:lvl>
  </w:abstractNum>
  <w:abstractNum w:abstractNumId="88">
    <w:nsid w:val="3FA62ACA"/>
    <w:multiLevelType w:val="hybridMultilevel"/>
    <w:lvl w:ilvl="0">
      <w:lvlJc w:val="left"/>
      <w:lvlText w:val="(%1)"/>
      <w:numFmt w:val="lowerRoman"/>
      <w:start w:val="1"/>
    </w:lvl>
  </w:abstractNum>
  <w:abstractNum w:abstractNumId="89">
    <w:nsid w:val="14FCE74E"/>
    <w:multiLevelType w:val="hybridMultilevel"/>
    <w:lvl w:ilvl="0">
      <w:lvlJc w:val="left"/>
      <w:lvlText w:val="(%1)"/>
      <w:numFmt w:val="upperLetter"/>
      <w:start w:val="1"/>
    </w:lvl>
    <w:lvl w:ilvl="1">
      <w:lvlJc w:val="left"/>
      <w:lvlText w:val="(%2)"/>
      <w:numFmt w:val="decimal"/>
      <w:start w:val="1"/>
    </w:lvl>
  </w:abstractNum>
  <w:abstractNum w:abstractNumId="90">
    <w:nsid w:val="6A3DD3E8"/>
    <w:multiLevelType w:val="hybridMultilevel"/>
    <w:lvl w:ilvl="0">
      <w:lvlJc w:val="left"/>
      <w:lvlText w:val="(%1)"/>
      <w:numFmt w:val="upperLetter"/>
      <w:start w:val="1"/>
    </w:lvl>
  </w:abstractNum>
  <w:abstractNum w:abstractNumId="91">
    <w:nsid w:val="71C91298"/>
    <w:multiLevelType w:val="hybridMultilevel"/>
    <w:lvl w:ilvl="0">
      <w:lvlJc w:val="left"/>
      <w:lvlText w:val="(%1)"/>
      <w:numFmt w:val="upperLetter"/>
      <w:start w:val="2"/>
    </w:lvl>
  </w:abstractNum>
  <w:abstractNum w:abstractNumId="92">
    <w:nsid w:val="9DAF632"/>
    <w:multiLevelType w:val="hybridMultilevel"/>
    <w:lvl w:ilvl="0">
      <w:lvlJc w:val="left"/>
      <w:lvlText w:val="%1"/>
      <w:numFmt w:val="upperLetter"/>
      <w:start w:val="1"/>
    </w:lvl>
    <w:lvl w:ilvl="1">
      <w:lvlJc w:val="left"/>
      <w:lvlText w:val="(%2)"/>
      <w:numFmt w:val="decimal"/>
      <w:start w:val="1"/>
    </w:lvl>
  </w:abstractNum>
  <w:abstractNum w:abstractNumId="93">
    <w:nsid w:val="53299938"/>
    <w:multiLevelType w:val="hybridMultilevel"/>
    <w:lvl w:ilvl="0">
      <w:lvlJc w:val="left"/>
      <w:lvlText w:val="(%1)"/>
      <w:numFmt w:val="upperLetter"/>
      <w:start w:val="3"/>
    </w:lvl>
    <w:lvl w:ilvl="1">
      <w:lvlJc w:val="left"/>
      <w:lvlText w:val="%2"/>
      <w:numFmt w:val="decimal"/>
      <w:start w:val="1"/>
    </w:lvl>
  </w:abstractNum>
  <w:abstractNum w:abstractNumId="94">
    <w:nsid w:val="1FBFE8E0"/>
    <w:multiLevelType w:val="hybridMultilevel"/>
    <w:lvl w:ilvl="0">
      <w:lvlJc w:val="left"/>
      <w:lvlText w:val="(%1)"/>
      <w:numFmt w:val="upperLetter"/>
      <w:start w:val="4"/>
    </w:lvl>
  </w:abstractNum>
  <w:abstractNum w:abstractNumId="95">
    <w:nsid w:val="5092CA79"/>
    <w:multiLevelType w:val="hybridMultilevel"/>
    <w:lvl w:ilvl="0">
      <w:lvlJc w:val="left"/>
      <w:lvlText w:val="(%1)"/>
      <w:numFmt w:val="decimal"/>
      <w:start w:val="1"/>
    </w:lvl>
  </w:abstractNum>
  <w:abstractNum w:abstractNumId="96">
    <w:nsid w:val="1D545C4D"/>
    <w:multiLevelType w:val="hybridMultilevel"/>
    <w:lvl w:ilvl="0">
      <w:lvlJc w:val="left"/>
      <w:lvlText w:val="%1"/>
      <w:numFmt w:val="upperLetter"/>
      <w:start w:val="1"/>
    </w:lvl>
    <w:lvl w:ilvl="1">
      <w:lvlJc w:val="left"/>
      <w:lvlText w:val="(%2)"/>
      <w:numFmt w:val="decimal"/>
      <w:start w:val="2"/>
    </w:lvl>
  </w:abstractNum>
  <w:abstractNum w:abstractNumId="97">
    <w:nsid w:val="59ADEA3D"/>
    <w:multiLevelType w:val="hybridMultilevel"/>
    <w:lvl w:ilvl="0">
      <w:lvlJc w:val="left"/>
      <w:lvlText w:val="(%1)"/>
      <w:numFmt w:val="upperLetter"/>
      <w:start w:val="5"/>
    </w:lvl>
    <w:lvl w:ilvl="1">
      <w:lvlJc w:val="left"/>
      <w:lvlText w:val="%2"/>
      <w:numFmt w:val="decimal"/>
      <w:start w:val="1"/>
    </w:lvl>
  </w:abstractNum>
  <w:abstractNum w:abstractNumId="98">
    <w:nsid w:val="288F1A34"/>
    <w:multiLevelType w:val="hybridMultilevel"/>
    <w:lvl w:ilvl="0">
      <w:lvlJc w:val="left"/>
      <w:lvlText w:val="(%1)"/>
      <w:numFmt w:val="upperLetter"/>
      <w:start w:val="6"/>
    </w:lvl>
  </w:abstractNum>
  <w:abstractNum w:abstractNumId="99">
    <w:nsid w:val="2A155DBC"/>
    <w:multiLevelType w:val="hybridMultilevel"/>
    <w:lvl w:ilvl="0">
      <w:lvlJc w:val="left"/>
      <w:lvlText w:val="(%1)"/>
      <w:numFmt w:val="upperLetter"/>
      <w:start w:val="7"/>
    </w:lvl>
  </w:abstractNum>
  <w:abstractNum w:abstractNumId="100">
    <w:nsid w:val="1D9F6E5F"/>
    <w:multiLevelType w:val="hybridMultilevel"/>
    <w:lvl w:ilvl="0">
      <w:lvlJc w:val="left"/>
      <w:lvlText w:val="(%1)"/>
      <w:numFmt w:val="upperLetter"/>
      <w:start w:val="8"/>
    </w:lvl>
  </w:abstractNum>
  <w:abstractNum w:abstractNumId="101">
    <w:nsid w:val="97E1B4E"/>
    <w:multiLevelType w:val="hybridMultilevel"/>
    <w:lvl w:ilvl="0">
      <w:lvlJc w:val="left"/>
      <w:lvlText w:val="(%1)"/>
      <w:numFmt w:val="upperLetter"/>
      <w:start w:val="1"/>
    </w:lvl>
  </w:abstractNum>
  <w:abstractNum w:abstractNumId="102">
    <w:nsid w:val="51088277"/>
    <w:multiLevelType w:val="hybridMultilevel"/>
    <w:lvl w:ilvl="0">
      <w:lvlJc w:val="left"/>
      <w:lvlText w:val="(%1)"/>
      <w:numFmt w:val="upperLetter"/>
      <w:start w:val="2"/>
    </w:lvl>
  </w:abstractNum>
  <w:abstractNum w:abstractNumId="103">
    <w:nsid w:val="1CA0C5FA"/>
    <w:multiLevelType w:val="hybridMultilevel"/>
    <w:lvl w:ilvl="0">
      <w:lvlJc w:val="left"/>
      <w:lvlText w:val="(%1)"/>
      <w:numFmt w:val="upperLetter"/>
      <w:start w:val="1"/>
    </w:lvl>
  </w:abstractNum>
  <w:abstractNum w:abstractNumId="104">
    <w:nsid w:val="53584BCB"/>
    <w:multiLevelType w:val="hybridMultilevel"/>
    <w:lvl w:ilvl="0">
      <w:lvlJc w:val="left"/>
      <w:lvlText w:val="(%1)"/>
      <w:numFmt w:val="upperLetter"/>
      <w:start w:val="2"/>
    </w:lvl>
  </w:abstractNum>
  <w:abstractNum w:abstractNumId="105">
    <w:nsid w:val="415E286C"/>
    <w:multiLevelType w:val="hybridMultilevel"/>
    <w:lvl w:ilvl="0">
      <w:lvlJc w:val="left"/>
      <w:lvlText w:val="(%1)"/>
      <w:numFmt w:val="upperLetter"/>
      <w:start w:val="1"/>
    </w:lvl>
    <w:lvl w:ilvl="1">
      <w:lvlJc w:val="left"/>
      <w:lvlText w:val="(%2)"/>
      <w:numFmt w:val="decimal"/>
      <w:start w:val="1"/>
    </w:lvl>
  </w:abstractNum>
  <w:abstractNum w:abstractNumId="106">
    <w:nsid w:val="7C58FD05"/>
    <w:multiLevelType w:val="hybridMultilevel"/>
    <w:lvl w:ilvl="0">
      <w:lvlJc w:val="left"/>
      <w:lvlText w:val="%1"/>
      <w:numFmt w:val="upperLetter"/>
      <w:start w:val="1"/>
    </w:lvl>
    <w:lvl w:ilvl="1">
      <w:lvlJc w:val="left"/>
      <w:lvlText w:val="(%2)"/>
      <w:numFmt w:val="decimal"/>
      <w:start w:val="5"/>
    </w:lvl>
  </w:abstractNum>
  <w:abstractNum w:abstractNumId="107">
    <w:nsid w:val="23D86AAC"/>
    <w:multiLevelType w:val="hybridMultilevel"/>
    <w:lvl w:ilvl="0">
      <w:lvlJc w:val="left"/>
      <w:lvlText w:val="(%1)"/>
      <w:numFmt w:val="upperLetter"/>
      <w:start w:val="3"/>
    </w:lvl>
    <w:lvl w:ilvl="1">
      <w:lvlJc w:val="left"/>
      <w:lvlText w:val="(%2)"/>
      <w:numFmt w:val="decimal"/>
      <w:start w:val="1"/>
    </w:lvl>
  </w:abstractNum>
  <w:abstractNum w:abstractNumId="108">
    <w:nsid w:val="45E6D486"/>
    <w:multiLevelType w:val="hybridMultilevel"/>
    <w:lvl w:ilvl="0">
      <w:lvlJc w:val="left"/>
      <w:lvlText w:val="1"/>
      <w:numFmt w:val="bullet"/>
      <w:start w:val="1"/>
    </w:lvl>
  </w:abstractNum>
  <w:abstractNum w:abstractNumId="109">
    <w:nsid w:val="5C10FE2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1)"/>
      <w:numFmt w:val="decimal"/>
      <w:start w:val="1"/>
    </w:lvl>
    <w:lvl w:ilvl="1">
      <w:lvlJc w:val="left"/>
      <w:lvlText w:val="●"/>
      <w:numFmt w:val="bullet"/>
      <w:start w:val="1"/>
    </w:lvl>
  </w:abstractNum>
  <w:abstractNum w:abstractNumId="112">
    <w:nsid w:val="4BD8591A"/>
    <w:multiLevelType w:val="hybridMultilevel"/>
    <w:lvl w:ilvl="0">
      <w:lvlJc w:val="left"/>
      <w:lvlText w:val="(%1)"/>
      <w:numFmt w:val="decimal"/>
      <w:start w:val="2"/>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176" Type="http://schemas.openxmlformats.org/officeDocument/2006/relationships/hyperlink" Target="https://www.sec.gov/Archives/edgar/data/1509470/000113379611000069/k216228_ex99-2a.htm" TargetMode="External"/><Relationship Id="rId177" Type="http://schemas.openxmlformats.org/officeDocument/2006/relationships/hyperlink" Target="https://www.sec.gov/Archives/edgar/data/1509470/000114420411033389/v224342_ex3-1.htm" TargetMode="External"/><Relationship Id="rId178" Type="http://schemas.openxmlformats.org/officeDocument/2006/relationships/hyperlink" Target="https://www.sec.gov/Archives/edgar/data/1509470/000114420419037014/tv526412_ex3-1.htm" TargetMode="External"/><Relationship Id="rId179" Type="http://schemas.openxmlformats.org/officeDocument/2006/relationships/hyperlink" Target="https://www.sec.gov/Archives/edgar/data/1509470/000110465920073783/tm2022743d1_ex3-1.htm" TargetMode="External"/><Relationship Id="rId180" Type="http://schemas.openxmlformats.org/officeDocument/2006/relationships/hyperlink" Target="https://www.sec.gov/Archives/edgar/data/1509470/000114420419037014/tv526412_ex3-2.htm" TargetMode="External"/><Relationship Id="rId181" Type="http://schemas.openxmlformats.org/officeDocument/2006/relationships/hyperlink" Target="https://www.sec.gov/Archives/edgar/data/1509470/000114420411053817/v235130_ex99-d1.htm" TargetMode="External"/><Relationship Id="rId182" Type="http://schemas.openxmlformats.org/officeDocument/2006/relationships/hyperlink" Target="https://www.sec.gov/Archives/edgar/data/1509470/000110465920080689/tm2023838d1_ex-d3.htm" TargetMode="External"/><Relationship Id="rId183" Type="http://schemas.openxmlformats.org/officeDocument/2006/relationships/hyperlink" Target="https://www.sec.gov/Archives/edgar/data/1509470/000110465921150924/tm2135610d1_ex4-2.htm" TargetMode="External"/><Relationship Id="rId184" Type="http://schemas.openxmlformats.org/officeDocument/2006/relationships/hyperlink" Target="https://www.sec.gov/Archives/edgar/data/1509470/000110465921150924/tm2135610d1_ex4-2.htm#S1" TargetMode="External"/><Relationship Id="rId185" Type="http://schemas.openxmlformats.org/officeDocument/2006/relationships/hyperlink" Target="https://www.sec.gov/Archives/edgar/data/1509470/000162828022005867/surocapital-form10xkex45.htm" TargetMode="External"/><Relationship Id="rId186" Type="http://schemas.openxmlformats.org/officeDocument/2006/relationships/hyperlink" Target="https://www.sec.gov/Archives/edgar/data/1509470/000113379611000069/k216228_ex99-2e.htm" TargetMode="External"/><Relationship Id="rId187" Type="http://schemas.openxmlformats.org/officeDocument/2006/relationships/hyperlink" Target="https://www.sec.gov/Archives/edgar/data/1509470/000110465920080597/tm2023817d1_ex4-7.htm" TargetMode="External"/><Relationship Id="rId188" Type="http://schemas.openxmlformats.org/officeDocument/2006/relationships/hyperlink" Target="https://www.sec.gov/Archives/edgar/data/1509470/000110465920080597/tm2023817d1_ex4-8.htm" TargetMode="External"/><Relationship Id="rId189" Type="http://schemas.openxmlformats.org/officeDocument/2006/relationships/hyperlink" Target="https://www.sec.gov/Archives/edgar/data/1509470/000110465920080597/tm2023817d1_ex4-9.htm" TargetMode="External"/><Relationship Id="rId190" Type="http://schemas.openxmlformats.org/officeDocument/2006/relationships/hyperlink" Target="https://www.sec.gov/Archives/edgar/data/1509470/000110465920080597/tm2023817d1_ex4-10.htm" TargetMode="External"/><Relationship Id="rId191" Type="http://schemas.openxmlformats.org/officeDocument/2006/relationships/hyperlink" Target="https://www.sec.gov/Archives/edgar/data/1509470/000113379611000099/v217933_ex99-2j.htm" TargetMode="External"/><Relationship Id="rId192" Type="http://schemas.openxmlformats.org/officeDocument/2006/relationships/hyperlink" Target="https://www.sec.gov/Archives/edgar/data/1509470/000110465922113258/tm2229366d1_ex10-1.htm" TargetMode="External"/><Relationship Id="rId193" Type="http://schemas.openxmlformats.org/officeDocument/2006/relationships/hyperlink" Target="https://www.sec.gov/Archives/edgar/data/1509470/000110465922113258/tm2229366d1_ex10-2.htm" TargetMode="External"/><Relationship Id="rId194" Type="http://schemas.openxmlformats.org/officeDocument/2006/relationships/hyperlink" Target="https://www.sec.gov/Archives/edgar/data/1509470/000113379611000069/k216228_ex99-2k2.htm" TargetMode="External"/><Relationship Id="rId195" Type="http://schemas.openxmlformats.org/officeDocument/2006/relationships/hyperlink" Target="https://www.sec.gov/Archives/edgar/data/1509470/000162828021009320/ex101markklein-secondamend.htm" TargetMode="External"/><Relationship Id="rId196" Type="http://schemas.openxmlformats.org/officeDocument/2006/relationships/hyperlink" Target="https://www.sec.gov/Archives/edgar/data/1509470/000162828021009320/ex102allisongreen-secondam.htm" TargetMode="External"/><Relationship Id="rId197" Type="http://schemas.openxmlformats.org/officeDocument/2006/relationships/hyperlink" Target="https://www.sec.gov/Archives/edgar/data/1509470/000162828022005867/a1010greensecondamendedand.htm" TargetMode="External"/><Relationship Id="rId198" Type="http://schemas.openxmlformats.org/officeDocument/2006/relationships/hyperlink" Target="https://www.sec.gov/Archives/edgar/data/1509470/000110465920089216/tm2026282d1_ex10-1.htm" TargetMode="External"/><Relationship Id="rId199" Type="http://schemas.openxmlformats.org/officeDocument/2006/relationships/hyperlink" Target="https://www.sec.gov/Archives/edgar/data/1509470/000110465920107576/tm2031571d1_ex10-2.htm" TargetMode="External"/><Relationship Id="rId200" Type="http://schemas.openxmlformats.org/officeDocument/2006/relationships/hyperlink" Target="https://www.sec.gov/Archives/edgar/data/1509470/000150947020000003/ssss-12312019x10kex142.htm" TargetMode="External"/><Relationship Id="rId201" Type="http://schemas.openxmlformats.org/officeDocument/2006/relationships/hyperlink" Target="https://www.sec.gov/Archives/edgar/data/1509470/000110465920080689/tm2023838d1_ex-n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2023-03-16T11:13:10Z</dcterms:created>
  <dcterms:modified xsi:type="dcterms:W3CDTF">2023-03-16T11:13:10Z</dcterms:modified>
</cp:coreProperties>
</file>