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266065</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40" w:right="3939" w:hanging="685"/>
        <w:spacing w:after="0" w:line="261"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0"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7" w:lineRule="exact"/>
        <w:rPr>
          <w:sz w:val="24"/>
          <w:szCs w:val="24"/>
          <w:color w:val="auto"/>
        </w:rPr>
      </w:pPr>
    </w:p>
    <w:p>
      <w:pPr>
        <w:ind w:left="1140" w:right="3559" w:hanging="685"/>
        <w:spacing w:after="0" w:line="261"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0"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8400" w:type="dxa"/>
            <w:vAlign w:val="bottom"/>
            <w:gridSpan w:val="6"/>
          </w:tcPr>
          <w:p>
            <w:pPr>
              <w:jc w:val="center"/>
              <w:ind w:left="1092"/>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8400" w:type="dxa"/>
            <w:vAlign w:val="bottom"/>
            <w:gridSpan w:val="6"/>
          </w:tcPr>
          <w:p>
            <w:pPr>
              <w:jc w:val="center"/>
              <w:ind w:left="117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96"/>
        </w:trPr>
        <w:tc>
          <w:tcPr>
            <w:tcW w:w="3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2400" w:type="dxa"/>
            <w:vAlign w:val="bottom"/>
            <w:gridSpan w:val="2"/>
          </w:tcPr>
          <w:p>
            <w:pPr>
              <w:spacing w:after="0"/>
              <w:rPr>
                <w:sz w:val="24"/>
                <w:szCs w:val="24"/>
                <w:color w:val="auto"/>
              </w:rPr>
            </w:pPr>
          </w:p>
        </w:tc>
      </w:tr>
      <w:tr>
        <w:trPr>
          <w:trHeight w:val="312"/>
        </w:trPr>
        <w:tc>
          <w:tcPr>
            <w:tcW w:w="3600" w:type="dxa"/>
            <w:vAlign w:val="bottom"/>
            <w:gridSpan w:val="2"/>
          </w:tcPr>
          <w:p>
            <w:pPr>
              <w:jc w:val="center"/>
              <w:ind w:left="1212"/>
              <w:spacing w:after="0"/>
              <w:rPr>
                <w:sz w:val="20"/>
                <w:szCs w:val="20"/>
                <w:color w:val="auto"/>
              </w:rPr>
            </w:pPr>
            <w:r>
              <w:rPr>
                <w:rFonts w:ascii="Arial" w:cs="Arial" w:eastAsia="Arial" w:hAnsi="Arial"/>
                <w:sz w:val="18"/>
                <w:szCs w:val="18"/>
                <w:b w:val="1"/>
                <w:bCs w:val="1"/>
                <w:color w:val="auto"/>
                <w:w w:val="98"/>
              </w:rPr>
              <w:t>Maryland</w:t>
            </w:r>
          </w:p>
        </w:tc>
        <w:tc>
          <w:tcPr>
            <w:tcW w:w="48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27-4443543</w:t>
            </w:r>
          </w:p>
        </w:tc>
      </w:tr>
      <w:tr>
        <w:trPr>
          <w:trHeight w:val="140"/>
        </w:trPr>
        <w:tc>
          <w:tcPr>
            <w:tcW w:w="3600" w:type="dxa"/>
            <w:vAlign w:val="bottom"/>
            <w:gridSpan w:val="2"/>
          </w:tcPr>
          <w:p>
            <w:pPr>
              <w:jc w:val="center"/>
              <w:ind w:left="1192"/>
              <w:spacing w:after="0" w:line="141" w:lineRule="exact"/>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0" w:type="dxa"/>
            <w:vAlign w:val="bottom"/>
            <w:gridSpan w:val="2"/>
          </w:tcPr>
          <w:p>
            <w:pPr>
              <w:jc w:val="center"/>
              <w:ind w:left="228"/>
              <w:spacing w:after="0" w:line="141" w:lineRule="exact"/>
              <w:rPr>
                <w:sz w:val="20"/>
                <w:szCs w:val="20"/>
                <w:color w:val="auto"/>
              </w:rPr>
            </w:pPr>
            <w:r>
              <w:rPr>
                <w:rFonts w:ascii="Arial" w:cs="Arial" w:eastAsia="Arial" w:hAnsi="Arial"/>
                <w:sz w:val="14"/>
                <w:szCs w:val="14"/>
                <w:color w:val="auto"/>
                <w:w w:val="97"/>
              </w:rPr>
              <w:t>(I.R.S. Employer Identification No.)</w:t>
            </w:r>
          </w:p>
        </w:tc>
      </w:tr>
      <w:tr>
        <w:trPr>
          <w:trHeight w:val="157"/>
        </w:trPr>
        <w:tc>
          <w:tcPr>
            <w:tcW w:w="3600" w:type="dxa"/>
            <w:vAlign w:val="bottom"/>
            <w:gridSpan w:val="2"/>
          </w:tcPr>
          <w:p>
            <w:pPr>
              <w:jc w:val="center"/>
              <w:ind w:left="1212"/>
              <w:spacing w:after="0" w:line="157" w:lineRule="exact"/>
              <w:rPr>
                <w:sz w:val="20"/>
                <w:szCs w:val="20"/>
                <w:color w:val="auto"/>
              </w:rPr>
            </w:pPr>
            <w:r>
              <w:rPr>
                <w:rFonts w:ascii="Arial" w:cs="Arial" w:eastAsia="Arial" w:hAnsi="Arial"/>
                <w:sz w:val="18"/>
                <w:szCs w:val="18"/>
                <w:b w:val="1"/>
                <w:bCs w:val="1"/>
                <w:color w:val="auto"/>
                <w:w w:val="89"/>
              </w:rPr>
              <w:t>2925 Woodside Road</w:t>
            </w:r>
          </w:p>
        </w:tc>
        <w:tc>
          <w:tcPr>
            <w:tcW w:w="4800" w:type="dxa"/>
            <w:vAlign w:val="bottom"/>
            <w:gridSpan w:val="4"/>
          </w:tcPr>
          <w:p>
            <w:pPr>
              <w:jc w:val="right"/>
              <w:ind w:right="820"/>
              <w:spacing w:after="0" w:line="157" w:lineRule="exact"/>
              <w:rPr>
                <w:sz w:val="20"/>
                <w:szCs w:val="20"/>
                <w:color w:val="auto"/>
              </w:rPr>
            </w:pPr>
            <w:r>
              <w:rPr>
                <w:rFonts w:ascii="Arial" w:cs="Arial" w:eastAsia="Arial" w:hAnsi="Arial"/>
                <w:sz w:val="18"/>
                <w:szCs w:val="18"/>
                <w:b w:val="1"/>
                <w:bCs w:val="1"/>
                <w:color w:val="auto"/>
              </w:rPr>
              <w:t>94062</w:t>
            </w:r>
          </w:p>
        </w:tc>
      </w:tr>
      <w:tr>
        <w:trPr>
          <w:trHeight w:val="216"/>
        </w:trPr>
        <w:tc>
          <w:tcPr>
            <w:tcW w:w="3600" w:type="dxa"/>
            <w:vAlign w:val="bottom"/>
            <w:gridSpan w:val="2"/>
          </w:tcPr>
          <w:p>
            <w:pPr>
              <w:jc w:val="center"/>
              <w:ind w:left="1212"/>
              <w:spacing w:after="0"/>
              <w:rPr>
                <w:sz w:val="20"/>
                <w:szCs w:val="20"/>
                <w:color w:val="auto"/>
              </w:rPr>
            </w:pPr>
            <w:r>
              <w:rPr>
                <w:rFonts w:ascii="Arial" w:cs="Arial" w:eastAsia="Arial" w:hAnsi="Arial"/>
                <w:sz w:val="18"/>
                <w:szCs w:val="18"/>
                <w:b w:val="1"/>
                <w:bCs w:val="1"/>
                <w:color w:val="auto"/>
                <w:w w:val="90"/>
              </w:rPr>
              <w:t>Woodside, CA</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2"/>
        </w:trPr>
        <w:tc>
          <w:tcPr>
            <w:tcW w:w="3600" w:type="dxa"/>
            <w:vAlign w:val="bottom"/>
            <w:gridSpan w:val="2"/>
          </w:tcPr>
          <w:p>
            <w:pPr>
              <w:jc w:val="center"/>
              <w:ind w:left="1192"/>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0" w:type="dxa"/>
            <w:vAlign w:val="bottom"/>
            <w:gridSpan w:val="2"/>
          </w:tcPr>
          <w:p>
            <w:pPr>
              <w:jc w:val="center"/>
              <w:ind w:left="208"/>
              <w:spacing w:after="0"/>
              <w:rPr>
                <w:sz w:val="20"/>
                <w:szCs w:val="20"/>
                <w:color w:val="auto"/>
              </w:rPr>
            </w:pPr>
            <w:r>
              <w:rPr>
                <w:rFonts w:ascii="Arial" w:cs="Arial" w:eastAsia="Arial" w:hAnsi="Arial"/>
                <w:sz w:val="14"/>
                <w:szCs w:val="14"/>
                <w:color w:val="auto"/>
                <w:w w:val="96"/>
              </w:rPr>
              <w:t>(Zip Code)</w:t>
            </w:r>
          </w:p>
        </w:tc>
      </w:tr>
      <w:tr>
        <w:trPr>
          <w:trHeight w:val="417"/>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(650) 235-4769</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5"/>
        </w:trPr>
        <w:tc>
          <w:tcPr>
            <w:tcW w:w="8400" w:type="dxa"/>
            <w:vAlign w:val="bottom"/>
            <w:gridSpan w:val="6"/>
          </w:tcPr>
          <w:p>
            <w:pPr>
              <w:jc w:val="center"/>
              <w:ind w:left="1152"/>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03"/>
        </w:trPr>
        <w:tc>
          <w:tcPr>
            <w:tcW w:w="3580" w:type="dxa"/>
            <w:vAlign w:val="bottom"/>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400" w:type="dxa"/>
            <w:vAlign w:val="bottom"/>
            <w:gridSpan w:val="2"/>
          </w:tcPr>
          <w:p>
            <w:pPr>
              <w:spacing w:after="0"/>
              <w:rPr>
                <w:sz w:val="24"/>
                <w:szCs w:val="24"/>
                <w:color w:val="auto"/>
              </w:rPr>
            </w:pPr>
          </w:p>
        </w:tc>
      </w:tr>
      <w:tr>
        <w:trPr>
          <w:trHeight w:val="621"/>
        </w:trPr>
        <w:tc>
          <w:tcPr>
            <w:tcW w:w="8400" w:type="dxa"/>
            <w:vAlign w:val="bottom"/>
            <w:gridSpan w:val="6"/>
          </w:tcPr>
          <w:p>
            <w:pPr>
              <w:jc w:val="center"/>
              <w:ind w:left="1092"/>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03"/>
        </w:trPr>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7"/>
                <w:szCs w:val="17"/>
                <w:color w:val="auto"/>
              </w:rPr>
            </w:pPr>
          </w:p>
        </w:tc>
        <w:tc>
          <w:tcPr>
            <w:tcW w:w="4640" w:type="dxa"/>
            <w:vAlign w:val="bottom"/>
            <w:gridSpan w:val="3"/>
          </w:tcPr>
          <w:p>
            <w:pPr>
              <w:ind w:left="4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60" w:type="dxa"/>
            <w:vAlign w:val="bottom"/>
          </w:tcPr>
          <w:p>
            <w:pPr>
              <w:spacing w:after="0"/>
              <w:rPr>
                <w:sz w:val="19"/>
                <w:szCs w:val="19"/>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NASDAQ Capital Market</w:t>
            </w:r>
          </w:p>
        </w:tc>
        <w:tc>
          <w:tcPr>
            <w:tcW w:w="10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-1946275</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-1757680</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-360045</wp:posOffset>
            </wp:positionV>
            <wp:extent cx="4648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6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62" w:lineRule="exact"/>
        <w:rPr>
          <w:sz w:val="24"/>
          <w:szCs w:val="24"/>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o</w:t>
      </w:r>
    </w:p>
    <w:p>
      <w:pPr>
        <w:spacing w:after="0" w:line="73" w:lineRule="exact"/>
        <w:rPr>
          <w:sz w:val="24"/>
          <w:szCs w:val="24"/>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57" w:lineRule="exact"/>
        <w:rPr>
          <w:sz w:val="24"/>
          <w:szCs w:val="24"/>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jc w:val="both"/>
        <w:ind w:left="60" w:right="519"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848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p>
      <w:pPr>
        <w:ind w:left="240"/>
        <w:spacing w:after="0"/>
        <w:tabs>
          <w:tab w:leader="none" w:pos="26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ind w:right="999" w:firstLine="755"/>
        <w:spacing w:after="0" w:line="261" w:lineRule="auto"/>
        <w:rPr>
          <w:sz w:val="20"/>
          <w:szCs w:val="20"/>
          <w:color w:val="auto"/>
        </w:rPr>
      </w:pPr>
      <w:r>
        <w:rPr>
          <w:rFonts w:ascii="Arial" w:cs="Arial" w:eastAsia="Arial" w:hAnsi="Arial"/>
          <w:sz w:val="18"/>
          <w:szCs w:val="18"/>
          <w:color w:val="auto"/>
        </w:rPr>
        <w:t>Non-accelerated filer o Smaller reporting company o (Do not check if a smaller reporting company)</w:t>
      </w:r>
    </w:p>
    <w:p>
      <w:pPr>
        <w:spacing w:after="0" w:line="76" w:lineRule="exact"/>
        <w:rPr>
          <w:sz w:val="24"/>
          <w:szCs w:val="24"/>
          <w:color w:val="auto"/>
        </w:rPr>
      </w:pPr>
    </w:p>
    <w:p>
      <w:pPr>
        <w:sectPr>
          <w:pgSz w:w="11900" w:h="16838" w:orient="portrait"/>
          <w:cols w:equalWidth="0" w:num="2">
            <w:col w:w="4020" w:space="60"/>
            <w:col w:w="6019"/>
          </w:cols>
          <w:pgMar w:left="360" w:top="1440" w:right="1440" w:bottom="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ectPr>
          <w:pgSz w:w="11900" w:h="16838" w:orient="portrait"/>
          <w:cols w:equalWidth="0" w:num="1">
            <w:col w:w="10099"/>
          </w:cols>
          <w:pgMar w:left="360" w:top="1440" w:right="1440" w:bottom="0" w:gutter="0" w:footer="0" w:header="0"/>
          <w:type w:val="continuous"/>
        </w:sectPr>
      </w:pPr>
    </w:p>
    <w:bookmarkStart w:id="1" w:name="page2"/>
    <w:bookmarkEnd w:id="1"/>
    <w:p>
      <w:pPr>
        <w:jc w:val="both"/>
        <w:ind w:right="539" w:firstLine="270"/>
        <w:spacing w:after="0" w:line="259" w:lineRule="auto"/>
        <w:rPr>
          <w:sz w:val="20"/>
          <w:szCs w:val="20"/>
          <w:color w:val="auto"/>
        </w:rPr>
      </w:pPr>
      <w:r>
        <w:rPr>
          <w:rFonts w:ascii="Arial" w:cs="Arial" w:eastAsia="Arial" w:hAnsi="Arial"/>
          <w:sz w:val="18"/>
          <w:szCs w:val="18"/>
          <w:color w:val="auto"/>
        </w:rPr>
        <w:t>The aggregate market value of common stock beneficially owned by non-affiliates of the Registrant on June 28, 2013, based on the closing price on that date of $7.86 on the NASDAQ Capital Market, was $150,776,399. For the purposes of calculating this amount only, all directors and executive officers of the Registrant have been treated as affiliates. There were 19,320,100 shares of the Registrant’s common stock outstanding as of March 5, 2014.</w:t>
      </w:r>
    </w:p>
    <w:p>
      <w:pPr>
        <w:spacing w:after="0" w:line="7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the registrant’s 2014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720090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-20955</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4445</wp:posOffset>
            </wp:positionV>
            <wp:extent cx="342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39"/>
          </w:cols>
          <w:pgMar w:left="420" w:top="179"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GSV CAPITAL CORP.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10"/>
        </w:trPr>
        <w:tc>
          <w:tcPr>
            <w:tcW w:w="840" w:type="dxa"/>
            <w:vAlign w:val="bottom"/>
            <w:gridSpan w:val="7"/>
            <w:shd w:val="clear" w:color="auto" w:fill="CCFFCC"/>
          </w:tcPr>
          <w:p>
            <w:pPr>
              <w:ind w:left="20"/>
              <w:spacing w:after="0"/>
              <w:rPr>
                <w:sz w:val="20"/>
                <w:szCs w:val="20"/>
                <w:color w:val="auto"/>
              </w:rPr>
            </w:pPr>
            <w:r>
              <w:rPr>
                <w:rFonts w:ascii="Arial" w:cs="Arial" w:eastAsia="Arial" w:hAnsi="Arial"/>
                <w:sz w:val="18"/>
                <w:szCs w:val="18"/>
                <w:b w:val="1"/>
                <w:bCs w:val="1"/>
                <w:color w:val="auto"/>
              </w:rPr>
              <w:t>PART I.</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1B.</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16"/>
        </w:trPr>
        <w:tc>
          <w:tcPr>
            <w:tcW w:w="840" w:type="dxa"/>
            <w:vAlign w:val="bottom"/>
            <w:gridSpan w:val="7"/>
          </w:tcPr>
          <w:p>
            <w:pPr>
              <w:ind w:left="2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Market for Registrant’s Common Equity, Related Stockholder Matters and Issuer Purchases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6600" w:type="dxa"/>
            <w:vAlign w:val="bottom"/>
            <w:tcBorders>
              <w:top w:val="single" w:sz="8" w:color="0000EE"/>
            </w:tcBorders>
            <w:gridSpan w:val="22"/>
            <w:shd w:val="clear" w:color="auto" w:fill="CCFFCC"/>
          </w:tcPr>
          <w:p>
            <w:pPr>
              <w:ind w:left="18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Equity Securities</w:t>
              </w:r>
            </w:hyperlink>
          </w:p>
        </w:tc>
        <w:tc>
          <w:tcPr>
            <w:tcW w:w="16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7.</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10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6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7A.</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8.</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9.</w:t>
              </w:r>
            </w:hyperlink>
          </w:p>
        </w:tc>
        <w:tc>
          <w:tcPr>
            <w:tcW w:w="6840" w:type="dxa"/>
            <w:vAlign w:val="bottom"/>
            <w:gridSpan w:val="24"/>
          </w:tcPr>
          <w:p>
            <w:pPr>
              <w:ind w:left="80"/>
              <w:spacing w:after="0" w:line="176"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Item 9A.</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Item 9B.</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FFCC"/>
          </w:tcPr>
          <w:p>
            <w:pPr>
              <w:ind w:left="20"/>
              <w:spacing w:after="0"/>
              <w:rPr>
                <w:sz w:val="20"/>
                <w:szCs w:val="20"/>
                <w:color w:val="auto"/>
              </w:rPr>
            </w:pPr>
            <w:r>
              <w:rPr>
                <w:rFonts w:ascii="Arial" w:cs="Arial" w:eastAsia="Arial" w:hAnsi="Arial"/>
                <w:sz w:val="18"/>
                <w:szCs w:val="18"/>
                <w:b w:val="1"/>
                <w:bCs w:val="1"/>
                <w:color w:val="auto"/>
              </w:rPr>
              <w:t>PART III.</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Item 10.</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Item 11.</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Item 12.</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19"/>
          </w:tcPr>
          <w:p>
            <w:pPr>
              <w:ind w:left="18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Item 13.</w:t>
              </w:r>
            </w:hyperlink>
          </w:p>
        </w:tc>
        <w:tc>
          <w:tcPr>
            <w:tcW w:w="6840" w:type="dxa"/>
            <w:vAlign w:val="bottom"/>
            <w:gridSpan w:val="24"/>
            <w:shd w:val="clear" w:color="auto" w:fill="CCFFCC"/>
          </w:tcPr>
          <w:p>
            <w:pPr>
              <w:ind w:lef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10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Item 14.</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FFCC"/>
          </w:tcPr>
          <w:p>
            <w:pPr>
              <w:ind w:left="20"/>
              <w:spacing w:after="0"/>
              <w:rPr>
                <w:sz w:val="20"/>
                <w:szCs w:val="20"/>
                <w:color w:val="auto"/>
              </w:rPr>
            </w:pPr>
            <w:r>
              <w:rPr>
                <w:rFonts w:ascii="Arial" w:cs="Arial" w:eastAsia="Arial" w:hAnsi="Arial"/>
                <w:sz w:val="18"/>
                <w:szCs w:val="18"/>
                <w:b w:val="1"/>
                <w:bCs w:val="1"/>
                <w:color w:val="auto"/>
              </w:rPr>
              <w:t>PART IV.</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Item 15.</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Exhibits and Financial Statement Schedules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FFCC"/>
          </w:tcPr>
          <w:p>
            <w:pPr>
              <w:ind w:left="20"/>
              <w:spacing w:after="0" w:line="17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Signatures</w:t>
              </w:r>
            </w:hyperlink>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540" w:type="dxa"/>
            <w:vAlign w:val="bottom"/>
            <w:gridSpan w:val="5"/>
            <w:shd w:val="clear" w:color="auto" w:fill="CCFFCC"/>
          </w:tcPr>
          <w:p>
            <w:pPr>
              <w:jc w:val="right"/>
              <w:ind w:right="8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GSV Capital</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GSV Capital Corp. (the “Company”, “we”, “our” or “GSV Capital”) is an externally managed, non-diversified closed-end management investment company that has elected to be treated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are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LLC (“GSV Asset Management” or “investment adviser”), and GSV Capital Service Company, LLC (“GSV Capital Service Company” or the “administrator”) provides the administrative services necessary for us to operate.</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potentially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our investment adviser evaluates.</w:t>
      </w:r>
    </w:p>
    <w:p>
      <w:pPr>
        <w:spacing w:after="0" w:line="8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net asset value per share of our common stock on December 31, 2013 was $14.91. On December 31, 2013, the last reported sale price of a share of our common stock on the NASDAQ Capital Market was $12.09.</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About GSV Asset Management</w:t>
      </w:r>
    </w:p>
    <w:p>
      <w:pPr>
        <w:spacing w:after="0" w:line="121"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Our investment activities are managed by GSV Asset Management, an investment adviser registered under the Investment Advisers Act of 1940, as amended, or the “Advisers Act.” GSV Asset Management is led by Michael T. Moe, our president, chief executive officer and chairman of our board of directors. Mr. Moe is assisted by Stephen D. Bard, our chief financial officer, chief compliance officer, treasurer and corporate secretary, and David V. Crowder, our Executive Vice President, whom we refer to collectively as GSV Asset Management’s senior investment professionals. Mr. Moe co-founded and previously served as chairman and chief executive officer of ThinkEquity Partners, an asset management and investment banking firm focusing on venture capital, entrepreneurial and emerging private companies. Prior to founding ThinkEquity, Mr. Moe served as Head of Global Growth Research at Merrill Lynch and before that served as Head of Growth Research and Strategy at Montgomery Securities.</w:t>
      </w:r>
    </w:p>
    <w:p>
      <w:pPr>
        <w:spacing w:after="0" w:line="58"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believe we benefit from the ability of our investment adviser’s senior investment professionals and board of advisers (the “Advisory Board”) to identify attractive investment opportunities, conduct diligence on and value prospective investments, negotiate terms, and manage and monitor a portfolio of those investments. See “Portfolio Management — Advisory Board to GSV Asset Management.” Our investment adviser’s senior investment professionals and Advisory Board members have broad investment backgrounds, with prior</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342" w:lineRule="auto"/>
        <w:rPr>
          <w:sz w:val="20"/>
          <w:szCs w:val="20"/>
          <w:color w:val="auto"/>
        </w:rPr>
      </w:pPr>
      <w:r>
        <w:rPr>
          <w:rFonts w:ascii="Arial" w:cs="Arial" w:eastAsia="Arial" w:hAnsi="Arial"/>
          <w:sz w:val="16"/>
          <w:szCs w:val="16"/>
          <w:color w:val="auto"/>
        </w:rPr>
        <w:t>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16"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See “Investment Advisory Agreement”.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Opportunity</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5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At the same time, we believe that the initial public offering, or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have made it more costly and less attractive to become a public company. As a result, there are significantly fewer IPOs today than there were during the 1990’s, with prospective public companies taking longer to come to market. For example, from 1991 – 2000, there were 4,361 IPOs in the United States, of which 1,701 were venture-capital backed. From 2011 – 2013 there were 401 IPOs, of which 198 were venture capital backed.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We seek to maintain a portfolio of potentially high-growth emerging private companies via a repeatable and disciplined investment approach, as well as to provide investors with access to such companies through our publicly traded common stock.</w:t>
      </w:r>
    </w:p>
    <w:p>
      <w:pPr>
        <w:spacing w:after="0" w:line="16"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38" w:lineRule="exact"/>
        <w:rPr>
          <w:sz w:val="20"/>
          <w:szCs w:val="20"/>
          <w:color w:val="auto"/>
        </w:rPr>
      </w:pPr>
    </w:p>
    <w:p>
      <w:pPr>
        <w:jc w:val="both"/>
        <w:ind w:left="600" w:right="519" w:hanging="322"/>
        <w:spacing w:after="0" w:line="25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 high quality growth companies. </w:t>
      </w:r>
      <w:r>
        <w:rPr>
          <w:rFonts w:ascii="Arial" w:cs="Arial" w:eastAsia="Arial" w:hAnsi="Arial"/>
          <w:sz w:val="18"/>
          <w:szCs w:val="18"/>
          <w:color w:val="auto"/>
        </w:rPr>
        <w:t>Based on our extensive experience in analyzing technology trends and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identified the 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80" w:lineRule="exact"/>
        <w:rPr>
          <w:sz w:val="20"/>
          <w:szCs w:val="20"/>
          <w:color w:val="auto"/>
        </w:rPr>
      </w:pPr>
    </w:p>
    <w:p>
      <w:pPr>
        <w:jc w:val="both"/>
        <w:ind w:left="320" w:right="519" w:firstLine="270"/>
        <w:spacing w:after="0" w:line="264" w:lineRule="auto"/>
        <w:rPr>
          <w:sz w:val="20"/>
          <w:szCs w:val="20"/>
          <w:color w:val="auto"/>
        </w:rPr>
      </w:pPr>
      <w:r>
        <w:rPr>
          <w:rFonts w:ascii="Arial" w:cs="Arial" w:eastAsia="Arial" w:hAnsi="Arial"/>
          <w:sz w:val="18"/>
          <w:szCs w:val="18"/>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73" w:lineRule="exact"/>
        <w:rPr>
          <w:sz w:val="20"/>
          <w:szCs w:val="20"/>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People — Organizations led by strong management teams with in-depth operational focus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 Differentiated and disruptive products with leading market positioning</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 Large addressable markets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Predictability — Ability to forecast and drive predictable and sustainable growth</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 these to be the core elements for identifying rapidly growing emerging companies.</w:t>
      </w:r>
    </w:p>
    <w:p>
      <w:pPr>
        <w:spacing w:after="0" w:line="117" w:lineRule="exact"/>
        <w:rPr>
          <w:sz w:val="20"/>
          <w:szCs w:val="20"/>
          <w:color w:val="auto"/>
        </w:rPr>
      </w:pPr>
    </w:p>
    <w:p>
      <w:pPr>
        <w:jc w:val="both"/>
        <w:ind w:left="880" w:right="539" w:hanging="33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positions in targeted investments. </w:t>
      </w:r>
      <w:r>
        <w:rPr>
          <w:rFonts w:ascii="Arial" w:cs="Arial" w:eastAsia="Arial" w:hAnsi="Arial"/>
          <w:sz w:val="18"/>
          <w:szCs w:val="18"/>
          <w:color w:val="auto"/>
        </w:rPr>
        <w:t>We seek to add to our portfolio by sourcing investments at an acceptable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through our disciplined investing strategy. To this end, we utilize multiple methods to acquire equity stakes in private companies that are not available to many individual investors.</w:t>
      </w:r>
    </w:p>
    <w:p>
      <w:pPr>
        <w:spacing w:after="0" w:line="73" w:lineRule="exact"/>
        <w:rPr>
          <w:sz w:val="20"/>
          <w:szCs w:val="20"/>
          <w:color w:val="auto"/>
        </w:rPr>
      </w:pPr>
    </w:p>
    <w:p>
      <w:pPr>
        <w:jc w:val="both"/>
        <w:ind w:left="320" w:right="519" w:firstLine="270"/>
        <w:spacing w:after="0" w:line="255" w:lineRule="auto"/>
        <w:rPr>
          <w:sz w:val="20"/>
          <w:szCs w:val="20"/>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also seek direct investments in private companies. There is a large market among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85" w:lineRule="exact"/>
        <w:rPr>
          <w:sz w:val="20"/>
          <w:szCs w:val="20"/>
          <w:color w:val="auto"/>
        </w:rPr>
      </w:pPr>
    </w:p>
    <w:p>
      <w:pPr>
        <w:jc w:val="both"/>
        <w:ind w:left="320" w:right="519" w:firstLine="270"/>
        <w:spacing w:after="0" w:line="287" w:lineRule="auto"/>
        <w:rPr>
          <w:sz w:val="20"/>
          <w:szCs w:val="20"/>
          <w:color w:val="auto"/>
        </w:rPr>
      </w:pPr>
      <w:r>
        <w:rPr>
          <w:rFonts w:ascii="Arial" w:cs="Arial" w:eastAsia="Arial" w:hAnsi="Arial"/>
          <w:sz w:val="16"/>
          <w:szCs w:val="16"/>
          <w:i w:val="1"/>
          <w:iCs w:val="1"/>
          <w:color w:val="auto"/>
        </w:rPr>
        <w:t xml:space="preserve">Private secondary marketplaces and direct share purchases. </w:t>
      </w:r>
      <w:r>
        <w:rPr>
          <w:rFonts w:ascii="Arial" w:cs="Arial" w:eastAsia="Arial" w:hAnsi="Arial"/>
          <w:sz w:val="16"/>
          <w:szCs w:val="16"/>
          <w:color w:val="auto"/>
        </w:rPr>
        <w:t>We utilize private secondary marketplaces as a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equity and equity-related interests in privately-held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our investment professionals’ reputation within the industry and history of investing affords us a favorable position when seeking approval for a purchase of shares subject to such limitations.</w:t>
      </w:r>
    </w:p>
    <w:p>
      <w:pPr>
        <w:spacing w:after="0" w:line="65" w:lineRule="exact"/>
        <w:rPr>
          <w:sz w:val="20"/>
          <w:szCs w:val="20"/>
          <w:color w:val="auto"/>
        </w:rPr>
      </w:pPr>
    </w:p>
    <w:p>
      <w:pPr>
        <w:jc w:val="both"/>
        <w:ind w:left="600" w:right="519" w:hanging="322"/>
        <w:spacing w:after="0" w:line="25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access to a diverse investment portfolio. </w:t>
      </w:r>
      <w:r>
        <w:rPr>
          <w:rFonts w:ascii="Arial" w:cs="Arial" w:eastAsia="Arial" w:hAnsi="Arial"/>
          <w:sz w:val="18"/>
          <w:szCs w:val="18"/>
          <w:color w:val="auto"/>
        </w:rPr>
        <w:t>We seek to hold a varied portfolio of non-controlling equity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believe will minimize the impact on our portfolio of a negative downturn at any one specific company. We believe that our relatively diversified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we will benefit from the following competitive advantages in executing our investment strategy:</w:t>
      </w:r>
    </w:p>
    <w:p>
      <w:pPr>
        <w:spacing w:after="0" w:line="117" w:lineRule="exact"/>
        <w:rPr>
          <w:sz w:val="20"/>
          <w:szCs w:val="20"/>
          <w:color w:val="auto"/>
        </w:rPr>
      </w:pPr>
    </w:p>
    <w:p>
      <w:pPr>
        <w:jc w:val="both"/>
        <w:ind w:left="600" w:right="519" w:hanging="322"/>
        <w:spacing w:after="0" w:line="276"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team of investment professionals. </w:t>
      </w:r>
      <w:r>
        <w:rPr>
          <w:rFonts w:ascii="Arial" w:cs="Arial" w:eastAsia="Arial" w:hAnsi="Arial"/>
          <w:sz w:val="17"/>
          <w:szCs w:val="17"/>
          <w:color w:val="auto"/>
        </w:rPr>
        <w:t>Our investment adviser’s senior investment professionals, its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and our board of directors have significant experience researching and investing in the types of potentially rapidly growing venture capital-backed emerging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64" w:lineRule="exact"/>
        <w:rPr>
          <w:rFonts w:ascii="Arial" w:cs="Arial" w:eastAsia="Arial" w:hAnsi="Arial"/>
          <w:sz w:val="17"/>
          <w:szCs w:val="17"/>
          <w:color w:val="auto"/>
        </w:rPr>
      </w:pPr>
    </w:p>
    <w:p>
      <w:pPr>
        <w:jc w:val="both"/>
        <w:ind w:left="600" w:right="519" w:hanging="322"/>
        <w:spacing w:after="0" w:line="25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and repeatable investment process. </w:t>
      </w:r>
      <w:r>
        <w:rPr>
          <w:rFonts w:ascii="Arial" w:cs="Arial" w:eastAsia="Arial" w:hAnsi="Arial"/>
          <w:sz w:val="18"/>
          <w:szCs w:val="18"/>
          <w:color w:val="auto"/>
        </w:rPr>
        <w:t>We have established a disciplined and repeatable process to locate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available shares at attractive valuations by utilizing multiple sources. In contrast to industry “aggregators” that accumulate stock at market prices, we conduct valuation analyses and make acquisitions only when we can invest at valuations that we believe are attractive to our investors. Following this process, we have completed investments in the 49 companies in our portfolio as of December 31, 2013.</w:t>
      </w:r>
    </w:p>
    <w:p>
      <w:pPr>
        <w:spacing w:after="0" w:line="80" w:lineRule="exact"/>
        <w:rPr>
          <w:rFonts w:ascii="Arial" w:cs="Arial" w:eastAsia="Arial" w:hAnsi="Arial"/>
          <w:sz w:val="18"/>
          <w:szCs w:val="18"/>
          <w:color w:val="auto"/>
        </w:rPr>
      </w:pPr>
    </w:p>
    <w:p>
      <w:pPr>
        <w:jc w:val="both"/>
        <w:ind w:left="600" w:right="519" w:hanging="322"/>
        <w:spacing w:after="0" w:line="25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relationships with significant credibility to source and complete transactions. </w:t>
      </w:r>
      <w:r>
        <w:rPr>
          <w:rFonts w:ascii="Arial" w:cs="Arial" w:eastAsia="Arial" w:hAnsi="Arial"/>
          <w:sz w:val="18"/>
          <w:szCs w:val="18"/>
          <w:color w:val="auto"/>
        </w:rPr>
        <w:t>GSV Asset Management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investment professionals are strategically located in the heart of Silicon Valley in Woodside, California. During the course of over two decades of researching and investing in emerging private companies, our investment adviser’s senior investment professionals have developed strong reputations within the investing community, particularly within technology-related</w:t>
      </w: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39"/>
        <w:spacing w:after="0" w:line="277" w:lineRule="auto"/>
        <w:rPr>
          <w:sz w:val="20"/>
          <w:szCs w:val="20"/>
          <w:color w:val="auto"/>
        </w:rPr>
      </w:pPr>
      <w:r>
        <w:rPr>
          <w:rFonts w:ascii="Arial" w:cs="Arial" w:eastAsia="Arial" w:hAnsi="Arial"/>
          <w:sz w:val="18"/>
          <w:szCs w:val="18"/>
          <w:color w:val="auto"/>
        </w:rPr>
        <w:t>sectors. Our investment adviser’s Advisory Board members and our board of directors have also developed strong relationships in the financial, investing and technology-related sectors.</w:t>
      </w:r>
    </w:p>
    <w:p>
      <w:pPr>
        <w:spacing w:after="0" w:line="62" w:lineRule="exact"/>
        <w:rPr>
          <w:sz w:val="20"/>
          <w:szCs w:val="20"/>
          <w:color w:val="auto"/>
        </w:rPr>
      </w:pPr>
    </w:p>
    <w:p>
      <w:pPr>
        <w:jc w:val="both"/>
        <w:ind w:left="600" w:right="519" w:hanging="322"/>
        <w:spacing w:after="0" w:line="25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publicly-traded corporation, we have access to a source of permanent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which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80" w:lineRule="exact"/>
        <w:rPr>
          <w:rFonts w:ascii="Arial" w:cs="Arial" w:eastAsia="Arial" w:hAnsi="Arial"/>
          <w:sz w:val="18"/>
          <w:szCs w:val="18"/>
          <w:color w:val="auto"/>
        </w:rPr>
      </w:pPr>
    </w:p>
    <w:p>
      <w:pPr>
        <w:jc w:val="both"/>
        <w:ind w:left="600" w:right="519" w:hanging="322"/>
        <w:spacing w:after="0" w:line="270"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Early mover advantage. </w:t>
      </w:r>
      <w:r>
        <w:rPr>
          <w:rFonts w:ascii="Arial" w:cs="Arial" w:eastAsia="Arial" w:hAnsi="Arial"/>
          <w:sz w:val="17"/>
          <w:szCs w:val="17"/>
          <w:color w:val="auto"/>
        </w:rPr>
        <w:t>We believe we are one of the few publicly traded business development companies with a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 on investing in potentially rapidly growing venture capital-backed emerging companies. Moreover, we believe we are the only one to focus on acquiring shares in secondary transactions as a key component of our strategy. Despite our limited track record,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potentially enable us to complete equity transactions in desirable private companies at attractive valuations.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GSV Capital was formed as a Maryland corporation that is an externally managed, non-diversified closed-end management investment company. We completed our initial public offering in May 2011 and have elected to be treated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See “Regulation as a Business Development Company.” We were taxed as a regular corporation (a “C corporation”) under Subchapter C of the Internal Revenue Code of 1986, as amended (the “Code”) for our 2012 taxable year. We may elect to be treated as a regulated investment company (“RIC”) under subchapter M of the Code, if we are able to satisfy the requirements under subchapter M of the Code. We will be unable to satisfy such requirements for the 2013 taxable year unless the SEC certifies us as being principally engaged in the furnishing of capital to certain types of development companies. See “Material U.S. Federal Income Tax Considerations.”</w:t>
      </w:r>
    </w:p>
    <w:p>
      <w:pPr>
        <w:spacing w:after="0" w:line="6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Our investment activities are managed by GSV Asset Management and supervised by our board of directors. GSV Asset Management is an investment adviser registered under the Advisers Act. Under our investment advisory agreement, which we refer to as the Investment Advisory Agreement, we have agreed to pay GSV Asset Management an annual base management fee based on our gross assets as well as an incentive fee based on our performance. See “Investment Advisory Agreement.” We have also entered into an administration agreement, which we refer to as the Administration Agreement, under which we have agreed to reimburse GSV Capital Service Company for our allocable portion of overhead and other expenses incurred.</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technology. These broad markets have the potential to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five sub-segments in which we target companies for investment: social mobile, cloud computing and big data, internet commerce, sustainability and education technology. We remain focused on selecting market leaders within the sub-segments we have identified, while continuing to review our pipeline to ensure we are tracking the next phase of leaders.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identify prospective portfolio companies through an extensive network of relationships developed by our investment professionals, supplemented by the knowledge and relationships of our investment adviser’s Advisory Board and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which we evaluate in greater depth.</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enter into purchase agreements for each of our private company portfolio investments. Private company securities are typically subject to contractual transfer limitations, which may, among other things, give the issuer, its assignees and/or its stockholders a particular period of time, often 30 days or more, in</w:t>
      </w: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59" w:lineRule="auto"/>
        <w:rPr>
          <w:sz w:val="20"/>
          <w:szCs w:val="20"/>
          <w:color w:val="auto"/>
        </w:rPr>
      </w:pPr>
      <w:r>
        <w:rPr>
          <w:rFonts w:ascii="Arial" w:cs="Arial" w:eastAsia="Arial" w:hAnsi="Arial"/>
          <w:sz w:val="18"/>
          <w:szCs w:val="18"/>
          <w:color w:val="auto"/>
        </w:rPr>
        <w:t>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are may be required to deposit the purchase price into escrow upon signing with the funds released to the seller at closing or returned to us if the closing conditions are not met.</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117"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Overview</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At December 31, 2013, our portfolio was invested approximately 62.9% in common shares, 36.6% in preferred shares, 0.2% in membership interests, 0.2% in loans, and 0.1% in equity warrants. Such percentages are not inclusive of our holdings of U.S. Treasury securities.</w:t>
      </w:r>
    </w:p>
    <w:p>
      <w:pPr>
        <w:spacing w:after="0" w:line="73" w:lineRule="exact"/>
        <w:rPr>
          <w:sz w:val="20"/>
          <w:szCs w:val="20"/>
          <w:color w:val="auto"/>
        </w:rPr>
      </w:pPr>
    </w:p>
    <w:p>
      <w:pPr>
        <w:jc w:val="both"/>
        <w:ind w:left="60" w:right="519" w:firstLine="270"/>
        <w:spacing w:after="0" w:line="258" w:lineRule="auto"/>
        <w:rPr>
          <w:sz w:val="20"/>
          <w:szCs w:val="20"/>
          <w:color w:val="auto"/>
        </w:rPr>
      </w:pPr>
      <w:r>
        <w:rPr>
          <w:rFonts w:ascii="Arial" w:cs="Arial" w:eastAsia="Arial" w:hAnsi="Arial"/>
          <w:sz w:val="18"/>
          <w:szCs w:val="18"/>
          <w:color w:val="auto"/>
        </w:rPr>
        <w:t>Our ten largest portfolio company investments at December 31, 2013, based on the combined fair value of the securities we hold in each portfolio company,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0"/>
              </w:rPr>
              <w:t>As of December 31, 2013</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6"/>
        </w:trPr>
        <w:tc>
          <w:tcPr>
            <w:tcW w:w="25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2"/>
                <w:szCs w:val="12"/>
                <w:color w:val="auto"/>
              </w:rPr>
            </w:pPr>
          </w:p>
        </w:tc>
        <w:tc>
          <w:tcPr>
            <w:tcW w:w="2480" w:type="dxa"/>
            <w:vAlign w:val="bottom"/>
            <w:gridSpan w:val="2"/>
          </w:tcPr>
          <w:p>
            <w:pPr>
              <w:ind w:left="920"/>
              <w:spacing w:after="0" w:line="147" w:lineRule="exact"/>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2"/>
                <w:szCs w:val="12"/>
                <w:color w:val="auto"/>
              </w:rPr>
            </w:pPr>
          </w:p>
        </w:tc>
        <w:tc>
          <w:tcPr>
            <w:tcW w:w="900" w:type="dxa"/>
            <w:vAlign w:val="bottom"/>
          </w:tcPr>
          <w:p>
            <w:pPr>
              <w:jc w:val="right"/>
              <w:ind w:right="280"/>
              <w:spacing w:after="0" w:line="147"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Fair Value</w:t>
            </w:r>
          </w:p>
        </w:tc>
        <w:tc>
          <w:tcPr>
            <w:tcW w:w="76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8"/>
              </w:rPr>
              <w:t>Asset Value</w:t>
            </w:r>
          </w:p>
        </w:tc>
      </w:tr>
      <w:tr>
        <w:trPr>
          <w:trHeight w:val="196"/>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Twitter, Inc.</w:t>
            </w:r>
          </w:p>
        </w:tc>
        <w:tc>
          <w:tcPr>
            <w:tcW w:w="120" w:type="dxa"/>
            <w:vAlign w:val="bottom"/>
          </w:tcPr>
          <w:p>
            <w:pPr>
              <w:spacing w:after="0"/>
              <w:rPr>
                <w:sz w:val="17"/>
                <w:szCs w:val="17"/>
                <w:color w:val="auto"/>
              </w:rPr>
            </w:pPr>
          </w:p>
        </w:tc>
        <w:tc>
          <w:tcPr>
            <w:tcW w:w="2380" w:type="dxa"/>
            <w:vAlign w:val="bottom"/>
          </w:tcPr>
          <w:p>
            <w:pPr>
              <w:ind w:left="80"/>
              <w:spacing w:after="0"/>
              <w:rPr>
                <w:sz w:val="20"/>
                <w:szCs w:val="20"/>
                <w:color w:val="auto"/>
              </w:rPr>
            </w:pPr>
            <w:r>
              <w:rPr>
                <w:rFonts w:ascii="Arial" w:cs="Arial" w:eastAsia="Arial" w:hAnsi="Arial"/>
                <w:sz w:val="16"/>
                <w:szCs w:val="16"/>
                <w:color w:val="auto"/>
              </w:rPr>
              <w:t>Social Communication</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32,991,111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102,822,460</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35.71%</w:t>
            </w:r>
          </w:p>
        </w:tc>
      </w:tr>
      <w:tr>
        <w:trPr>
          <w:trHeight w:val="203"/>
        </w:trPr>
        <w:tc>
          <w:tcPr>
            <w:tcW w:w="25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Palantir Technologies, Inc.</w:t>
            </w:r>
          </w:p>
        </w:tc>
        <w:tc>
          <w:tcPr>
            <w:tcW w:w="120" w:type="dxa"/>
            <w:vAlign w:val="bottom"/>
            <w:shd w:val="clear" w:color="auto" w:fill="CCFFCC"/>
          </w:tcPr>
          <w:p>
            <w:pPr>
              <w:spacing w:after="0"/>
              <w:rPr>
                <w:sz w:val="17"/>
                <w:szCs w:val="17"/>
                <w:color w:val="auto"/>
              </w:rPr>
            </w:pPr>
          </w:p>
        </w:tc>
        <w:tc>
          <w:tcPr>
            <w:tcW w:w="248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Cyber Security</w:t>
            </w: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21,060,447</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33,838,830</w:t>
            </w:r>
          </w:p>
        </w:tc>
        <w:tc>
          <w:tcPr>
            <w:tcW w:w="160" w:type="dxa"/>
            <w:vAlign w:val="bottom"/>
            <w:tcBorders>
              <w:righ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11.75</w:t>
            </w:r>
          </w:p>
        </w:tc>
      </w:tr>
      <w:tr>
        <w:trPr>
          <w:trHeight w:val="203"/>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Dropbox, Inc.</w:t>
            </w:r>
          </w:p>
        </w:tc>
        <w:tc>
          <w:tcPr>
            <w:tcW w:w="120" w:type="dxa"/>
            <w:vAlign w:val="bottom"/>
          </w:tcPr>
          <w:p>
            <w:pPr>
              <w:spacing w:after="0"/>
              <w:rPr>
                <w:sz w:val="17"/>
                <w:szCs w:val="17"/>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color w:val="auto"/>
              </w:rPr>
              <w:t>Online Storage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13,656,486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15,855,197</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5.51</w:t>
            </w:r>
          </w:p>
        </w:tc>
      </w:tr>
      <w:tr>
        <w:trPr>
          <w:trHeight w:val="203"/>
        </w:trPr>
        <w:tc>
          <w:tcPr>
            <w:tcW w:w="25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Coursera, Inc.</w:t>
            </w:r>
          </w:p>
        </w:tc>
        <w:tc>
          <w:tcPr>
            <w:tcW w:w="120" w:type="dxa"/>
            <w:vAlign w:val="bottom"/>
            <w:shd w:val="clear" w:color="auto" w:fill="CCFFCC"/>
          </w:tcPr>
          <w:p>
            <w:pPr>
              <w:spacing w:after="0"/>
              <w:rPr>
                <w:sz w:val="17"/>
                <w:szCs w:val="17"/>
                <w:color w:val="auto"/>
              </w:rPr>
            </w:pPr>
          </w:p>
        </w:tc>
        <w:tc>
          <w:tcPr>
            <w:tcW w:w="248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Online Education</w:t>
            </w: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14,519,443</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14,519,443</w:t>
            </w:r>
          </w:p>
        </w:tc>
        <w:tc>
          <w:tcPr>
            <w:tcW w:w="160" w:type="dxa"/>
            <w:vAlign w:val="bottom"/>
            <w:tcBorders>
              <w:righ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5.04</w:t>
            </w:r>
          </w:p>
        </w:tc>
      </w:tr>
      <w:tr>
        <w:trPr>
          <w:trHeight w:val="203"/>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Control4 Corporation</w:t>
            </w:r>
          </w:p>
        </w:tc>
        <w:tc>
          <w:tcPr>
            <w:tcW w:w="120" w:type="dxa"/>
            <w:vAlign w:val="bottom"/>
          </w:tcPr>
          <w:p>
            <w:pPr>
              <w:spacing w:after="0"/>
              <w:rPr>
                <w:sz w:val="17"/>
                <w:szCs w:val="17"/>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color w:val="auto"/>
              </w:rPr>
              <w:t>Home Automation</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7,010,762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13,300,129</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4.62</w:t>
            </w:r>
          </w:p>
        </w:tc>
      </w:tr>
      <w:tr>
        <w:trPr>
          <w:trHeight w:val="203"/>
        </w:trPr>
        <w:tc>
          <w:tcPr>
            <w:tcW w:w="25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2U, Inc. (f/k/a 2tor, Inc.)</w:t>
            </w:r>
          </w:p>
        </w:tc>
        <w:tc>
          <w:tcPr>
            <w:tcW w:w="120" w:type="dxa"/>
            <w:vAlign w:val="bottom"/>
            <w:shd w:val="clear" w:color="auto" w:fill="CCFFCC"/>
          </w:tcPr>
          <w:p>
            <w:pPr>
              <w:spacing w:after="0"/>
              <w:rPr>
                <w:sz w:val="17"/>
                <w:szCs w:val="17"/>
                <w:color w:val="auto"/>
              </w:rPr>
            </w:pPr>
          </w:p>
        </w:tc>
        <w:tc>
          <w:tcPr>
            <w:tcW w:w="248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Online Education</w:t>
            </w: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10,031,318</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11,310,709</w:t>
            </w:r>
          </w:p>
        </w:tc>
        <w:tc>
          <w:tcPr>
            <w:tcW w:w="160" w:type="dxa"/>
            <w:vAlign w:val="bottom"/>
            <w:tcBorders>
              <w:righ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3.93</w:t>
            </w:r>
          </w:p>
        </w:tc>
      </w:tr>
      <w:tr>
        <w:trPr>
          <w:trHeight w:val="203"/>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Solexel, Inc.</w:t>
            </w:r>
          </w:p>
        </w:tc>
        <w:tc>
          <w:tcPr>
            <w:tcW w:w="120" w:type="dxa"/>
            <w:vAlign w:val="bottom"/>
          </w:tcPr>
          <w:p>
            <w:pPr>
              <w:spacing w:after="0"/>
              <w:rPr>
                <w:sz w:val="17"/>
                <w:szCs w:val="17"/>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color w:val="auto"/>
              </w:rPr>
              <w:t>Solar Power</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11,017,561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11,286,628</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3.92</w:t>
            </w:r>
          </w:p>
        </w:tc>
      </w:tr>
      <w:tr>
        <w:trPr>
          <w:trHeight w:val="243"/>
        </w:trPr>
        <w:tc>
          <w:tcPr>
            <w:tcW w:w="254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6"/>
                <w:szCs w:val="16"/>
                <w:color w:val="auto"/>
              </w:rPr>
              <w:t>Avenues Global Holdings LLC</w:t>
            </w:r>
            <w:r>
              <w:rPr>
                <w:rFonts w:ascii="Arial" w:cs="Arial" w:eastAsia="Arial" w:hAnsi="Arial"/>
                <w:sz w:val="27"/>
                <w:szCs w:val="27"/>
                <w:color w:val="auto"/>
                <w:vertAlign w:val="superscript"/>
              </w:rPr>
              <w:t>(1)</w:t>
            </w:r>
          </w:p>
        </w:tc>
        <w:tc>
          <w:tcPr>
            <w:tcW w:w="120" w:type="dxa"/>
            <w:vAlign w:val="bottom"/>
            <w:shd w:val="clear" w:color="auto" w:fill="CCFFCC"/>
          </w:tcPr>
          <w:p>
            <w:pPr>
              <w:spacing w:after="0"/>
              <w:rPr>
                <w:sz w:val="21"/>
                <w:szCs w:val="21"/>
                <w:color w:val="auto"/>
              </w:rPr>
            </w:pPr>
          </w:p>
        </w:tc>
        <w:tc>
          <w:tcPr>
            <w:tcW w:w="248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Globally-focused Private School</w:t>
            </w:r>
          </w:p>
        </w:tc>
        <w:tc>
          <w:tcPr>
            <w:tcW w:w="120" w:type="dxa"/>
            <w:vAlign w:val="bottom"/>
            <w:shd w:val="clear" w:color="auto" w:fill="CCFFCC"/>
          </w:tcPr>
          <w:p>
            <w:pPr>
              <w:spacing w:after="0"/>
              <w:rPr>
                <w:sz w:val="21"/>
                <w:szCs w:val="21"/>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10,150,484</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10,014,270</w:t>
            </w:r>
          </w:p>
        </w:tc>
        <w:tc>
          <w:tcPr>
            <w:tcW w:w="160" w:type="dxa"/>
            <w:vAlign w:val="bottom"/>
            <w:tcBorders>
              <w:right w:val="single" w:sz="8" w:color="CCFFCC"/>
            </w:tcBorders>
            <w:shd w:val="clear" w:color="auto" w:fill="CCFFCC"/>
          </w:tcPr>
          <w:p>
            <w:pPr>
              <w:spacing w:after="0"/>
              <w:rPr>
                <w:sz w:val="21"/>
                <w:szCs w:val="21"/>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3.48</w:t>
            </w:r>
          </w:p>
        </w:tc>
      </w:tr>
      <w:tr>
        <w:trPr>
          <w:trHeight w:val="203"/>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Curious.com, Inc.</w:t>
            </w:r>
          </w:p>
        </w:tc>
        <w:tc>
          <w:tcPr>
            <w:tcW w:w="120" w:type="dxa"/>
            <w:vAlign w:val="bottom"/>
          </w:tcPr>
          <w:p>
            <w:pPr>
              <w:spacing w:after="0"/>
              <w:rPr>
                <w:sz w:val="17"/>
                <w:szCs w:val="17"/>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color w:val="auto"/>
              </w:rPr>
              <w:t>Online Education</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10,000,003</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3.47</w:t>
            </w:r>
          </w:p>
        </w:tc>
      </w:tr>
      <w:tr>
        <w:trPr>
          <w:trHeight w:val="203"/>
        </w:trPr>
        <w:tc>
          <w:tcPr>
            <w:tcW w:w="25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PayNearMe, Inc.</w:t>
            </w:r>
          </w:p>
        </w:tc>
        <w:tc>
          <w:tcPr>
            <w:tcW w:w="120" w:type="dxa"/>
            <w:vAlign w:val="bottom"/>
            <w:shd w:val="clear" w:color="auto" w:fill="CCFFCC"/>
          </w:tcPr>
          <w:p>
            <w:pPr>
              <w:spacing w:after="0"/>
              <w:rPr>
                <w:sz w:val="17"/>
                <w:szCs w:val="17"/>
                <w:color w:val="auto"/>
              </w:rPr>
            </w:pPr>
          </w:p>
        </w:tc>
        <w:tc>
          <w:tcPr>
            <w:tcW w:w="248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e-Commerce</w:t>
            </w: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10,000,001</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10,000,000</w:t>
            </w:r>
          </w:p>
        </w:tc>
        <w:tc>
          <w:tcPr>
            <w:tcW w:w="160" w:type="dxa"/>
            <w:vAlign w:val="bottom"/>
            <w:tcBorders>
              <w:righ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3.47</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5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3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140,437,616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232,947,669</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80.90%</w:t>
            </w: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36" w:lineRule="exact"/>
        <w:rPr>
          <w:sz w:val="20"/>
          <w:szCs w:val="20"/>
          <w:color w:val="auto"/>
        </w:rPr>
      </w:pPr>
    </w:p>
    <w:p>
      <w:pPr>
        <w:ind w:left="340" w:right="2139" w:hanging="312"/>
        <w:spacing w:after="0" w:line="446" w:lineRule="auto"/>
        <w:tabs>
          <w:tab w:leader="none" w:pos="299"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Whittle Schools, LLC is a derivative investment with economics linked to Avenues Global Holdings LLC. Set forth below are descriptions of the ten largest portfolio investments as of December 31, 2013:</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Twitter, Inc.</w:t>
      </w:r>
    </w:p>
    <w:p>
      <w:pPr>
        <w:spacing w:after="0" w:line="121"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Twitter, Inc. is a social networking company. Twitter, Inc. is a real-time information network that allows users to send and receive information.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Palantir Technologies,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Palantir Technologies, Inc. solves critical intelligence and security issues for government agencies, banks, and large institutions.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Dropbox,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Dropbox, Inc. is a provider of cloud storage that enables users to store and share files across the internet.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Coursera, Inc.</w:t>
      </w:r>
    </w:p>
    <w:p>
      <w:pPr>
        <w:spacing w:after="0" w:line="12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Coursera, Inc. is an education company that partners with the top universities and organizations in the world to offer courses online for anyone to take, for free.</w:t>
      </w:r>
    </w:p>
    <w:p>
      <w:pPr>
        <w:spacing w:after="0" w:line="200" w:lineRule="exact"/>
        <w:rPr>
          <w:sz w:val="20"/>
          <w:szCs w:val="20"/>
          <w:color w:val="auto"/>
        </w:rPr>
      </w:pPr>
    </w:p>
    <w:p>
      <w:pPr>
        <w:spacing w:after="0" w:line="30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Control4 Corportation</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Control4 Corporation, a leading provider of personalized automation and control solutions, allows you to control virtually any device in a home or business, automatically.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2U, Inc. (f/k/a 2tor, Inc.)</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2U, Inc. (f/k/a 2tor, Inc.), partners with universities, providing technology solutions to manage students from recruitment to post-graduation job placement, as well as develop and deliver curriculum in a virtual environment.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Solexel, Inc.</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Solexel, Inc. is developing high-efficiency, low-cost, crystalline silicon solar cells and modules for photovoltaic electricity generation.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Avenues Global Holdings LLC</w:t>
      </w:r>
    </w:p>
    <w:p>
      <w:pPr>
        <w:spacing w:after="0" w:line="152" w:lineRule="exact"/>
        <w:rPr>
          <w:sz w:val="20"/>
          <w:szCs w:val="20"/>
          <w:color w:val="auto"/>
        </w:rPr>
      </w:pPr>
    </w:p>
    <w:p>
      <w:pPr>
        <w:jc w:val="both"/>
        <w:ind w:left="40" w:right="519" w:firstLine="270"/>
        <w:spacing w:after="0" w:line="210" w:lineRule="auto"/>
        <w:rPr>
          <w:sz w:val="20"/>
          <w:szCs w:val="20"/>
          <w:color w:val="auto"/>
        </w:rPr>
      </w:pPr>
      <w:r>
        <w:rPr>
          <w:rFonts w:ascii="Arial" w:cs="Arial" w:eastAsia="Arial" w:hAnsi="Arial"/>
          <w:sz w:val="18"/>
          <w:szCs w:val="18"/>
          <w:color w:val="auto"/>
        </w:rPr>
        <w:t>Avenues Global Holdings LLC, is a private pre-K through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grade school that aspires to ultimately become a single school with multiple integrated global campuses, raising the global standard for top-tier private schools.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Curious.com, Inc.</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Curious.com, Inc. is an online educational marketplace which offers a variety of topics for users to use for educational purposes.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PayNearMe, Inc.</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PayNearMe, Inc. is a cash transaction network that makes it easy for payees to accept cash payments quickly and easily through any of 17,000 participating 7-Eleven, Family Dollar, and ACE Cash Express stores nationwide.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Our primary competitors include specialty finance companies including late stage venture capital funds, private equity funds,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Relating to Our Business and Structure.”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While we have executive officers, they receive no direct compensation from us, and we have no direct employees. Our day-to-day investment operations are managed by our investment adviser. In addition, we reimburse GSV Capital Service Company for an allocable portion of expenses incurred by it in performing its obligations under the Administration Agreement, including a portion of the rent and the compensation of our chief financial officer and chief compliance officer and any administrative support personnel. See “Investment Advisory Agreement.”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We determine the net asset value of our investment portfolio after the conclusion of each fiscal quarter in connection with the preparation of our annual and quarterly reports filed under the Exchange Act, or more frequently if required under the 1940 Act.</w:t>
      </w:r>
    </w:p>
    <w:p>
      <w:pPr>
        <w:spacing w:after="0" w:line="200" w:lineRule="exact"/>
        <w:rPr>
          <w:sz w:val="20"/>
          <w:szCs w:val="20"/>
          <w:color w:val="auto"/>
        </w:rPr>
      </w:pP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our investment adviser’s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5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For those securities that are not publicly traded or for which there are no readily available market quotations, our board of directors, with the assistance of our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if the underlying portfolio company has depreciated in value and our equity security has also depreciated in value, and record unrealized appreciation if the underlying portfolio company has appreciated in value and our equity security has also appreciated in value. Changes in fair value are recorded in the statement of operations as the net change in unrealized appreciation or depreciation.</w:t>
      </w:r>
    </w:p>
    <w:p>
      <w:pPr>
        <w:spacing w:after="0" w:line="6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could impact our fair value determinations:</w:t>
      </w:r>
    </w:p>
    <w:p>
      <w:pPr>
        <w:spacing w:after="0" w:line="62" w:lineRule="exact"/>
        <w:rPr>
          <w:sz w:val="20"/>
          <w:szCs w:val="20"/>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are invested, where there is meaningful and reputable information available on size, valuation and investors;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investments by us in current portfolio companies, where the price of the new investment differs materially from prior investments.</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There is inherent subjectivity in determining the fair value of our investments. In addition, we will accrue as a liability, each time we calculate net asset value, the amount which we may owe our Adviser for the income incentive fee and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The Company also recognizes a deferred tax liability for unrealized gains on its investments that is considered in calculating net asset value.</w:t>
      </w: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Services</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GSV Asset Management serves as our investment adviser. GSV Asset Management is registered as an investment adviser under the Advisers Act. Subject to the overall supervision of our board of directors, GSV Asset Management manages the day-to-day operations of, and provides investment advisory services to, GSV Capital. Under the terms of the Investment Advisory Agreement, GSV Asset Management:</w:t>
      </w:r>
    </w:p>
    <w:p>
      <w:pPr>
        <w:spacing w:after="0" w:line="79" w:lineRule="exact"/>
        <w:rPr>
          <w:sz w:val="20"/>
          <w:szCs w:val="20"/>
          <w:color w:val="auto"/>
        </w:rPr>
      </w:pPr>
    </w:p>
    <w:p>
      <w:pPr>
        <w:ind w:left="600" w:right="53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what securities we will purchase, retain or sell;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closes, monitors and services the investments we make.</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GSV Asset Management’s services under the Investment Advisory Agreement are not exclusive, and it is free to furnish similar services to other entities so long as its services to us are not impaired. GSV Asset Management currently serves as the investment adviser for GSV X Fund (“GSV X Fund”), a global long/short absolute return fund and Coursera@GSV Fund, LP, a special purpose vehicle comprised of an underlying investment in Coursera stock.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allocate such opportunities between GSV Capital and such other funds pursuant to an established procedure that is designed to ensure that such allocation is fair and equitable.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w:t>
      </w:r>
    </w:p>
    <w:p>
      <w:pPr>
        <w:spacing w:after="0" w:line="39" w:lineRule="exact"/>
        <w:rPr>
          <w:sz w:val="20"/>
          <w:szCs w:val="20"/>
          <w:color w:val="auto"/>
        </w:rPr>
      </w:pPr>
    </w:p>
    <w:p>
      <w:pPr>
        <w:jc w:val="both"/>
        <w:ind w:left="40" w:right="539" w:firstLine="270"/>
        <w:spacing w:after="0" w:line="291" w:lineRule="auto"/>
        <w:rPr>
          <w:sz w:val="20"/>
          <w:szCs w:val="20"/>
          <w:color w:val="auto"/>
        </w:rPr>
      </w:pPr>
      <w:r>
        <w:rPr>
          <w:rFonts w:ascii="Arial" w:cs="Arial" w:eastAsia="Arial" w:hAnsi="Arial"/>
          <w:sz w:val="16"/>
          <w:szCs w:val="16"/>
          <w:color w:val="auto"/>
        </w:rPr>
        <w:t>The base management fee (the “Base Fee”) is calculated at an annual rate of 2.00% of our gross assets, which is defined as our total assets as reflected on our balance sheet (with no deduction for liabilities). For the period from the close of the initial public offering through and including December 31, 2011, the Base Fee was payable monthly in arrears, and was calculated based on the initial value of our assets upon the closing of our initial public offering in April 2011. For the year ended December 31, 2013, the Base Fee was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 The Base Fee for any partial month or quarter was appropriately pro-rated.</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incentive fee is determined and payable in arrears as of the end of each calendar year (or upon termination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Advisory Agreement, as of the termination date), and is equal to the lesser of:</w:t>
      </w:r>
    </w:p>
    <w:p>
      <w:pPr>
        <w:spacing w:after="0" w:line="103" w:lineRule="exact"/>
        <w:rPr>
          <w:sz w:val="20"/>
          <w:szCs w:val="20"/>
          <w:color w:val="auto"/>
        </w:rPr>
      </w:pPr>
    </w:p>
    <w:p>
      <w:pPr>
        <w:ind w:left="600" w:right="53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of our realized capital gains during such calendar year, if any, calculated on an investment-by-investment basis, subject to a non-compounded preferred return, or “hurdle,” and a “catch-up” feature, and</w:t>
      </w:r>
    </w:p>
    <w:p>
      <w:pPr>
        <w:spacing w:after="0" w:line="62"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0" w:right="51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is payable on the amount of any realized capital gains from an investment that, when expressed as a non-compounded annual rate of return on the cost of such investment since we initially acquired it, does not exceed the hurdle rate of 8.00% per year.</w:t>
      </w:r>
    </w:p>
    <w:p>
      <w:pPr>
        <w:spacing w:after="0" w:line="73" w:lineRule="exact"/>
        <w:rPr>
          <w:rFonts w:ascii="Arial" w:cs="Arial" w:eastAsia="Arial" w:hAnsi="Arial"/>
          <w:sz w:val="18"/>
          <w:szCs w:val="18"/>
          <w:color w:val="auto"/>
        </w:rPr>
      </w:pPr>
    </w:p>
    <w:p>
      <w:pPr>
        <w:jc w:val="both"/>
        <w:ind w:left="600" w:right="519" w:hanging="322"/>
        <w:spacing w:after="0" w:line="255"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our investment adviser with 20% of the amount of our realized capital gains from an investment that, when expressed as a non-compounded annual rate of return on the cost of such investment since we initially acquired it, exceeds a rate of 10.00% per year.</w:t>
      </w:r>
    </w:p>
    <w:p>
      <w:pPr>
        <w:spacing w:after="0" w:line="81"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Refer to the “Related Party Transactions” section of the MD&amp;A for detail of incentive fees paid and accrued.</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83185</wp:posOffset>
            </wp:positionV>
            <wp:extent cx="3876040" cy="917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604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Calculation of incentive fee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Year 1: $20,000,000 investment made on March 15 in Company A (“Investment A”), and $30,000,000 investment made on February 1 in Company B (“Investment B”)</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Year 2: Investment A is sold on September 15 for $25,000,000, and fair market value (“FMV”) of Investment B is determined to be $28,000,000</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3: FMV of Investment B is determined to be $28,000,000</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4: Investment B is sold on March 1 for $38,000,000</w:t>
      </w:r>
    </w:p>
    <w:p>
      <w:pPr>
        <w:spacing w:after="0" w:line="200" w:lineRule="exact"/>
        <w:rPr>
          <w:sz w:val="20"/>
          <w:szCs w:val="20"/>
          <w:color w:val="auto"/>
        </w:rPr>
      </w:pPr>
    </w:p>
    <w:p>
      <w:pPr>
        <w:spacing w:after="0" w:line="241" w:lineRule="exact"/>
        <w:rPr>
          <w:sz w:val="20"/>
          <w:szCs w:val="20"/>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117"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A = 20% × $5,000,000 (since the hurdle rate has been satisfied and the catch up has been fully achieved)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A = $1,000,000</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(cumulative realized capital gains – (cumulative realized losses + cumulative net unrealized depreciation)) – (previously paid incentive fees)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($5,000,000 – $2,000,000 (unrealized depreciation on Investment B))</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$3,000,000</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$600,000</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paid = $600,000 (because the incentive fee payable on Investment A exceeds the maximum incentive fee, the maximum incentive fee applies)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4: Incentive fee calculation:</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B = ($30,000,000) × (8% × (1,124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B = $7,390,685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B = ($30,000,000) × (10% × (1,124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B = $9,238,356</w:t>
      </w:r>
    </w:p>
    <w:p>
      <w:pPr>
        <w:spacing w:after="0" w:line="117"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B = 100% × ($8,000,000 – $7,390,685 (since the hurdle rate has been satisfied, but the catch up has not been fully achieved)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B = $609,315</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(cumulative realized capital gains – (cumulative realized losses + cumulative net unrealized depreciation)) – (previously paid incentive fees)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$13,000,000) – ($600,000 (previously paid incentive fees))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$2,000,000</w:t>
      </w:r>
    </w:p>
    <w:p>
      <w:pPr>
        <w:spacing w:after="0" w:line="117"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paid = $609,315 (because the incentive fee payable on Investment B does not exceed the maximum incentive fee)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117"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1: $20 million investment made on March 15 in Company A (“Investment A”), $30 million investment made on February 1 in Company B (“Investment B”), and $25 million investment made on September 1 in Company C (“Investment C”)</w:t>
      </w:r>
    </w:p>
    <w:p>
      <w:pPr>
        <w:spacing w:after="0" w:line="73"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2: Investment A is sold on September 15 for $50 million, FMV of Investment B is determined to be $25 million, and FMV of Investment C is determined to be $25 million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Year 3: FMV of Investment B is determined to be $27 million and Investment C is sold on December 1 for $30 million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4: FMV of Investment B is determined to be $35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5: Investment B is sold on March 1 for $20 million</w:t>
      </w:r>
    </w:p>
    <w:p>
      <w:pPr>
        <w:spacing w:after="0" w:line="200" w:lineRule="exact"/>
        <w:rPr>
          <w:sz w:val="20"/>
          <w:szCs w:val="20"/>
          <w:color w:val="auto"/>
        </w:rPr>
      </w:pPr>
    </w:p>
    <w:p>
      <w:pPr>
        <w:spacing w:after="0" w:line="241"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fee on Investment A = 20% × $30,000,000 (since the hurdle rate has been satisfied and the catch up has been fully achieved)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fee on Investment A = $6,000,000</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Maximum incentive fee = 20% × (cumulative realized capital gains – (cumulative realized losses + cumulative net unrealized depreciation)) – (previously paid incentive fees)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Maximum incentive fee = 20% × ($30,000,000 – $5,000,000 (unrealized depreciation on Investment B))</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Maximum incentive fee = $5,000,000</w:t>
      </w:r>
    </w:p>
    <w:p>
      <w:pPr>
        <w:spacing w:after="0" w:line="117"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fee paid = $5,000,000 (because the incentive fee payable on Investment A exceeds the maximum incentive fee, the maximum incentive fee applies)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Incentive fee calculation:</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Hurdle rate for Investment C = ($25,000,000) × (8% × (822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Hurdle rate for Investment C = $4,504,110</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Catch-up rate for Investment C = ($25,000,000) × (10% × (822 days/365))</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Catch-up rate for Investment C = $5,630,137</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fee on Investment C = 100% × ($5,000,000 – $4,504,110 (since the hurdle rate has been satisfied, but the catch up has not been fully achieved))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fee on Investment C = $495,890</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Maximum incentive fee = 20% × (cumulative realized capital gains – (cumulative realized losses + cumulative net unrealized depreciation)) – (previously paid incentive fees)</w:t>
      </w:r>
    </w:p>
    <w:p>
      <w:pPr>
        <w:spacing w:after="0" w:line="62"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Maximum incentive fee = 20% × ($35,000,000 – $3,000,000 (unrealized depreciation on Investment B)) – ($5,000,000 (previously paid incentive fees))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880" w:hanging="332"/>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Maximum incentive fee = $1,400,000</w:t>
      </w:r>
    </w:p>
    <w:p>
      <w:pPr>
        <w:spacing w:after="0" w:line="117" w:lineRule="exact"/>
        <w:rPr>
          <w:rFonts w:ascii="Arial" w:cs="Arial" w:eastAsia="Arial" w:hAnsi="Arial"/>
          <w:sz w:val="18"/>
          <w:szCs w:val="18"/>
          <w:color w:val="auto"/>
        </w:rPr>
      </w:pPr>
    </w:p>
    <w:p>
      <w:pPr>
        <w:ind w:left="880" w:right="519" w:hanging="332"/>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Incentive fee paid = $495,890 (because the incentive fee payable on Investment C does not exceed the maximum incentive fee)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our investment adviser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All personnel of our investment adviser when and to the extent engaged in providing investment advisory services, and the compensation and expenses of such personnel allocable to such services, are provided and paid for by GSV Asset Management. We are responsible for all other costs and expenses of our operations and transactions, including (without limitation) the cost of calculating our net asset value; the cost of effecting sales and repurchases of shares of our common stock and other securities; investment advisory fees; fees payable to third parties relating to, or associated with, making investments (including the legal, accounting and travel expenses incurred in connection with making investments), including fees and expenses associated with performing due diligence reviews of prospective investments (in each case subject to approval of our board of directors); transfer agent and custodial fees; fees and expenses associated with marketing efforts (including attendance at investment conference and similar events); federal and state registration fees; any exchange listing fees; federal, state and local taxes; independent directors’ fees and expenses; brokerage commissions; costs associated with our reporting and compliance obligations under the 1940 Act and applicable federal and state securities laws including costs of proxy statements, stockholders’ reports and notices; fidelity bond, directors and officers/errors and omissions liability insurance and other insurance premiums;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staff providing administrative services. All of these expenses are ultimately borne by our common stockholders.</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Investment Advisory Agreement was reapproved by our board of directors on February 26, 2014. 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GSV Asset Management is a Delaware limited liability company. The principal executive offices of GSV Asset Management are located at 2925 Woodside Road, Woodside, CA 94062.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Our Board of Directors determined at a meeting held on February 26, 2014 to reapprove the Investment Advisory Agreement. In its consideration of the reapproval of the Investment Advisory Agreement, the Board of Directors focused on information it had received relating to, among other things:</w:t>
      </w:r>
    </w:p>
    <w:p>
      <w:pPr>
        <w:spacing w:after="0" w:line="73"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nature, quality and extent of the advisory and other services to be provided to us by GSV Asset Management;</w:t>
      </w:r>
    </w:p>
    <w:p>
      <w:pPr>
        <w:spacing w:after="0" w:line="128" w:lineRule="exact"/>
        <w:rPr>
          <w:rFonts w:ascii="Arial" w:cs="Arial" w:eastAsia="Arial" w:hAnsi="Arial"/>
          <w:sz w:val="17"/>
          <w:szCs w:val="17"/>
          <w:color w:val="auto"/>
        </w:rPr>
      </w:pPr>
    </w:p>
    <w:p>
      <w:pPr>
        <w:ind w:left="600" w:right="5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with similar investment objectives;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business development companies with similar investment objectives;</w:t>
      </w:r>
    </w:p>
    <w:p>
      <w:pPr>
        <w:spacing w:after="0" w:line="62"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spacing w:after="0" w:line="73"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Advisory Agreement;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GSV Asset Management and its affiliates;</w:t>
      </w:r>
    </w:p>
    <w:p>
      <w:pPr>
        <w:spacing w:after="0" w:line="117"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GSV Asset Management’s practices regarding the selection and compensation of brokers that may execute our portfolio transactions and the brokers’ provision of brokerage and research services to GSV Asset Management; and</w:t>
      </w:r>
    </w:p>
    <w:p>
      <w:pPr>
        <w:spacing w:after="0" w:line="38" w:lineRule="exact"/>
        <w:rPr>
          <w:rFonts w:ascii="Arial" w:cs="Arial" w:eastAsia="Arial" w:hAnsi="Arial"/>
          <w:sz w:val="17"/>
          <w:szCs w:val="17"/>
          <w:color w:val="auto"/>
        </w:rPr>
      </w:pPr>
    </w:p>
    <w:p>
      <w:pPr>
        <w:ind w:left="600" w:right="51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 party service providers or through an internally managed structure.</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Pursuant to a separate Administration Agreement, GSV Capital Service Company, a Delaware limited liability company, furnishes us with office facilities, together with equipment and clerical, bookkeeping and record keeping services at such facilities. The principal executive offices of GSV Capital Service Company are located at 2925 Woodside Road, Woodside, CA 94062. Under the Administration Agreement, GSV Capital Service Company also performs, or oversees the performance of, our required administrative services, which includes being responsible for the financial records which we are required to maintain and preparing reports to our stockholders and reports filed with the SEC. In addition, GSV Capital Service Company assists us in</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6"/>
          <w:szCs w:val="16"/>
          <w:color w:val="auto"/>
        </w:rPr>
        <w:t>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staff providing administrative services. 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Service Company perform administrative tasks for GSV Asset Management, the fees incurred with respect to the actual time dedicated to such tasks will be reimbursed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 The Administration Agreement may be terminated by either party without penalty upon 60 days’ written notice to the other party.</w:t>
      </w:r>
    </w:p>
    <w:p>
      <w:pPr>
        <w:spacing w:after="0" w:line="6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85"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Service Company also provides administrative services to our investment adviser, GSV Asset Management. As a result, GSV Asset Management also reimburses GSV Capital Service Company for its allocable portion of GSV Capital Service Company’s overhead, including rent, the fees and expenses associated with performing compliance functions for GSV Asset Management, and its allocable portion of the compensation of any administrative support staff.</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85"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As a business development company,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80"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Relating to Our Business and Structure — Regulations governing our operation as a business development company affect our ability to, and the way in which we, raise additional capital.”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a business development company, we are generally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a business development company, we are subject to certain risks and uncertainties. See “Risk Factors — Risks Relating to Our Business and Structure.”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business are the following:</w:t>
      </w:r>
    </w:p>
    <w:p>
      <w:pPr>
        <w:spacing w:after="0" w:line="79" w:lineRule="exact"/>
        <w:rPr>
          <w:sz w:val="20"/>
          <w:szCs w:val="20"/>
          <w:color w:val="auto"/>
        </w:rPr>
      </w:pPr>
    </w:p>
    <w:p>
      <w:pPr>
        <w:jc w:val="both"/>
        <w:ind w:left="540" w:right="519" w:hanging="262"/>
        <w:spacing w:after="0" w:line="279"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3" w:lineRule="exact"/>
        <w:rPr>
          <w:rFonts w:ascii="Arial" w:cs="Arial" w:eastAsia="Arial" w:hAnsi="Arial"/>
          <w:sz w:val="17"/>
          <w:szCs w:val="17"/>
          <w:color w:val="auto"/>
        </w:rPr>
      </w:pPr>
    </w:p>
    <w:p>
      <w:pPr>
        <w:ind w:left="820" w:hanging="272"/>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jc w:val="both"/>
        <w:ind w:left="820" w:right="519" w:hanging="272"/>
        <w:spacing w:after="0" w:line="264"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hanging="262"/>
        <w:spacing w:after="0"/>
        <w:tabs>
          <w:tab w:leader="none" w:pos="10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117" w:lineRule="exact"/>
        <w:rPr>
          <w:rFonts w:ascii="Arial" w:cs="Arial" w:eastAsia="Arial" w:hAnsi="Arial"/>
          <w:sz w:val="18"/>
          <w:szCs w:val="18"/>
          <w:color w:val="auto"/>
        </w:rPr>
      </w:pPr>
    </w:p>
    <w:p>
      <w:pPr>
        <w:ind w:left="1080" w:right="539" w:hanging="262"/>
        <w:spacing w:after="0" w:line="277" w:lineRule="auto"/>
        <w:tabs>
          <w:tab w:leader="none" w:pos="10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1080" w:right="519" w:hanging="26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controlled by a business development company or a group of companies including a business development company and the business development company has an affiliated person who is a director of the eligible portfolio company; or</w:t>
      </w:r>
    </w:p>
    <w:p>
      <w:pPr>
        <w:spacing w:after="0" w:line="73" w:lineRule="exact"/>
        <w:rPr>
          <w:rFonts w:ascii="Arial" w:cs="Arial" w:eastAsia="Arial" w:hAnsi="Arial"/>
          <w:sz w:val="18"/>
          <w:szCs w:val="18"/>
          <w:color w:val="auto"/>
        </w:rPr>
      </w:pPr>
    </w:p>
    <w:p>
      <w:pPr>
        <w:ind w:left="1080" w:right="519" w:hanging="26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17" w:lineRule="exact"/>
        <w:rPr>
          <w:rFonts w:ascii="Arial" w:cs="Arial" w:eastAsia="Arial" w:hAnsi="Arial"/>
          <w:sz w:val="18"/>
          <w:szCs w:val="18"/>
          <w:color w:val="auto"/>
        </w:rPr>
      </w:pPr>
    </w:p>
    <w:p>
      <w:pPr>
        <w:jc w:val="both"/>
        <w:ind w:left="540" w:right="519" w:hanging="262"/>
        <w:spacing w:after="0" w:line="279"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3" w:lineRule="exact"/>
        <w:rPr>
          <w:rFonts w:ascii="Arial" w:cs="Arial" w:eastAsia="Arial" w:hAnsi="Arial"/>
          <w:sz w:val="17"/>
          <w:szCs w:val="17"/>
          <w:color w:val="auto"/>
        </w:rPr>
      </w:pPr>
    </w:p>
    <w:p>
      <w:pPr>
        <w:ind w:left="540" w:right="519" w:hanging="26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6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 current gross assets were comprised of qualifying assets. We would not be required, however, to dispose of any non-qualifying assets in such circumstances. Due to the changes in the composition of our portfolio, primarily attributable to the initial public offering and subsequent increase in value of Twitter, non-qualifying assets exceed 30% of gross assets as of December 31, 2013. Therefore, we cannot acquire any new non-qualifying assets until such assets represent less than 30% of gross assets.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11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in Qualifying Assets category 1.c.iv.)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 — We may borrow money, which would magnify the potential for gain or loss on amounts invested and may increase the risk of investing in us.”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 xml:space="preserve">We and GSV Asset Management have each adopted a code of ethics pursuant to Rule 17j-1 under the 1940 Act and Rule 204A-1 under the Advisers Act, respectively, that establishes procedures for personal investments and restricts certain transactions by our personnel. Our codes of ethics generally do not permit investments by our employees in securities that may be purchased or held by us. You may read and copy these codes of ethics at the SEC’s Public Reference Room in Washington, D.C. You may obtain information on the operation of the Public Reference Room by calling the SEC at (202) 551-8090. In addition, each code of ethics is available on the EDGAR Database on the SEC’s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may also obtain copies of the codes of ethics, after paying a duplicating fee, by electronic request at the following Email address: </w:t>
      </w:r>
      <w:r>
        <w:rPr>
          <w:rFonts w:ascii="Arial" w:cs="Arial" w:eastAsia="Arial" w:hAnsi="Arial"/>
          <w:sz w:val="17"/>
          <w:szCs w:val="17"/>
          <w:i w:val="1"/>
          <w:iCs w:val="1"/>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117"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Stephen D. Bard currently serves as our chief compliance officer.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62" w:lineRule="exact"/>
        <w:rPr>
          <w:sz w:val="20"/>
          <w:szCs w:val="20"/>
          <w:color w:val="auto"/>
        </w:rPr>
      </w:pPr>
    </w:p>
    <w:p>
      <w:pPr>
        <w:ind w:left="600" w:right="539" w:hanging="32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prepares an annual report regarding its assessment of our internal control over financial reporting, and obtains an audit of the effectiveness of internal control over financial reporting performed by our independent registered public accounting firm; and</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1934 Act, our periodic reports must disclose whether there were significant changes in our internal controls over financial reporting or in</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39"/>
        <w:spacing w:after="0" w:line="277" w:lineRule="auto"/>
        <w:rPr>
          <w:sz w:val="20"/>
          <w:szCs w:val="20"/>
          <w:color w:val="auto"/>
        </w:rPr>
      </w:pPr>
      <w:r>
        <w:rPr>
          <w:rFonts w:ascii="Arial" w:cs="Arial" w:eastAsia="Arial" w:hAnsi="Arial"/>
          <w:sz w:val="18"/>
          <w:szCs w:val="18"/>
          <w:color w:val="auto"/>
        </w:rPr>
        <w:t>other factors that could significantly affect these controls subsequent to the date of their evaluation, including any corrective actions with regard to significant deficiencies and material weaknesses.</w:t>
      </w:r>
    </w:p>
    <w:p>
      <w:pPr>
        <w:spacing w:after="0" w:line="62"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refers to GSV Asset Management.</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6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members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GSV Asset Management, 2925 Woodside Road, Woodside, CA 94062.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mark-to-market method of accounting for its securities holdings, pension plans and trusts, and financial institutions. This summary assumes that investors hold our common stock as capital assets (within the meaning of the Internal Revenue Code of 1986, as amended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7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 “U.S. stockholder” generally is a beneficial owner of shares of our common stock who is for U.S. federal income tax purposes:</w:t>
      </w:r>
    </w:p>
    <w:p>
      <w:pPr>
        <w:spacing w:after="0" w:line="62"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 (and an entity organized outside of the United States that is treated as a U.S. corporation under specialized sections of the Code);</w:t>
      </w:r>
    </w:p>
    <w:p>
      <w:pPr>
        <w:spacing w:after="0" w:line="73"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“Non-U.S. stockholder” generally is a beneficial owner of shares of our common stock who is not a U.S. stockholder.</w:t>
      </w:r>
    </w:p>
    <w:p>
      <w:pPr>
        <w:spacing w:after="0" w:line="12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 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taxed as a regular corporation (a “C corporation”) under subchapter C of the Code, for our 2012 taxable year.</w:t>
      </w:r>
    </w:p>
    <w:p>
      <w:pPr>
        <w:spacing w:after="0" w:line="129"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Beginning with our 2013 taxable year, we may elect to be treated as a regulated investment company (“RIC”) under subchapter M of the Code, if we are able to satisfy the requirements under subchapter M of the Code. We will not be eligible to elect to be treated as a RIC for our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(an “SEC Certification”) for our 2013 taxable year. In the event that we do not receive such SEC Certification, we will not satisfy the diversification tests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312" w:lineRule="auto"/>
        <w:rPr>
          <w:sz w:val="20"/>
          <w:szCs w:val="20"/>
          <w:color w:val="auto"/>
        </w:rPr>
      </w:pPr>
      <w:r>
        <w:rPr>
          <w:rFonts w:ascii="Arial" w:cs="Arial" w:eastAsia="Arial" w:hAnsi="Arial"/>
          <w:sz w:val="16"/>
          <w:szCs w:val="16"/>
          <w:color w:val="auto"/>
        </w:rPr>
        <w:t>discussed below. If we receive the SEC Certification, certain of the asset diversification requirements will be modified as described below, which will allow us to satisfy the diversification requirements. On December 4, 2013 we filed an application with the SEC for an SEC Certification for our 2013 taxable year, but no assurance can be given that we will receive an SEC Certification.</w:t>
      </w:r>
    </w:p>
    <w:p>
      <w:pPr>
        <w:spacing w:after="0" w:line="39"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To qualify as a RIC, we must, among other things, meet certain source-of-income and asset diversification requirements (as described below). In addition, in order to be eligible for pass-through tax treatment as a RIC, we must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 and meet certain asset diversification requirements on a quarterly basis. Although it is currently our intention to do so, at the present time, we cannot be certain whether we will elect to be treated as a RIC for our 2013 taxable year. If we opt not to do so or are unable to qualify, we will continue to be taxed as a C corporation under the Code for our 2013 taxable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we:</w:t>
      </w:r>
    </w:p>
    <w:p>
      <w:pPr>
        <w:spacing w:after="0" w:line="117"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will be subject to a 4% nondeductible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(the “Excise Tax Avoidance Requirement”). We generally will endeavor in each year to make sufficient distributions to our stockholders to avoid any U.S. federal excise tax on our earnings.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117" w:lineRule="exact"/>
        <w:rPr>
          <w:sz w:val="20"/>
          <w:szCs w:val="20"/>
          <w:color w:val="auto"/>
        </w:rPr>
      </w:pPr>
    </w:p>
    <w:p>
      <w:pPr>
        <w:ind w:left="600" w:right="51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in effect an election to be treated as a business development company under the 1940 Act at all times during each taxable year;</w:t>
      </w:r>
    </w:p>
    <w:p>
      <w:pPr>
        <w:spacing w:after="0" w:line="62" w:lineRule="exact"/>
        <w:rPr>
          <w:rFonts w:ascii="Arial" w:cs="Arial" w:eastAsia="Arial" w:hAnsi="Arial"/>
          <w:sz w:val="18"/>
          <w:szCs w:val="18"/>
          <w:color w:val="auto"/>
        </w:rPr>
      </w:pPr>
    </w:p>
    <w:p>
      <w:pPr>
        <w:jc w:val="both"/>
        <w:ind w:left="600" w:right="519" w:hanging="322"/>
        <w:spacing w:after="0" w:line="259"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jc w:val="both"/>
        <w:ind w:left="880" w:right="519" w:hanging="332"/>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73" w:lineRule="exact"/>
        <w:rPr>
          <w:rFonts w:ascii="Arial" w:cs="Arial" w:eastAsia="Arial" w:hAnsi="Arial"/>
          <w:sz w:val="18"/>
          <w:szCs w:val="18"/>
          <w:color w:val="auto"/>
        </w:rPr>
      </w:pPr>
    </w:p>
    <w:p>
      <w:pPr>
        <w:jc w:val="both"/>
        <w:ind w:left="880" w:right="519" w:hanging="332"/>
        <w:spacing w:after="0" w:line="259"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discrepancy existed immediately after our acquisition of any asset and was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80"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An alternative 50% Diversification Test applies to certain RICs that obtain SEC Certification for the applicable taxable year. Such SEC Certification may not be received earlier than 60 days prior to the close of the taxable year to which it applies. If a RIC has received this certification, then, for purposes of the 50% Diversification Test, securities of an issuer will be treated as good investments as long as the RIC’s basis in the securities of such issuer did not exceed 5% of the RIC’s total assets when acquired whether or not the RIC owns more than 10% of the voting securities of such issuer. This alternative test does not apply to the securities of any issuer if the RIC has continuously held securities of the issuer for 10 or more years preceding the applicable quarter end. The 25% Diversification Test is not affected by this alternative 50% Diversification Test. On December 4, 2013 we filed an application with the SEC for SEC Certification for our 2013 taxable year. We can provide no assurance that we will receive such certification. If we fail to receive this SEC Certification, we will not be able to satisfy the 50% Diversification Test for 2013 and therefore would not be eligible to make an election to be treated as a RIC for our 2013 taxable year.</w:t>
      </w:r>
    </w:p>
    <w:p>
      <w:pPr>
        <w:spacing w:after="0" w:line="6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6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7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Although the risks described below represent our material risks,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Our investments in the rapidly growing venture capital-backed emerging companies that we are targeting may be extremely risky and we could lose all or part of our investments.</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Investment in the rapidly growing venture capital-backed emerging companies that we are targeting involves a number of significant risks, including:</w:t>
      </w:r>
    </w:p>
    <w:p>
      <w:pPr>
        <w:spacing w:after="0" w:line="62" w:lineRule="exact"/>
        <w:rPr>
          <w:sz w:val="20"/>
          <w:szCs w:val="20"/>
          <w:color w:val="auto"/>
        </w:rPr>
      </w:pPr>
    </w:p>
    <w:p>
      <w:pPr>
        <w:jc w:val="both"/>
        <w:ind w:left="600" w:right="519" w:hanging="322"/>
        <w:spacing w:after="0" w:line="286"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57" w:lineRule="exact"/>
        <w:rPr>
          <w:rFonts w:ascii="Arial" w:cs="Arial" w:eastAsia="Arial" w:hAnsi="Arial"/>
          <w:sz w:val="17"/>
          <w:szCs w:val="17"/>
          <w:color w:val="auto"/>
        </w:rPr>
      </w:pPr>
    </w:p>
    <w:p>
      <w:pPr>
        <w:jc w:val="both"/>
        <w:ind w:left="600" w:right="539" w:hanging="322"/>
        <w:spacing w:after="0" w:line="286"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57" w:lineRule="exact"/>
        <w:rPr>
          <w:rFonts w:ascii="Arial" w:cs="Arial" w:eastAsia="Arial" w:hAnsi="Arial"/>
          <w:sz w:val="17"/>
          <w:szCs w:val="17"/>
          <w:color w:val="auto"/>
        </w:rPr>
      </w:pPr>
    </w:p>
    <w:p>
      <w:pPr>
        <w:jc w:val="both"/>
        <w:ind w:left="600" w:right="539" w:hanging="322"/>
        <w:spacing w:after="0" w:line="286"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57" w:lineRule="exact"/>
        <w:rPr>
          <w:rFonts w:ascii="Arial" w:cs="Arial" w:eastAsia="Arial" w:hAnsi="Arial"/>
          <w:sz w:val="17"/>
          <w:szCs w:val="17"/>
          <w:color w:val="auto"/>
        </w:rPr>
      </w:pPr>
    </w:p>
    <w:p>
      <w:pPr>
        <w:jc w:val="both"/>
        <w:ind w:left="600" w:right="539" w:hanging="322"/>
        <w:spacing w:after="0" w:line="273"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because they are privately owned, there is generally little publicly available information about these businesses; therefore, although our investment adviser’s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70" w:lineRule="exact"/>
        <w:rPr>
          <w:rFonts w:ascii="Arial" w:cs="Arial" w:eastAsia="Arial" w:hAnsi="Arial"/>
          <w:sz w:val="17"/>
          <w:szCs w:val="17"/>
          <w:color w:val="auto"/>
        </w:rPr>
      </w:pPr>
    </w:p>
    <w:p>
      <w:pPr>
        <w:jc w:val="both"/>
        <w:ind w:left="600" w:right="539" w:hanging="322"/>
        <w:spacing w:after="0" w:line="264"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90"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Board of</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85" w:lineRule="auto"/>
        <w:rPr>
          <w:sz w:val="20"/>
          <w:szCs w:val="20"/>
          <w:color w:val="auto"/>
        </w:rPr>
      </w:pPr>
      <w:r>
        <w:rPr>
          <w:rFonts w:ascii="Arial" w:cs="Arial" w:eastAsia="Arial" w:hAnsi="Arial"/>
          <w:sz w:val="16"/>
          <w:szCs w:val="16"/>
          <w:color w:val="auto"/>
        </w:rPr>
        <w:t>Director’s Valuation Committee in accordance with our written valuation policy. In connection with that determination, members of our investment adviser’s portfolio management team will prepare portfolio company valuations using the most recent portfolio company financial statements and forecasts. The Valuation Committee intends to utilize the services of an independent valuation firm, which will prepare valuations for each of our portfolio investments that are not publicly traded or for which we do not have readily available market quotations, including securities that while listed on a private securities exchange, have not actively traded. However, the board of directors will retain ultimate authority as to the appropriate valuation of each such investment. The types of factors that the Valuation Committee will take into account in providing its fair value recommendation to the board of directors with respect to such non-traded investments will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w:t>
      </w:r>
    </w:p>
    <w:p>
      <w:pPr>
        <w:spacing w:after="0" w:line="89" w:lineRule="exact"/>
        <w:rPr>
          <w:sz w:val="20"/>
          <w:szCs w:val="20"/>
          <w:color w:val="auto"/>
        </w:rPr>
      </w:pPr>
    </w:p>
    <w:p>
      <w:pPr>
        <w:jc w:val="both"/>
        <w:ind w:left="60" w:right="519"/>
        <w:spacing w:after="0" w:line="264" w:lineRule="auto"/>
        <w:rPr>
          <w:sz w:val="20"/>
          <w:szCs w:val="20"/>
          <w:color w:val="auto"/>
        </w:rPr>
      </w:pPr>
      <w:r>
        <w:rPr>
          <w:rFonts w:ascii="Arial" w:cs="Arial" w:eastAsia="Arial" w:hAnsi="Arial"/>
          <w:sz w:val="18"/>
          <w:szCs w:val="18"/>
          <w:b w:val="1"/>
          <w:bCs w:val="1"/>
          <w:i w:val="1"/>
          <w:i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73" w:lineRule="exact"/>
        <w:rPr>
          <w:sz w:val="20"/>
          <w:szCs w:val="20"/>
          <w:color w:val="auto"/>
        </w:rPr>
      </w:pPr>
    </w:p>
    <w:p>
      <w:pPr>
        <w:jc w:val="both"/>
        <w:ind w:left="60" w:right="519" w:firstLine="270"/>
        <w:spacing w:after="0" w:line="287" w:lineRule="auto"/>
        <w:rPr>
          <w:sz w:val="20"/>
          <w:szCs w:val="20"/>
          <w:color w:val="auto"/>
        </w:rPr>
      </w:pPr>
      <w:r>
        <w:rPr>
          <w:rFonts w:ascii="Arial" w:cs="Arial" w:eastAsia="Arial" w:hAnsi="Arial"/>
          <w:sz w:val="16"/>
          <w:szCs w:val="16"/>
          <w:color w:val="auto"/>
        </w:rPr>
        <w:t>We invest principally in the equity and equity-related securities of rapidly growing venture capital-backed emerging companies. However, the equity interests we acquire may not appreciate in value and, in fact, may decline in value. 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61" w:lineRule="exact"/>
        <w:rPr>
          <w:sz w:val="20"/>
          <w:szCs w:val="20"/>
          <w:color w:val="auto"/>
        </w:rPr>
      </w:pPr>
    </w:p>
    <w:p>
      <w:pPr>
        <w:jc w:val="both"/>
        <w:ind w:left="60" w:right="519" w:firstLine="270"/>
        <w:spacing w:after="0" w:line="256" w:lineRule="auto"/>
        <w:rPr>
          <w:sz w:val="20"/>
          <w:szCs w:val="20"/>
          <w:color w:val="auto"/>
        </w:rPr>
      </w:pPr>
      <w:r>
        <w:rPr>
          <w:rFonts w:ascii="Arial" w:cs="Arial" w:eastAsia="Arial" w:hAnsi="Arial"/>
          <w:sz w:val="18"/>
          <w:szCs w:val="18"/>
          <w:i w:val="1"/>
          <w:iCs w:val="1"/>
          <w:color w:val="auto"/>
        </w:rPr>
        <w:t xml:space="preserve">Illustration. </w:t>
      </w:r>
      <w:r>
        <w:rPr>
          <w:rFonts w:ascii="Arial" w:cs="Arial" w:eastAsia="Arial" w:hAnsi="Arial"/>
          <w:sz w:val="18"/>
          <w:szCs w:val="18"/>
          <w:color w:val="auto"/>
        </w:rPr>
        <w:t>The following table illustrates the effect of leverage on returns from an investment in our common stock assuming</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annual returns on the portfolio, net of expenses. The calculations in the table below are hypothetical and actual returns may be higher or lower than those appearing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0857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Assumed Return on Portfolio (Net of Expenses)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38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Corresponding Return to Stockholders</w:t>
            </w:r>
            <w:r>
              <w:rPr>
                <w:rFonts w:ascii="Arial" w:cs="Arial" w:eastAsia="Arial" w:hAnsi="Arial"/>
                <w:sz w:val="28"/>
                <w:szCs w:val="28"/>
                <w:color w:val="auto"/>
                <w:vertAlign w:val="superscript"/>
              </w:rPr>
              <w:t>(1)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8"/>
              </w:rPr>
              <w:t>(15.95)%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5.04%</w:t>
            </w:r>
          </w:p>
        </w:tc>
        <w:tc>
          <w:tcPr>
            <w:tcW w:w="9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98"/>
              </w:rPr>
              <w:t>12.04%</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56" w:lineRule="exact"/>
        <w:rPr>
          <w:sz w:val="20"/>
          <w:szCs w:val="20"/>
          <w:color w:val="auto"/>
        </w:rPr>
      </w:pPr>
    </w:p>
    <w:p>
      <w:pPr>
        <w:jc w:val="both"/>
        <w:ind w:left="300" w:right="519" w:hanging="272"/>
        <w:spacing w:after="0" w:line="264"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$402.9 million in total assets and $94 million in total debt outstanding, which reflects our total assets and total debt outstanding as of December 31, 2013 (adjusted to include the assumption that we issue $25.0 million of additional debt at an interest rate equal to 8% per annum).</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Most of our portfolio companies are currently experiencing operating losses, which may be substantial, and there can be no assurance when or if such companies will operate at a profit.</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have limited information about the financial performance and profitability of some of our portfolio companies. While according to public filings with the SEC,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1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The lack of liquidity in, and potentially extended holding period of, our many investments may adversely affect our business, and will delay any distributions of gains, if any.</w:t>
      </w:r>
    </w:p>
    <w:p>
      <w:pPr>
        <w:spacing w:after="0" w:line="6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will have no limitation on the portion of our portfolio that may be invested in illiquid securities, and a substantial portion or all of our portfolio may be invested in such illiquid securities from time to time.</w:t>
      </w:r>
    </w:p>
    <w:p>
      <w:pPr>
        <w:spacing w:after="0" w:line="70"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In addition, because we will generally invest in equity and equity-related securities, with respect to the majority of our portfolio companies, we do not expect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05"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b w:val="1"/>
          <w:bCs w:val="1"/>
          <w:i w:val="1"/>
          <w:iCs w:val="1"/>
          <w:color w:val="auto"/>
        </w:rPr>
        <w:t>Our portfolio may be concentrated in a limited number of portfolio companies or market sectors, which will subject us to a risk of significant loss if the business or market position of these companies deteriorates or market sectors experiences a market downturn.</w:t>
      </w:r>
    </w:p>
    <w:p>
      <w:pPr>
        <w:spacing w:after="0" w:line="7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2013, over half of our net asset value was comprised of investments in three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98" w:lineRule="exact"/>
        <w:rPr>
          <w:sz w:val="20"/>
          <w:szCs w:val="20"/>
          <w:color w:val="auto"/>
        </w:rPr>
      </w:pPr>
    </w:p>
    <w:p>
      <w:pPr>
        <w:jc w:val="both"/>
        <w:ind w:left="40" w:right="519"/>
        <w:spacing w:after="0" w:line="308" w:lineRule="auto"/>
        <w:rPr>
          <w:sz w:val="20"/>
          <w:szCs w:val="20"/>
          <w:color w:val="auto"/>
        </w:rPr>
      </w:pPr>
      <w:r>
        <w:rPr>
          <w:rFonts w:ascii="Arial" w:cs="Arial" w:eastAsia="Arial" w:hAnsi="Arial"/>
          <w:sz w:val="17"/>
          <w:szCs w:val="17"/>
          <w:b w:val="1"/>
          <w:bCs w:val="1"/>
          <w:i w:val="1"/>
          <w:iCs w:val="1"/>
          <w:color w:val="auto"/>
        </w:rPr>
        <w:t>Technology-related sectors in which we invest are subject to many risks, including volatility, intense competition, decreasing life cycles, product obsolescence, changing consumer preferences and periodic downturns.</w:t>
      </w:r>
    </w:p>
    <w:p>
      <w:pPr>
        <w:spacing w:after="0" w:line="38"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Given the experience of our investment adviser’s senior investment professionals and its Advisory Board members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value of any equity securities that we may hold. This could, in turn, materially adversely affect our business, financial condition and results of operations.</w:t>
      </w:r>
    </w:p>
    <w:p>
      <w:pPr>
        <w:spacing w:after="0" w:line="8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may be limited in our ability to make follow-on investments, and our failure to make follow-on investments in our portfolio companies could impair the value of our portfolio.</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7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qualify to maintain our status as RIC or lack access to the desired follow-on investment opportunity.</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initial public offering as a result of regulatory or financial restrictions.</w:t>
      </w:r>
    </w:p>
    <w:p>
      <w:pPr>
        <w:spacing w:after="0" w:line="103"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shareholders or management of our portfolio companies that could decrease the value of our investments.</w:t>
      </w:r>
    </w:p>
    <w:p>
      <w:pPr>
        <w:spacing w:after="0" w:line="7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shareholders, such as venture capital and private equity sponsors, that have substantial investments in our portfolio companies may have interests that differ from that of the portfolio company or its minority shareholders,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shareholders, and may therefore suffer a decrease in the value of our investments.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Investments in foreign companies may involve significant risks in addition to the risks inherent in U.S. investments.</w:t>
      </w:r>
    </w:p>
    <w:p>
      <w:pPr>
        <w:spacing w:after="0" w:line="12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We are a relatively new company with little operating history, and our investment adviser has only a limited history of investing experience.</w:t>
      </w:r>
    </w:p>
    <w:p>
      <w:pPr>
        <w:spacing w:after="0" w:line="62"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We were initially formed in September 2010 and completed our initial public offering in May 2011. As a result, we have relatively limited financial information on which you can evaluate an investment in our company or our prior performance and a limited history of operating pursuant to the requirements to continue as a BDC under the 1940 Act and to qualify as a RIC under the Code. For example, in the fiscal year ended December 31, 2012, we failed to satisfy certain tests required for us to qualify as a RIC under the Code. In addition, our investment adviser, GSV Asset Management, was formed in November 2009, and has only a limited history of investing experience managing a pool of assets substantially smaller in size than the net proceeds that were received in the initial public offering. We are subject to all of the business risks and uncertainties associated with any new business, including the risk that we will not achieve our investment objective and that the value of your investment could decline substantially or fall to zero.</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Any failure on our part to maintain our status as a business development company would reduce our operating flexibility.</w:t>
      </w:r>
    </w:p>
    <w:p>
      <w:pPr>
        <w:spacing w:after="0" w:line="140"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We intend to continue to qualify as a business development company under the 1940 Act. 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 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b w:val="1"/>
          <w:bCs w:val="1"/>
          <w:i w:val="1"/>
          <w:iCs w:val="1"/>
          <w:color w:val="auto"/>
        </w:rPr>
        <w:t>We are dependent upon GSV Asset Management’s senior investment professionals for our future success, particularly Michael T. Moe, Mark W. Flynn, David V. Crowder, Stephen D. Bard, Luben Pampoulov and Matthew Hanson. If we lose any of our investment adviser’s senior investment professionals, our ability to implement our business strategy could be significantly harmed.</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our investment adviser’s senior investment professionals, particularly Michael T. Moe, Mark W. Flynn, David V. Crowder, Stephen D. Bard, Luben Pampoulov and Matthew Hanson. None of Messrs. Moe, Flynn, Crowder, Bard, Pampoulov or Hanson is subject to an employment contract, and none receive any compensation from us. None of Messrs. Moe, Flynn, Crowder, Bard, Pampoulov or Hanson devote all of their business time to our operations, and each have other demands on their time as a result of their other activities. The departure of any of these individuals could have a material adverse effect on our ability to achieve our investment objective.</w:t>
      </w:r>
    </w:p>
    <w:p>
      <w:pPr>
        <w:spacing w:after="0" w:line="114"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b w:val="1"/>
          <w:bCs w:val="1"/>
          <w:i w:val="1"/>
          <w:iCs w:val="1"/>
          <w:color w:val="auto"/>
        </w:rPr>
        <w:t>None of the GSV Asset Management’s senior investment professionals or Advisory Board members, including Michael T. Moe, Mark W. Flynn, David V. Crowder, Stephen D. Bard, Luben Pampoulov and Matthew Hanson, are subject to employment agreements, and there can be no assurance that our investment adviser will be successful in retaining its senior investment professionals.</w:t>
      </w:r>
    </w:p>
    <w:p>
      <w:pPr>
        <w:spacing w:after="0" w:line="7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None of the members of GSV Asset Management’s senior investment professionals or its Advisory Board members, including Michael T. Moe, Mark W. Flynn, David V. Crowder, Stephen D. Bard, Luben Pampoulov and Matthew Hanson, are subject to employment agreements. As a result, although Messrs. Moe, Flynn, Crowder, Bard, Pampoulov and Hanson comprise the principals of GSV Asset Management, they are free to terminate their employment with GSV Asset Management at any time. In addition, none of our investment adviser’s senior investment professionals or the Advisory Board members, including Messrs. Moe, Flynn, Crowder, Bard, Pampoulov and Hanson,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our investment adviser will be successful in retaining its senior investment professionals or the Advisory Board members, including Messrs. Moe, Flynn, Crowder, Bard, Pampoulov and Hanson. The departure of any of Messrs. Moe, Flynn, Crowder, Bard, Pampoulov or Hanson could have a material adverse effect on our ability to achieve our investment objective.</w:t>
      </w:r>
    </w:p>
    <w:p>
      <w:pPr>
        <w:spacing w:after="0" w:line="72"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financial condition and results of operations will depend on our ability to achieve our investment objective.</w:t>
      </w:r>
    </w:p>
    <w:p>
      <w:pPr>
        <w:spacing w:after="0" w:line="12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are a relatively new company. As such, we are subject to the business risks and uncertainties associated with any new business enterprise. 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 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addition to monitoring the performance of our existing investments, GSV Asset Management is required to offer, and may be called upon, to provide, managerial assistance to some of our portfolio companies. GSV Asset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Management also currently manages GSV X Fund, LP, a global long/short absolute return fund, and Coursera@GSV Fund, LP, a special purpose vehicle comprised of an underlying investment in Coursera stock, in which we have no economic interest, and may manage one or more additional vehicles with alternative investment strategies in the future.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0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will likely experience fluctuations in our quarterly results and we may be unable to replicate past investment opportunities or make the types of investments we have made to date in future periods.</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10"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Our business model depends upon the development and maintenance of strong referral relationships with private equity, venture capital funds and investment banking firms.</w:t>
      </w:r>
    </w:p>
    <w:p>
      <w:pPr>
        <w:spacing w:after="0" w:line="62"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 or other secondary transactions.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There are significant potential risks relating to investing in securities traded on private secondary marketplaces.</w:t>
      </w:r>
    </w:p>
    <w:p>
      <w:pPr>
        <w:spacing w:after="0" w:line="129"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We have utilized and expect to continue to utilize private secondary marketplaces, such as SharesPost and SecondMarket, to acquire investments in our portfolio. When we purchase secondary shares, we may have little or no direct access to financial or other information from these portfolio companies. As a result, we are dependent upon the relationships and contacts of our investment adviser’s senior investment professionals, its Advisory Board members and our board of directors to obtain the information for our investment adviser to perform research and due diligence, and to monitor our investments after they are made. There can be no assurance that our investment adviser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6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cause an inability for us to realize full value on our investment. In addition,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6" w:lineRule="auto"/>
        <w:rPr>
          <w:sz w:val="20"/>
          <w:szCs w:val="20"/>
          <w:color w:val="auto"/>
        </w:rPr>
      </w:pPr>
      <w:r>
        <w:rPr>
          <w:rFonts w:ascii="Arial" w:cs="Arial" w:eastAsia="Arial" w:hAnsi="Arial"/>
          <w:sz w:val="17"/>
          <w:szCs w:val="17"/>
          <w:color w:val="auto"/>
        </w:rPr>
        <w:t>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6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07"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Due to transfer restrictions and the illiquid nature of our investments, we may not be able to purchase or sell our investments when we wish to do so.</w:t>
      </w:r>
    </w:p>
    <w:p>
      <w:pPr>
        <w:spacing w:after="0" w:line="62"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Most of our investments are or will be in equity or equity-related securities of privately-held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illiquidity of our portfolio, which may change on daily basis, depending on many factors, including the status of the private secondary markets and our particular portfolio at any given time.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There are significant potential risks associated with investing in venture capital companies with complex capital structures.</w:t>
      </w:r>
    </w:p>
    <w:p>
      <w:pPr>
        <w:spacing w:after="0" w:line="140"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We invest primarily in rapidly growing venture capital-backed emerging companies, either through private secondary transactions, other secondary transactions or direct investments in companies. Such private companies frequently have much more complex capital structures than traditional publicly-traded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investment adviser’s senior investment professionals, our Advisory Board members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disruption in the capital markets or the credit markets could negatively affect our business.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As a business development company, we need the ability to raise additional capital for investment purposes. Without sufficient access to the capital markets, we may be forced to curtail our business operations or we may not be able to pursue new business opportunities. Disruptive conditions in the financial industry and any new legislation in response to those conditions could restrict our business operations and could adversely impact our results of operations and financial condition.</w:t>
      </w:r>
    </w:p>
    <w:p>
      <w:pPr>
        <w:spacing w:after="0" w:line="63"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To the extent we do utilize leverage and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For example, we cannot be certain that we will be able to raise additional equity capital to provide funding for normal operations, including new investments. Reflecting concern about the stability of the financial markets, many institutional investors have reduced or ceased providing funding to certain borrowers. This market turmoil has led to increased market volatility and widespread reduction of business activity generally.</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market for direct equity investment opportunities.</w:t>
      </w:r>
    </w:p>
    <w:p>
      <w:pPr>
        <w:spacing w:after="0" w:line="11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incentive fee may induce GSV Asset Management to make speculative investments.</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 reflected on our balance sheet (with no deduction for liabilities), may encourage GSV Asset Management to use leverage to make additional investments. On September 17, 2013, we completed a private placement of 5-year unsecured 5.25% Convertible Senior Notes. A total of $69.0 million in aggregate principal amount of the Convertible Senior Notes were issued at the closing.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72"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122"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Borrowings such as the Convertible Senior Notes, can magnify the potential for gain or loss on amounts invested and may increase the risk of investing in us.</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our securities. In addition to the Convertible Senior Notes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Senior Notes and any future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w:t>
      </w:r>
    </w:p>
    <w:p>
      <w:pPr>
        <w:spacing w:after="0" w:line="10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 and limit the flexibility of our investment policies.</w:t>
      </w:r>
    </w:p>
    <w:p>
      <w:pPr>
        <w:spacing w:after="0" w:line="62"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Bard is the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86" w:lineRule="auto"/>
        <w:rPr>
          <w:sz w:val="20"/>
          <w:szCs w:val="20"/>
          <w:color w:val="auto"/>
        </w:rPr>
      </w:pPr>
      <w:r>
        <w:rPr>
          <w:rFonts w:ascii="Arial" w:cs="Arial" w:eastAsia="Arial" w:hAnsi="Arial"/>
          <w:sz w:val="17"/>
          <w:szCs w:val="17"/>
          <w:color w:val="auto"/>
        </w:rPr>
        <w:t>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and Coursera@GSV Fund, LP by GSV Asset Management.</w:t>
      </w:r>
    </w:p>
    <w:p>
      <w:pPr>
        <w:spacing w:after="0" w:line="80"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6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7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7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including a portion of the rent and the compensation of our chief financial officer and chief compliance officer other staff providing any administrative services, which creates conflicts of interest that our board of directors must monitor.</w:t>
      </w:r>
    </w:p>
    <w:p>
      <w:pPr>
        <w:spacing w:after="0" w:line="8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b w:val="1"/>
          <w:bCs w:val="1"/>
          <w:i w:val="1"/>
          <w:iCs w:val="1"/>
          <w:color w:val="auto"/>
        </w:rPr>
        <w:t>Our investment adviser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73"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Our investment adviser has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02" w:lineRule="exact"/>
        <w:rPr>
          <w:sz w:val="20"/>
          <w:szCs w:val="20"/>
          <w:color w:val="auto"/>
        </w:rPr>
      </w:pPr>
    </w:p>
    <w:p>
      <w:pPr>
        <w:jc w:val="both"/>
        <w:ind w:left="40" w:right="539"/>
        <w:spacing w:after="0" w:line="308" w:lineRule="auto"/>
        <w:rPr>
          <w:sz w:val="20"/>
          <w:szCs w:val="20"/>
          <w:color w:val="auto"/>
        </w:rPr>
      </w:pPr>
      <w:r>
        <w:rPr>
          <w:rFonts w:ascii="Arial" w:cs="Arial" w:eastAsia="Arial" w:hAnsi="Arial"/>
          <w:sz w:val="17"/>
          <w:szCs w:val="17"/>
          <w:b w:val="1"/>
          <w:bCs w:val="1"/>
          <w:i w:val="1"/>
          <w:iCs w:val="1"/>
          <w:color w:val="auto"/>
        </w:rPr>
        <w:t>The lack of experience of our investment adviser and its management in operating under the constraints imposed on us as a business development company may hinder the achievement of our investment objectives.</w:t>
      </w:r>
    </w:p>
    <w:p>
      <w:pPr>
        <w:spacing w:after="0" w:line="38"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total assets primarily in securities of U.S.-based private companies or public companies with market capitalizations of less than $250 million, cash, cash equivalents, U.S. government securities and other high quality debt instruments that mature in one year or less. In addition, qualification for taxation as a RIC requires satisfaction of source-of-income, diversification and distribution requirements. GSV Asset Management has limited experience investing under these constraints. These constraints, among others, may hinder GSV Asset Management’s ability to take advantage of attractive investment opportunities and to achieve our investment objective.</w:t>
      </w:r>
    </w:p>
    <w:p>
      <w:pPr>
        <w:spacing w:after="0" w:line="110"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if we qualify and elect to be taxed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income tax.</w:t>
      </w:r>
    </w:p>
    <w:p>
      <w:pPr>
        <w:spacing w:after="0" w:line="108" w:lineRule="exact"/>
        <w:rPr>
          <w:sz w:val="20"/>
          <w:szCs w:val="20"/>
          <w:color w:val="auto"/>
        </w:rPr>
      </w:pPr>
    </w:p>
    <w:p>
      <w:pPr>
        <w:jc w:val="both"/>
        <w:ind w:left="40" w:right="539"/>
        <w:spacing w:after="0" w:line="308" w:lineRule="auto"/>
        <w:rPr>
          <w:sz w:val="20"/>
          <w:szCs w:val="20"/>
          <w:color w:val="auto"/>
        </w:rPr>
      </w:pPr>
      <w:r>
        <w:rPr>
          <w:rFonts w:ascii="Arial" w:cs="Arial" w:eastAsia="Arial" w:hAnsi="Arial"/>
          <w:sz w:val="17"/>
          <w:szCs w:val="17"/>
          <w:b w:val="1"/>
          <w:bCs w:val="1"/>
          <w:i w:val="1"/>
          <w:i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38"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We may in the future issue additional debt securities or preferred stock and/or borrow money from banks or other financial institutions, which we refer to collectively (along with the Convertible Senior Notes) as “senior securities,” up to the maximum amount permitted by the 1940 Act. Under the provisions of the 1940 Act, we are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All of the costs of offering and servicing the Convertible Senior Notes and any additional debt or preferred stock,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7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addition to regulatory requirements that restrict our ability to raise capital, the Convertible Senior Notes contain various covenants which, if not complied with, could require us to repurchase the Convertible Senior Notes thereby materially and adversely affecting our liquidity, financial condition, results of operations and ability to pay dividends.</w:t>
      </w:r>
    </w:p>
    <w:p>
      <w:pPr>
        <w:spacing w:after="0" w:line="7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Convertible Senior Notes require us to comply with certain financial and operational covenants. These covenants require us to, among other things, maintain certain financial ratios, including asset coverage, debt to equity and interest coverage. 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from the lenders under the Convertible Senior Notes and accelerate repurchase of the Convertible Senior Notes and thereby have a material adverse impact on our liquidity, financial condition, results of operations and ability to pay dividends. In addition, holders of the Convertible Senior Notes will have the right to require us to repurchase the Convertible Senior Notes upon the occurrence of a fundamental change at a repurchase price equal to 100% of their principal amount, plus accrued and unpaid interest, if any. We may not have enough available cash or be able to obtain financing at the time we are required to make repurchases.</w:t>
      </w:r>
    </w:p>
    <w:p>
      <w:pPr>
        <w:spacing w:after="0" w:line="97"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income tax if we are profitable and we are unable to qualify as a RIC, which could have a material adverse effect on us and our stockholders.</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were taxed as a regular C corporation under the Code for our 2012 taxable year, but we did not have any taxable income. We may elect to be treated as a RIC under subchapter M of the Code for our 2013 taxable year we are able to satisfy the requirements under subchapter M of the Code. However, for our 2013 taxable year, if we are not certified by the SEC as “principally engaged in the furnishing of capital to other corporations which are principally engaged in the development or exploitation of inventions, technological improvements, new processes, or products not previously generally available,” we will not be eligible to elect to be treated as a RIC. On December 4, 2013 we filed an application with the SEC for our 2013 taxable year, but no assurance can be given that we will receive it. See “Material U.S. Federal Income Tax</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Considerations — Taxation of the Company — Taxation of the Company as a RIC.” In addition, in the fiscal year ended December 31, 2012, we failed to satisfy certain tests required for us to qualify as a RIC under the Code.</w:t>
      </w:r>
    </w:p>
    <w:p>
      <w:pPr>
        <w:spacing w:after="0" w:line="62"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Management generally believes that it will be in our best interests to be treated a RIC in any year in which we are profitable. If we fail to qualify as a RIC for any year in which we are profitable and such profits exceed certain loss carry forwards that we are entitled to utilize, we will be subject to corporate-level tax on our income, which could substantially reduce our net assets, the amount of income available for distribution or reinvestment and the amount of our distributions. Such a failure could have a material adverse effect on us and our stockholders.</w:t>
      </w:r>
    </w:p>
    <w:p>
      <w:pPr>
        <w:spacing w:after="0" w:line="107"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common stock, in which case you may be required to pay tax in excess of the cash you receive.</w:t>
      </w:r>
    </w:p>
    <w:p>
      <w:pPr>
        <w:spacing w:after="0" w:line="62"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We may distribute taxable dividends that are payable in part in our common stock. In accordance with certain applicable Treasury regulations and private letter rulings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common stock). In no event will any stockholder, electing to receive cash, receive less than 20% of his or her entire distribution in cash.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Even in the event the value of your investment declines, the base management fee will still be payable.</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Securities and Exchange Commission.</w:t>
      </w:r>
    </w:p>
    <w:p>
      <w:pPr>
        <w:spacing w:after="0" w:line="90"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Our charter permits our board of directors to reclassify any authorized but unissued shares of stock into one or more classes of preferred stock. Our board of directors will generally have broad discretion over the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See “Description of Securities — Preferred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92"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Any change in these laws or regulations could have a material adverse effect on our business and the value of your investment.</w:t>
      </w:r>
    </w:p>
    <w:p>
      <w:pPr>
        <w:spacing w:after="0" w:line="114"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common stock price may be volatile and may decrease substantially.</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79"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regulated investment companies, business development companies or other financial services companies;</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regulated investment companies or business development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 or changes in the expectations of securities analysts;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departures of any of the senior investment professionals or Advisory Board members of GSV Asset Management.</w:t>
      </w:r>
    </w:p>
    <w:p>
      <w:pPr>
        <w:spacing w:after="0" w:line="12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1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Our shares have historically traded, and may in the future trade at premiums that may prove to be unsustainable or at discounts from net asset value.</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initial public offerings and other exit events for venture 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w:t>
      </w:r>
    </w:p>
    <w:p>
      <w:pPr>
        <w:spacing w:after="0" w:line="112"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 particularly since we invest primarily in securities that do not produce current income.</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As we intend to</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312" w:lineRule="auto"/>
        <w:rPr>
          <w:sz w:val="20"/>
          <w:szCs w:val="20"/>
          <w:color w:val="auto"/>
        </w:rPr>
      </w:pPr>
      <w:r>
        <w:rPr>
          <w:rFonts w:ascii="Arial" w:cs="Arial" w:eastAsia="Arial" w:hAnsi="Arial"/>
          <w:sz w:val="16"/>
          <w:szCs w:val="16"/>
          <w:color w:val="auto"/>
        </w:rPr>
        <w:t>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66"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from our offerings, to the extent they are successful, and will use proceeds in part to satisfy operating expenses.</w:t>
      </w:r>
    </w:p>
    <w:p>
      <w:pPr>
        <w:spacing w:after="0" w:line="6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Our corporate headquarters are located at 2925 Woodside Road, Woodside, California, in the offices of GSV Capital Service Company. We do not own or lease any office space directly; however, we will pay a portion of the rent as allocated to us by GSV Capital Service Company. Our office facilities are suitable and adequate for our business as it is presently conducted.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Our common stock is traded on the NASDAQ Capital Market under the symbol “GSVC”. The following table sets forth, for each fiscal quarter since our initial public offering on April 28, 2011, the net asset value, or “NAV,” per share of our common stock, the high and low sales prices for our common stock, and such sales prices as a percentage of NAV per share. The last reported closing market price of our common stock on March 14, 2014 was $11.98. As of March 13, 2014, we had 137 shareholders of record, which include brokers and other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252"/>
              <w:spacing w:after="0" w:line="153" w:lineRule="exact"/>
              <w:rPr>
                <w:sz w:val="20"/>
                <w:szCs w:val="20"/>
                <w:color w:val="auto"/>
              </w:rPr>
            </w:pPr>
            <w:r>
              <w:rPr>
                <w:rFonts w:ascii="Arial" w:cs="Arial" w:eastAsia="Arial" w:hAnsi="Arial"/>
                <w:sz w:val="14"/>
                <w:szCs w:val="14"/>
                <w:b w:val="1"/>
                <w:bCs w:val="1"/>
                <w:color w:val="auto"/>
              </w:rPr>
              <w:t>Price Range</w:t>
            </w:r>
          </w:p>
        </w:tc>
        <w:tc>
          <w:tcPr>
            <w:tcW w:w="18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Low Sales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as a</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as 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vMerge w:val="restart"/>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Premium</w:t>
            </w:r>
          </w:p>
        </w:tc>
        <w:tc>
          <w:tcPr>
            <w:tcW w:w="160" w:type="dxa"/>
            <w:vAlign w:val="bottom"/>
            <w:vMerge w:val="restart"/>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Premium</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Low</w:t>
            </w:r>
          </w:p>
        </w:tc>
        <w:tc>
          <w:tcPr>
            <w:tcW w:w="1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(Discount) to</w:t>
            </w:r>
          </w:p>
        </w:tc>
        <w:tc>
          <w:tcPr>
            <w:tcW w:w="16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(Discount) to</w:t>
            </w:r>
          </w:p>
        </w:tc>
        <w:tc>
          <w:tcPr>
            <w:tcW w:w="0" w:type="dxa"/>
            <w:vAlign w:val="bottom"/>
          </w:tcPr>
          <w:p>
            <w:pPr>
              <w:spacing w:after="0"/>
              <w:rPr>
                <w:sz w:val="1"/>
                <w:szCs w:val="1"/>
                <w:color w:val="auto"/>
              </w:rPr>
            </w:pPr>
          </w:p>
        </w:tc>
      </w:tr>
      <w:tr>
        <w:trPr>
          <w:trHeight w:val="161"/>
        </w:trPr>
        <w:tc>
          <w:tcPr>
            <w:tcW w:w="3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Fiscal 2013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6"/>
                <w:szCs w:val="16"/>
                <w:b w:val="1"/>
                <w:bCs w:val="1"/>
                <w:color w:val="auto"/>
                <w:vertAlign w:val="superscript"/>
              </w:rPr>
              <w:t>(2)</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10"/>
        </w:trPr>
        <w:tc>
          <w:tcPr>
            <w:tcW w:w="3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16.90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10.12</w:t>
            </w:r>
          </w:p>
        </w:tc>
        <w:tc>
          <w:tcPr>
            <w:tcW w:w="1360" w:type="dxa"/>
            <w:vAlign w:val="bottom"/>
            <w:gridSpan w:val="2"/>
            <w:shd w:val="clear" w:color="auto" w:fill="CCFFCC"/>
          </w:tcPr>
          <w:p>
            <w:pPr>
              <w:jc w:val="right"/>
              <w:ind w:right="232"/>
              <w:spacing w:after="0"/>
              <w:rPr>
                <w:sz w:val="20"/>
                <w:szCs w:val="20"/>
                <w:color w:val="auto"/>
              </w:rPr>
            </w:pPr>
            <w:r>
              <w:rPr>
                <w:rFonts w:ascii="Arial" w:cs="Arial" w:eastAsia="Arial" w:hAnsi="Arial"/>
                <w:sz w:val="18"/>
                <w:szCs w:val="18"/>
                <w:color w:val="auto"/>
              </w:rPr>
              <w:t>13.3%</w:t>
            </w:r>
          </w:p>
        </w:tc>
        <w:tc>
          <w:tcPr>
            <w:tcW w:w="1080" w:type="dxa"/>
            <w:vAlign w:val="bottom"/>
            <w:gridSpan w:val="2"/>
            <w:shd w:val="clear" w:color="auto" w:fill="CCFFCC"/>
          </w:tcPr>
          <w:p>
            <w:pPr>
              <w:jc w:val="right"/>
              <w:ind w:right="7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w:t>
            </w:r>
          </w:p>
        </w:tc>
        <w:tc>
          <w:tcPr>
            <w:tcW w:w="1360" w:type="dxa"/>
            <w:vAlign w:val="bottom"/>
            <w:gridSpan w:val="2"/>
          </w:tcPr>
          <w:p>
            <w:pPr>
              <w:jc w:val="right"/>
              <w:ind w:right="372"/>
              <w:spacing w:after="0"/>
              <w:rPr>
                <w:sz w:val="20"/>
                <w:szCs w:val="20"/>
                <w:color w:val="auto"/>
              </w:rPr>
            </w:pPr>
            <w:r>
              <w:rPr>
                <w:rFonts w:ascii="Arial" w:cs="Arial" w:eastAsia="Arial" w:hAnsi="Arial"/>
                <w:sz w:val="18"/>
                <w:szCs w:val="18"/>
                <w:color w:val="auto"/>
              </w:rPr>
              <w:t>17.8</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12.87</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7.42</w:t>
            </w:r>
          </w:p>
        </w:tc>
        <w:tc>
          <w:tcPr>
            <w:tcW w:w="1360" w:type="dxa"/>
            <w:vAlign w:val="bottom"/>
            <w:gridSpan w:val="2"/>
            <w:shd w:val="clear" w:color="auto" w:fill="CCFFCC"/>
          </w:tcPr>
          <w:p>
            <w:pPr>
              <w:jc w:val="right"/>
              <w:ind w:right="312"/>
              <w:spacing w:after="0"/>
              <w:rPr>
                <w:sz w:val="20"/>
                <w:szCs w:val="20"/>
                <w:color w:val="auto"/>
              </w:rPr>
            </w:pPr>
            <w:r>
              <w:rPr>
                <w:rFonts w:ascii="Arial" w:cs="Arial" w:eastAsia="Arial" w:hAnsi="Arial"/>
                <w:sz w:val="18"/>
                <w:szCs w:val="18"/>
                <w:color w:val="auto"/>
              </w:rPr>
              <w:t>(34.4)</w:t>
            </w:r>
          </w:p>
        </w:tc>
        <w:tc>
          <w:tcPr>
            <w:tcW w:w="1080" w:type="dxa"/>
            <w:vAlign w:val="bottom"/>
            <w:gridSpan w:val="2"/>
            <w:shd w:val="clear" w:color="auto" w:fill="CCFFCC"/>
          </w:tcPr>
          <w:p>
            <w:pPr>
              <w:jc w:val="right"/>
              <w:ind w:right="21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w:t>
            </w:r>
          </w:p>
        </w:tc>
        <w:tc>
          <w:tcPr>
            <w:tcW w:w="1360" w:type="dxa"/>
            <w:vAlign w:val="bottom"/>
            <w:gridSpan w:val="2"/>
          </w:tcPr>
          <w:p>
            <w:pPr>
              <w:jc w:val="right"/>
              <w:ind w:right="312"/>
              <w:spacing w:after="0"/>
              <w:rPr>
                <w:sz w:val="20"/>
                <w:szCs w:val="20"/>
                <w:color w:val="auto"/>
              </w:rPr>
            </w:pPr>
            <w:r>
              <w:rPr>
                <w:rFonts w:ascii="Arial" w:cs="Arial" w:eastAsia="Arial" w:hAnsi="Arial"/>
                <w:sz w:val="18"/>
                <w:szCs w:val="18"/>
                <w:color w:val="auto"/>
              </w:rPr>
              <w:t>(28.0)</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Fiscal 2012</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(31.2)%</w:t>
            </w:r>
          </w:p>
        </w:tc>
        <w:tc>
          <w:tcPr>
            <w:tcW w:w="1080" w:type="dxa"/>
            <w:vAlign w:val="bottom"/>
            <w:gridSpan w:val="2"/>
          </w:tcPr>
          <w:p>
            <w:pPr>
              <w:jc w:val="right"/>
              <w:ind w:right="7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10.38</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360" w:type="dxa"/>
            <w:vAlign w:val="bottom"/>
            <w:gridSpan w:val="2"/>
            <w:shd w:val="clear" w:color="auto" w:fill="CCFFCC"/>
          </w:tcPr>
          <w:p>
            <w:pPr>
              <w:jc w:val="right"/>
              <w:ind w:right="312"/>
              <w:spacing w:after="0"/>
              <w:rPr>
                <w:sz w:val="20"/>
                <w:szCs w:val="20"/>
                <w:color w:val="auto"/>
              </w:rPr>
            </w:pPr>
            <w:r>
              <w:rPr>
                <w:rFonts w:ascii="Arial" w:cs="Arial" w:eastAsia="Arial" w:hAnsi="Arial"/>
                <w:sz w:val="18"/>
                <w:szCs w:val="18"/>
                <w:color w:val="auto"/>
              </w:rPr>
              <w:t>(22.8)</w:t>
            </w:r>
          </w:p>
        </w:tc>
        <w:tc>
          <w:tcPr>
            <w:tcW w:w="1080" w:type="dxa"/>
            <w:vAlign w:val="bottom"/>
            <w:gridSpan w:val="2"/>
            <w:shd w:val="clear" w:color="auto" w:fill="CCFFCC"/>
          </w:tcPr>
          <w:p>
            <w:pPr>
              <w:jc w:val="right"/>
              <w:ind w:right="21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w:t>
            </w:r>
          </w:p>
        </w:tc>
        <w:tc>
          <w:tcPr>
            <w:tcW w:w="1360" w:type="dxa"/>
            <w:vAlign w:val="bottom"/>
            <w:gridSpan w:val="2"/>
          </w:tcPr>
          <w:p>
            <w:pPr>
              <w:jc w:val="right"/>
              <w:ind w:right="372"/>
              <w:spacing w:after="0"/>
              <w:rPr>
                <w:sz w:val="20"/>
                <w:szCs w:val="20"/>
                <w:color w:val="auto"/>
              </w:rPr>
            </w:pPr>
            <w:r>
              <w:rPr>
                <w:rFonts w:ascii="Arial" w:cs="Arial" w:eastAsia="Arial" w:hAnsi="Arial"/>
                <w:sz w:val="18"/>
                <w:szCs w:val="18"/>
                <w:color w:val="auto"/>
              </w:rPr>
              <w:t>46.6</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20.89</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13.03</w:t>
            </w:r>
          </w:p>
        </w:tc>
        <w:tc>
          <w:tcPr>
            <w:tcW w:w="1360" w:type="dxa"/>
            <w:vAlign w:val="bottom"/>
            <w:gridSpan w:val="2"/>
            <w:shd w:val="clear" w:color="auto" w:fill="CCFFCC"/>
          </w:tcPr>
          <w:p>
            <w:pPr>
              <w:jc w:val="right"/>
              <w:ind w:right="372"/>
              <w:spacing w:after="0"/>
              <w:rPr>
                <w:sz w:val="20"/>
                <w:szCs w:val="20"/>
                <w:color w:val="auto"/>
              </w:rPr>
            </w:pPr>
            <w:r>
              <w:rPr>
                <w:rFonts w:ascii="Arial" w:cs="Arial" w:eastAsia="Arial" w:hAnsi="Arial"/>
                <w:sz w:val="18"/>
                <w:szCs w:val="18"/>
                <w:color w:val="auto"/>
              </w:rPr>
              <w:t>55.1</w:t>
            </w:r>
          </w:p>
        </w:tc>
        <w:tc>
          <w:tcPr>
            <w:tcW w:w="1080" w:type="dxa"/>
            <w:vAlign w:val="bottom"/>
            <w:gridSpan w:val="2"/>
            <w:shd w:val="clear" w:color="auto" w:fill="CCFFCC"/>
          </w:tcPr>
          <w:p>
            <w:pPr>
              <w:jc w:val="right"/>
              <w:ind w:right="2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0" w:right="539" w:hanging="272"/>
        <w:spacing w:after="0" w:line="264"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 per share figures shown are based on outstanding shares at the end of each period.</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during the quarter divided by NAV per share on the last trading day of the quarter.</w:t>
      </w:r>
    </w:p>
    <w:p>
      <w:pPr>
        <w:spacing w:after="0" w:line="62"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Shares of business development companies may trade at a market price that is less than the value of the net assets attributable to those shares. The possibility that our shares of common stock will trade at premiums that are unsustainable over the long term or at a discount from net asset value are separate and distinct from the risk that our net asset value will decrease. Since our initial public offering on April 28, 2011, our shares of common stock have traded at both a discount and a premium to the net assets attributable to those shares. As of December 31, 2013, our shares of common stock traded at a discount of approximately (18.9)% to our NAV per share of $14.91.</w:t>
      </w:r>
    </w:p>
    <w:p>
      <w:pPr>
        <w:spacing w:after="0" w:line="85"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As a consequence, we do not anticipate that we will pay dividends on a quarterly basis or become a predictable issuer of dividends, and we expect that our dividends, if any, will be much less consistent than other business development companies that primarily make debt investments. However, to the extent there are earnings or realized capital gains to be distributed, we intend to declare and pay a dividend at least annually. We have not declared any dividends during the past two years.</w:t>
      </w:r>
    </w:p>
    <w:p>
      <w:pPr>
        <w:spacing w:after="0" w:line="5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We are currently taxable as a C corporation and subject to federal and state corporation income taxes. We may elect to be treated as a RIC under Subchapter M of the Code, beginning with our 2013 taxable year if the Company is able to satisfy the requirements to be treated as a RIC. However,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8" w:lineRule="auto"/>
        <w:rPr>
          <w:sz w:val="20"/>
          <w:szCs w:val="20"/>
          <w:color w:val="auto"/>
        </w:rPr>
      </w:pPr>
      <w:r>
        <w:rPr>
          <w:rFonts w:ascii="Arial" w:cs="Arial" w:eastAsia="Arial" w:hAnsi="Arial"/>
          <w:sz w:val="17"/>
          <w:szCs w:val="17"/>
          <w:color w:val="auto"/>
        </w:rPr>
        <w:t>can be given that we will receive it. If we are unable to qualify as a RIC, we will continue to be taxed as a C corporation under the Code for our 2013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7"/>
          <w:szCs w:val="17"/>
          <w:i w:val="1"/>
          <w:iCs w:val="1"/>
          <w:color w:val="auto"/>
        </w:rPr>
        <w:t>i.e.</w:t>
      </w:r>
      <w:r>
        <w:rPr>
          <w:rFonts w:ascii="Arial" w:cs="Arial" w:eastAsia="Arial" w:hAnsi="Arial"/>
          <w:sz w:val="17"/>
          <w:szCs w:val="17"/>
          <w:color w:val="auto"/>
        </w:rPr>
        <w:t>, net long-term capital gains in excess of net short-term capital losses), if any, at least annually, we may in the future decide to retain such capital gains for investment.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75"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following graph compares the return on our common stock with that of the Standard &amp; Poor’s 500 Stock Index and the NASDAQ Stock Index, as we do not believe there is an appropriate index of companies with an investment strategy similar to our own with which to compare the return on our common stock, for the period from April 28, 2011 (the date of our initial public offering) to December 31, 2013. The graph assumes that, on April 28, 2011, a person invested $100 in each of our common stock, the Standard &amp; Poor’s 500 Stock Index and the NASDAQ Stock Index. The graph measures total shareholder return, which takes into account both changes in stock price and dividends. It assumes that dividends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53975</wp:posOffset>
            </wp:positionV>
            <wp:extent cx="4081780" cy="2383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8178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have adopted a dividend reinvestment plan,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spacing w:after="0" w:line="7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No action is required on the part of a registered stockholder to receive a distribution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7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We use only newly-issued shares to implement the plan, whether our shares are trading at a premium or at a discount to net asset value. The number of shares to be issued to a stockholder is determined by dividing the total dollar amount of the distribution payable to such stockholder by the market price per share of our common stock at the close of regular trading on the NASDAQ Capital Market on the valuation date for such distribution. Market price per share on that date will be the closing price for such shares on the NASDAQ Capital Market or, if no sale is reported for such day, at the average of their electronically-reported bid and asked prices. The number of shares of our common stock to be outstanding after giving effect to payment of</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the distribution cannot be established until the value per share at which additional shares will be issued has been determined and elections of our stockholders have been tabulated.</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w:t>
      </w:r>
    </w:p>
    <w:p>
      <w:pPr>
        <w:spacing w:after="0" w:line="85"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Stockholders who receive distributions in the form of stock are subject to the same federal, state and local tax consequences as are stockholders who elect to receive their distributions in cash. A stockholder’s basis for determining gain or loss upon the sale of stock received in a distribution from us will be equal to the total dollar amount of the distribution payable to the stockholder.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w:t>
      </w:r>
    </w:p>
    <w:p>
      <w:pPr>
        <w:spacing w:after="0" w:line="81"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The plan may be terminated by us upon notice in writing mailed to each participant at least 30 days prior to any record date for the payment of any dividend or distribution by us. All correspondence concerning the plan should be directed to the plan administrator by mail at 59 Maiden Lane, New York, New York 10038 or by phone at (800) 937-5449.</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following selected financial and other data for the years ended December 31, 2013, December 31, 2012, and for the period from January 6, 2011 (date of inception) to December, 31 2011, respectively, is derived from our financial statements. The data should be read in conjunction with our financial statements and notes thereto and “Management’s Discussion and Analysis of Financial Condition and Results of Operations,” which are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1"/>
              <w:spacing w:after="0" w:line="151"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1"/>
              <w:spacing w:after="0" w:line="151"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For the period from</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31, 2013</w:t>
            </w:r>
          </w:p>
        </w:tc>
        <w:tc>
          <w:tcPr>
            <w:tcW w:w="16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31, 2012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January 6, 2011</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 to</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48,951</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248,077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162,328</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22,083,875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8,530,958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2,196,192</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Net investment loss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(8,875,656)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(8,282,881)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(2,033,864)</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Benefit for taxes on net investment loss</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13,159,268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(21,706,021)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Benefit for taxes on net realized capital losses</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9,426,234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w:t>
            </w:r>
          </w:p>
        </w:tc>
      </w:tr>
      <w:tr>
        <w:trPr>
          <w:trHeight w:val="202"/>
        </w:trPr>
        <w:tc>
          <w:tcPr>
            <w:tcW w:w="39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change in unrealized appreciation</w:t>
            </w:r>
          </w:p>
        </w:tc>
        <w:tc>
          <w:tcPr>
            <w:tcW w:w="180" w:type="dxa"/>
            <w:vAlign w:val="bottom"/>
          </w:tcPr>
          <w:p>
            <w:pPr>
              <w:spacing w:after="0"/>
              <w:rPr>
                <w:sz w:val="17"/>
                <w:szCs w:val="17"/>
                <w:color w:val="auto"/>
              </w:rPr>
            </w:pPr>
          </w:p>
        </w:tc>
        <w:tc>
          <w:tcPr>
            <w:tcW w:w="11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87,445,149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w w:val="99"/>
              </w:rPr>
              <w:t>(10,170,850)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33"/>
              <w:spacing w:after="0" w:line="201" w:lineRule="exact"/>
              <w:rPr>
                <w:sz w:val="20"/>
                <w:szCs w:val="20"/>
                <w:color w:val="auto"/>
              </w:rPr>
            </w:pPr>
            <w:r>
              <w:rPr>
                <w:rFonts w:ascii="Arial" w:cs="Arial" w:eastAsia="Arial" w:hAnsi="Arial"/>
                <w:sz w:val="18"/>
                <w:szCs w:val="18"/>
                <w:color w:val="auto"/>
              </w:rPr>
              <w:t>(1,579,800)</w:t>
            </w: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(depreciation) on investments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2"/>
        </w:trPr>
        <w:tc>
          <w:tcPr>
            <w:tcW w:w="39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9"/>
              </w:rPr>
              <w:t>(30,906,063)</w:t>
            </w: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jc w:val="right"/>
              <w:ind w:right="93"/>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FFCC"/>
          </w:tcPr>
          <w:p>
            <w:pPr>
              <w:spacing w:after="0"/>
              <w:rPr>
                <w:sz w:val="20"/>
                <w:szCs w:val="20"/>
                <w:color w:val="auto"/>
              </w:rPr>
            </w:pPr>
          </w:p>
        </w:tc>
        <w:tc>
          <w:tcPr>
            <w:tcW w:w="38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r>
      <w:tr>
        <w:trPr>
          <w:trHeight w:val="202"/>
        </w:trPr>
        <w:tc>
          <w:tcPr>
            <w:tcW w:w="39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180" w:type="dxa"/>
            <w:vAlign w:val="bottom"/>
          </w:tcPr>
          <w:p>
            <w:pPr>
              <w:spacing w:after="0"/>
              <w:rPr>
                <w:sz w:val="17"/>
                <w:szCs w:val="17"/>
                <w:color w:val="auto"/>
              </w:rPr>
            </w:pPr>
          </w:p>
        </w:tc>
        <w:tc>
          <w:tcPr>
            <w:tcW w:w="11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35,383,643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w w:val="99"/>
              </w:rPr>
              <w:t>(19,834,250)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33"/>
              <w:spacing w:after="0" w:line="201" w:lineRule="exact"/>
              <w:rPr>
                <w:sz w:val="20"/>
                <w:szCs w:val="20"/>
                <w:color w:val="auto"/>
              </w:rPr>
            </w:pPr>
            <w:r>
              <w:rPr>
                <w:rFonts w:ascii="Arial" w:cs="Arial" w:eastAsia="Arial" w:hAnsi="Arial"/>
                <w:sz w:val="18"/>
                <w:szCs w:val="18"/>
                <w:color w:val="auto"/>
              </w:rPr>
              <w:t>(3,613,664)</w:t>
            </w: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w w:val="95"/>
              </w:rPr>
              <w:t>377,947,558</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w w:val="95"/>
              </w:rPr>
              <w:t>253,130,728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91,798,242</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Embedded derivative liability</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799,000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payable</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68,335,295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 net assets</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w w:val="95"/>
              </w:rPr>
              <w:t>287,966,444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w w:val="95"/>
              </w:rPr>
              <w:t>252,582,801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71,503,248</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39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r>
      <w:tr>
        <w:trPr>
          <w:trHeight w:val="230"/>
        </w:trPr>
        <w:tc>
          <w:tcPr>
            <w:tcW w:w="20" w:type="dxa"/>
            <w:vAlign w:val="bottom"/>
            <w:shd w:val="clear" w:color="auto" w:fill="CCFFCC"/>
          </w:tcPr>
          <w:p>
            <w:pPr>
              <w:spacing w:after="0"/>
              <w:rPr>
                <w:sz w:val="20"/>
                <w:szCs w:val="20"/>
                <w:color w:val="auto"/>
              </w:rPr>
            </w:pPr>
          </w:p>
        </w:tc>
        <w:tc>
          <w:tcPr>
            <w:tcW w:w="38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operations per average share:</w:t>
            </w: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1.83</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(1.07)</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(1.07)</w:t>
            </w: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Net asset value per share</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12.95</w:t>
            </w:r>
          </w:p>
        </w:tc>
      </w:tr>
      <w:tr>
        <w:trPr>
          <w:trHeight w:val="257"/>
        </w:trPr>
        <w:tc>
          <w:tcPr>
            <w:tcW w:w="390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Weighted Average Common Shares:</w:t>
            </w:r>
            <w:r>
              <w:rPr>
                <w:rFonts w:ascii="Arial" w:cs="Arial" w:eastAsia="Arial" w:hAnsi="Arial"/>
                <w:sz w:val="29"/>
                <w:szCs w:val="29"/>
                <w:color w:val="auto"/>
                <w:vertAlign w:val="superscript"/>
              </w:rPr>
              <w:t>(2)</w:t>
            </w:r>
          </w:p>
        </w:tc>
        <w:tc>
          <w:tcPr>
            <w:tcW w:w="18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shd w:val="clear" w:color="auto" w:fill="CCFFCC"/>
          </w:tcPr>
          <w:p>
            <w:pPr>
              <w:spacing w:after="0"/>
              <w:rPr>
                <w:sz w:val="22"/>
                <w:szCs w:val="22"/>
                <w:color w:val="auto"/>
              </w:rPr>
            </w:pP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19,320,100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16,096,330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3,377,429</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20,541,014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16,096,330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93"/>
              <w:spacing w:after="0"/>
              <w:rPr>
                <w:sz w:val="20"/>
                <w:szCs w:val="20"/>
                <w:color w:val="auto"/>
              </w:rPr>
            </w:pPr>
            <w:r>
              <w:rPr>
                <w:rFonts w:ascii="Arial" w:cs="Arial" w:eastAsia="Arial" w:hAnsi="Arial"/>
                <w:sz w:val="18"/>
                <w:szCs w:val="18"/>
                <w:color w:val="auto"/>
              </w:rPr>
              <w:t>3,377,429</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56" w:lineRule="exact"/>
        <w:rPr>
          <w:sz w:val="20"/>
          <w:szCs w:val="20"/>
          <w:color w:val="auto"/>
        </w:rPr>
      </w:pPr>
    </w:p>
    <w:p>
      <w:pPr>
        <w:jc w:val="both"/>
        <w:ind w:left="300" w:right="539" w:hanging="272"/>
        <w:spacing w:after="0" w:line="264"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year ended December 31, 2013, December 31, 2012, and for the period from January 6, 2011 (date of inception) to December, 31 2011 total assets increased due to the issuance of convertible senior notes payable in September 2013 as well as multiple equity offerings. Refer to Note 4 for further detail on equity offerings.</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December 31, 2011 were calculated starting from the issuance of 100 shares as of February 28, 2011.</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asset value per share is based on weighted average basic shares outstanding for the period.</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2559" w:hanging="39"/>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forward looking statements contained in this annual report on Form 10-K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annual report on Form 10-K and in our filings with the SEC.</w:t>
      </w:r>
    </w:p>
    <w:p>
      <w:pPr>
        <w:spacing w:after="0" w:line="62"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w:t>
      </w:r>
    </w:p>
    <w:p>
      <w:pPr>
        <w:spacing w:after="0" w:line="5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annual report on Form 10-K.</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most recent follow-on offering, which closed in May 2012, as well as the proceeds from the Convertible Senior Notes offering will be used for the above purposes within 12 months, depending on the availability of investment opportunities that are consistent with our investment objectives and market conditions.</w:t>
      </w:r>
    </w:p>
    <w:p>
      <w:pPr>
        <w:spacing w:after="0" w:line="85"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May 2011 we completed our initial public offering of 3,335,000 shares of our common stock at an offering price of $15.00 per share. We completed a follow-on offering of 2,185,000 shares of our common stock in September 2011 at an offering price of $14.15 per share, a follow-on offering of 6,900,000 shares of our common stock in February 2012 at an offering price of $15.00 per share and a follow on offering of 6,900,000 shares of our common stock in May 2012 at an offering price of $16.25 per share. In the aggregate, we have raised approximately $277.7 million in equity capitalization. In addition, we issued $69.0 million in aggregate principal amount of Convertible Senior Notes in September 2013. Our shares are currently listed on the NASDAQ Capital Market under the symbol “GSVC”.</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fair value of our investments can be expected to fluctuate in future periods due to changes in our investments and changes in the fair value of the investments. The investments made during the year ended December 31, 2013 include:</w:t>
      </w:r>
    </w:p>
    <w:p>
      <w:pPr>
        <w:spacing w:after="0" w:line="38"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Investments totaling $4,474,031 in SugarCRM Inc., a customer relationship management company, comprising an investment of $1,499,999, plus transaction costs, on January 16, 2013; an investment of $1,379,294, plus transaction costs, on April 1, 2013; an investment of $855,000, plus transaction costs, on October 17, 2013; an investment of $95,000, plus transaction costs, on October 28, 2013; and an investment of $644,738, plus transaction costs on December 10, 2013.</w:t>
      </w:r>
    </w:p>
    <w:p>
      <w:pPr>
        <w:spacing w:after="0" w:line="63"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Investments totaling $599,999 in AlwaysOn, Inc., a social media company, comprising an investment of $200,000, plus transaction costs, on February 4, 2013; an investment of $200,000, plus transaction costs, on February 28, 2013; an investment of $24,999, plus transaction costs, on April 26, 2013; and an investment of $175,000, plus transaction costs, on May 24, 2013.</w:t>
      </w:r>
    </w:p>
    <w:p>
      <w:pPr>
        <w:spacing w:after="0" w:line="3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$775,863 in CUX, Inc. (d/b/a CorpU), a corporate education company, comprising an investment of $517,244, plus transaction costs, on February 25, 2013 and an investment of $258,619, plus transaction costs, on May 31, 2013.</w:t>
      </w:r>
    </w:p>
    <w:p>
      <w:pPr>
        <w:spacing w:after="0" w:line="200" w:lineRule="exact"/>
        <w:rPr>
          <w:sz w:val="20"/>
          <w:szCs w:val="20"/>
          <w:color w:val="auto"/>
        </w:rPr>
      </w:pPr>
    </w:p>
    <w:p>
      <w:pPr>
        <w:spacing w:after="0" w:line="2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Investments totaling $1,500,000 in Fullbridge, Inc., a business education company, comprising an investment of $1,000,000, plus costs on March 22, 2013 and an investment of $250,000, plus transaction costs on October 10, 2013. An investment of $250,000, plus transaction costs, on December 11, 2013.</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$1,733,923, plus transaction costs, in ZocDoc Inc., an online medical scheduling company, on April 4, 2013.</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$750,000, plus transaction costs, in AliphCom Inc. (d/b/a Jawbone), an audio electronics company, on May 17,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$430,950, plus transaction costs, in Dailybreak, Inc., a social advertising company, on May 31, 2013.</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$1,000,000, plus transaction costs, in Solexel, Inc., a solar power company, on June 6, 2013.</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$180,000, plus transaction costs, in oDesk Corporation, an online marketplace company, on June 11, 2013.</w:t>
      </w:r>
    </w:p>
    <w:p>
      <w:pPr>
        <w:spacing w:after="0" w:line="140"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Investments totaling $14,519,443 in Coursera Inc., an online education company, comprising an investment of $9,999,999, plus transaction costs, on June 18, 2013 and an investment of $4,519,444, plus transaction costs on October 31, 2013.</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$600,000, plus transaction costs, in NestGSV, Inc., an Incubator company, on July 15, 2013.</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$1,099,997, plus transaction costs, in Dataminr, Inc., a Social Media Analytics company, on July 26,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$225,000, plus transaction costs, in Kno, Inc., a Digital Textbooks Company, on August 1, 2013.</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$1,000,000, plus transaction costs, in Strategic Data Command, LLC, a software development company, on August 15, 2013.</w:t>
      </w:r>
    </w:p>
    <w:p>
      <w:pPr>
        <w:spacing w:after="0" w:line="62"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An investment of $1,500,000, plus transaction costs, in Whittle Schools, LLC, an education technology company, on August 30, 2013. Whittle Schools, LLC is a derivative investment with economics linked to Avenues Global Holdings LLC.</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$250,000, plus transaction costs, in Sinolending Ltd, a Chinese P2P lending company, on September 4, 2013.</w:t>
      </w:r>
    </w:p>
    <w:p>
      <w:pPr>
        <w:spacing w:after="0" w:line="140"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Investments totaling $1,000,000 in Totus Solutions Inc, a LED lighting company, comprising an investment of $400,000, plus transaction costs, on September 30, 2013 and an investment of $600,000, plus transaction costs on November 25, 2013.</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$250,000, plus transaction costs, in S3 Digital Corp, a sports analytics company, on October 1, 2013.</w:t>
      </w:r>
    </w:p>
    <w:p>
      <w:pPr>
        <w:spacing w:after="0" w:line="12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Investments totaling $1,333,332 in Global Education Learning Ltd, an education technology company, comprised of an investment of $900,000, plus transaction costs, on October 2, 2013 and an investment of $433,332, plus transaction costs, on October 4, 2013.</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$2,430,016, plus transaction costs, in ePals Inc., an education technology company, on October 22, 2013.</w:t>
      </w:r>
    </w:p>
    <w:p>
      <w:pPr>
        <w:spacing w:after="0" w:line="14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investment of $10,000,003, plus transaction costs, in Curious.com Inc, an online education company, on November 22,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Investment of $4,999,964, plus transaction costs, in JAMF Holdings, Inc., a software development company, on December 6, 2013.</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$1,500,000, plus transaction costs, in Dreambox Learning, Inc., an education technology company, on December 6,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$10,000,001, plus transaction costs, in PayNearMe Inc., cash transaction network company, on December 6,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$3,000,000, plus transaction costs, in Ozy Media Inc., a social media company, on December 11, 2013.</w:t>
      </w:r>
    </w:p>
    <w:p>
      <w:pPr>
        <w:spacing w:after="0" w:line="12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$4,999,999, plus transaction costs, in Knewton Inc., an education technology company, on December 16,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$1,000,000, plus transaction costs, in Parchment Inc., an education data company, on December 18,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fair value, as of December 31, 2013, of all of our portfolio investments, excluding U.S. Treasury Strips, was $355,383,653.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also held $7,219,203 of unrestricted cash and $22,264 restricted cash on 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year ended December 31, 2013 and December 31, 2012</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per share figures noted below are on a non-diluted basis unless noted otherwise.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year ended December 31, 2013, we had investment income of $48,951, or $0.00 per share, which consisted of $25,871 of interest income from our portfolio investments and $23,080 of dividend income from our money market investments which were held during 2013 but liquidated in the fourth quarter of 2013.</w:t>
      </w:r>
    </w:p>
    <w:p>
      <w:pPr>
        <w:spacing w:after="0" w:line="73"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For the year ended December 31, 2012, we had investment income of $248,077, or $0.01 per share, which consisted of $222,047 of interest income from our portfolio investments and $26,030 of dividend income from our money market investments.</w:t>
      </w:r>
    </w:p>
    <w:p>
      <w:pPr>
        <w:spacing w:after="0" w:line="16"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decrease in investment income for the year ended December 31, 2013 relative to the year ended December 31, 2012, was primarily due to the decrease in interest income earned. This resulted from a smaller average loan portfolio during the year ended December 31, 2013, relative to the year ended December 31, 2012.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For the year ended December 31, 2013, we had $22,083,875 in total operating expenses consisting primarily of incentive fees, and to a lesser extent, investment management fees, administration fees, the loss on fair value adjustment for embedded derivative, interest expense on the Convertible Senior Notes, in addition to legal, audit and consulting fees. The investment advisory fee for the year ended December 31, 2013, was $5,426,485, representing the base management fee as provided in our investment advisory agreement. Our base management fee was significantly higher than during the year ended December 31, 2012 as a result of the increase in our gross assets. Costs incurred under our administration agreement for the year ended December 31, 2013, were $3,089,771. The loss on fair value adjustment for embedded derivative and the interest expense on the Convertible Senior Notes were $99,000 and $1,278,997, respectively for the year ended December 31, 2013. Professional fees, consisting of legal, valuation, audit and consulting fees, were approximately $876,769 for the year ended December 31, 2013.</w:t>
      </w:r>
    </w:p>
    <w:p>
      <w:pPr>
        <w:spacing w:after="0" w:line="5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For the year ended December 31, 2012, we had $8,530,958 in total operating expenses consisting primarily of investment management fees and administration fees, in addition to legal, audit and consulting fees. The investment advisory fee for the year ended December 31, 2012, was $4,419,345, representing the base management fee as provided in our investment advisory agreement. Our base management fee was significantly higher than during the period from January 6, 2011 (date of inception) to December 31, 2011 as a result of the increase in our gross assets. Costs incurred under our administration agreement for the year ended December 31, 2012, were $2,384,764. Professional fees, consisting of legal, valuation, audit and consulting fees, were approximately $959,604 for the year ended December 31, 2012.</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increase in our total operating expenses for the year ended December 31, 2013 relative to the period through December 31, 2012 is primarily a result of the accrual of incentive fees and to a lesser extent, the increased investment management fees and administration fees due to the growth of our portfolio.</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for taxes on net investment loss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2013, we recognized a benefit for taxes on net investment loss of $13,159,268.</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2012, we recognized no benefit for taxes on net investment loss.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Gains and Losses on Investments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year ended December 31, 2013, we recognized a realized loss of $21,706,021. The realized loss resulted primarily from our write-offs of Kno, Inc., Top Hat 430, Inc., Serious Energy, Inc., AltEgo, LLC, and Starfish Holdings, Inc., as well as the sales of Groupon, Inc., and Zynga, Inc.</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year ended December 31, 2012, we recognized a realized loss of $1,380,519. The realized loss was primarily the result of a realized loss on our investment in PJB Fund LLC. The note matured and was repaid by transfer of shares of common stock of Zynga, Inc.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for taxes on net realized capital losses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year ended December 31, 2013, we recognized a benefit for tax of $9,426,234 on net realized capital losses.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2012, we recognized no benefit for tax on net realized capital losses.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Change in Unrealized Appreciation of Investments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For the year ended December 31, 2013, we had a net change in unrealized appreciation of $87,445,149, or $4.26 per diluted share. The change in unrealized appreciation is primarily a result of our investments in Twitter, Inc. and Palantir Technologies, Inc. To a lesser extent, the change in unrealized appreciation was also a result of our investments in Control4 Corporation and Facebook, Inc., as well as the reclassification of the losses on our investments in Top Hat 430, Inc., Serious Energy, Inc., and AltEgo, LLC from unrealized losses to realized losses on investments.</w:t>
      </w:r>
    </w:p>
    <w:p>
      <w:pPr>
        <w:spacing w:after="0" w:line="80"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For the year ended December 31, 2012, we had a net change in unrealized depreciation of $10,170,850, or $0.63 per share. The change in unrealized depreciation is primarily a result of our investments in Top Hat 430, Inc., Silver Spring Networks, Inc., Gilt Group e, Inc., Zynga, Inc., and Facebook, Inc. Top Hat 430, Inc. was written off. Refer to Note 3 for more details.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for taxes on unrealized appreciation of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year ended December 31, 2013 we recognized a provision for deferred income taxes on unrealized appreciation of investments of $30,906,063.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 year ended December 31, 2012 we recognized no provision for deferred income taxes on unrealized appreciation of investments.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year ended December 31, 2013, the net increase in net assets resulting from operations was $35,383,643, or $1.78 per diluted share.</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year ended December 31, 2012, the net decrease in net assets resulting from operations was $(19,834,250), or $(1.23) per share.</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increase in net assets resulting from operations for the year ended December 31, 2013, as compared to the year ended December 31, 2012, is primarily the result of the unrealized appreciation of Twitter, Inc., and Palantir Technologies, Inc. The increase in net assets resulting from operations was partially offset by the $0.43 per share net impact of the various tax provisions noted above, for the year ended December 31, 2013.</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basic per share figures noted above are based on a weighted average share count of 19,320,100 and 16,096,330 shares outstanding for the years ended December 31, 2013 and December 31, 2012, respectively. The diluted per share figures noted above are based on a weighted average share count of 20,541,014 and 16,096,330 shares outstanding for the years ended December 31, 2013 and December 31, 2012, respectively</w:t>
      </w:r>
    </w:p>
    <w:p>
      <w:pPr>
        <w:spacing w:after="0" w:line="106"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Comparison of the year ended December 31, 2012 and the period from January 6, 2011 (date of inception) to December 31, 2011</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January 6, 2011 was our date of inception and April 28, 2011 was the date of our initial public offering, the period from January 6, 2011 to December 31, 2011 is not a directly comparable period to the year ended December 31, 2012.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For the year ended December 31, 2012, we had investment income of $248,077, or $0.01 per share, which consisted of $222,047 of interest income from our portfolio investments and $26,030 of dividend income from our money market investments.</w:t>
      </w:r>
    </w:p>
    <w:p>
      <w:pPr>
        <w:spacing w:after="0" w:line="16"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had investment income of $162,328, or $0.05 per share, which consisted of $158,389 of interest income and $3,939 of dividend income.</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increase in investment income for the year ended December 31, 2012 relative to the period from January 6, 2011 (date of inception) to December 31, 2011, was primarily due to us holding more fixed income investments during the year ended December 31,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For the year ended December 31, 2012, we had $8,530,958 in total operating expenses consisting primarily of investment management fees and administration fees, in addition to legal, audit and consulting fees. The investment advisory fee for the year ended December 31, 2012, was $4,419,345, representing the base management fee as provided in our investment advisory agreement. Our base management fee was significantly higher than during the period from January 6, 2011 (date of inception) to December 31, 2011 as a result of the increase in our gross assets. Costs incurred under our administration agreement for the year ended December 31, 2012, were $2,384,764. Professional fees, consisting of legal, valuation, audit and consulting fees, were approximately $959,604 for the year ended December 31, 2012.</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period from January 6, 2011 (date of inception) to December 31, 2011, we had $2,196,192 in total operating expenses consisting primarily of legal, audit and consulting fees, in addition to organizational expenses, investment management fees and administration fees. The investment advisory fee for the period from January 6, 2011 (date of inception) to December 31, 2011, was $618,865, representing the base fee as provided for in our investment advisory agreement. Costs incurred under our administration agreement for the period from January 6, 2011 (date of inception) to December 31, 2011, were $554,232. Professional fees, consisting of legal, valuation, audit, and consulting fees, were approximately $409,983 for the period from January 6, 2011 (date of inception) to December 31, 2011.</w:t>
      </w:r>
    </w:p>
    <w:p>
      <w:pPr>
        <w:spacing w:after="0" w:line="8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increase in our total operating expenses for the year ended December 31, 2012 as compared to the period from January 6, 2011 (date of inception) to December 31, 2011 is primarily a result of increased investment management fees and administration fees due to the growth of our portfolio.</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for taxes on net investment loss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2012 we recognized no benefit for taxes on net investment loss.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recognized no benefit for taxes on net investment loss.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Gains and Losses on Investments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year ended December 31, 2012, we recognized a realized loss of $1,380,519. The realized loss was primarily the result of a realized loss on our investment in PJB Fund LLC. The note matured and was repaid by transfer of shares of common stock of Zynga, Inc.</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period from January 6, 2011 (date of inception) to December 31, 2011 we recognized no realized gain or loss.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for taxes on net realized capital losses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2012 we recognized no benefit for taxes on net realized capital losses.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recognized no benefit for taxes on net realized capital losses.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Change in Unrealized Depreciation of Investments</w:t>
      </w:r>
    </w:p>
    <w:p>
      <w:pPr>
        <w:spacing w:after="0" w:line="117"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For the year ended December 31, 2012, we had a net change in unrealized depreciation of $10,170,850, or $0.63 per share. The change in unrealized depreciation is primarily a result of our investments in Top Hat 430, Inc., Silver Spring Networks, Inc., Gilt Groupe, Inc., Zynga, Inc., and Facebook, Inc.. Top Hat 430, Inc. was written off. Refer to Note 3 for more details.</w:t>
      </w:r>
    </w:p>
    <w:p>
      <w:pPr>
        <w:spacing w:after="0" w:line="3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had a net change in unrealized depreciation of $1,579,800, which resulted primary from our investment in the PJB Fund LLC.</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for taxes on unrealized appreciation of investments</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 year ended December 31, 2012 we recognized no provision for deferred income taxes on unrealized appreciation of investments.</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2012, we recognized no provision for deferred income taxes on unrealized appreciation of investments.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year ended December 31, 2012, net decrease in net assets resulting from operations was $19,834,250, or $1.23 per share.</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net decrease in net assets resulting from operations was $3,613,664, or $1.07 per share.</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decrease in net assets resulting from operations for the year ended December 31, 2012, as compared to the period from January 6, 2011 (date of inception) to December 31, 2011, was primarily the result of the unrealized depreciation of investments described above.</w:t>
      </w:r>
    </w:p>
    <w:p>
      <w:pPr>
        <w:spacing w:after="0" w:line="73"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The per share figures noted above are based on a weighted-average of 16,096,330 and 3,377,429 shares outstanding for the year ended December 31, 2012 and for the period from January 6, 2011 (date of inception) to December 31, 2011, respectively.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At December 31, 2013, we had investments in 49 portfolio companies with costs totaling $279,709,118; U.S. Treasury Strips of $10,845,236, unrestricted cash of $7,219,203, and restricted cash of $22,264.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63"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September 17, 2013, the Company issued $69,000,000 aggregate principal amount of the Convertible Senior Notes (the “Convertible Notes”) (including $9,000,000 aggregate principal amount issued pursuant to the exercise of the initial purchasers’ option to purchase additional Convertible Notes). The Convertible Notes bear interest at a fixed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 unless previously purchased or converted in accordance with their terms. The Company does not have the right to redeem the Convertible Notes prior to maturity.</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We entered into a Loan and Security Agreement (the “Loan Agreement”), effective December 31, 2013, with Silicon Valley Bank to provide us with a new $18 million credit facility (the “Credit Facility”). Under the Credit Facility, we are permitted to borrow an amount equal to the lesser of $18 million or 20% of our then-current net asset value.</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we had no borrowings under the Credit Facility.</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December 31, 2013, except for amounts retained for purposes of funding our ongoing expenses. For the year ended December 31, 2013, cash used in operating activities, consisting primarily of investment activity, was 69.1 million.</w:t>
      </w:r>
    </w:p>
    <w:p>
      <w:pPr>
        <w:spacing w:after="0" w:line="79"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Our current policy is to maintain cash reserves and liquid securities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$10,523,552 in accrued incentive fees, $5,426,485 in investment management fees and $3,089,771 in costs incurred under the administration agreement for the year ended December 31, 2013.</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2013, the fair value of our level 1 investments, which are not subject to lock-up, was $22.6 million.</w:t>
      </w:r>
    </w:p>
    <w:p>
      <w:pPr>
        <w:spacing w:after="0" w:line="12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As of December 31, 2013, the fair value of our portfolio investments was $355.4 million.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4"/>
          </w:tcPr>
          <w:p>
            <w:pPr>
              <w:jc w:val="right"/>
              <w:ind w:right="19"/>
              <w:spacing w:after="0"/>
              <w:rPr>
                <w:sz w:val="20"/>
                <w:szCs w:val="20"/>
                <w:color w:val="auto"/>
              </w:rPr>
            </w:pPr>
            <w:r>
              <w:rPr>
                <w:rFonts w:ascii="Arial" w:cs="Arial" w:eastAsia="Arial" w:hAnsi="Arial"/>
                <w:sz w:val="14"/>
                <w:szCs w:val="14"/>
                <w:b w:val="1"/>
                <w:bCs w:val="1"/>
                <w:color w:val="auto"/>
                <w:w w:val="94"/>
              </w:rPr>
              <w:t>Payments Due By Period (dollars 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3"/>
                <w:szCs w:val="13"/>
                <w:color w:val="auto"/>
              </w:rPr>
            </w:pPr>
          </w:p>
        </w:tc>
        <w:tc>
          <w:tcPr>
            <w:tcW w:w="76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3"/>
                <w:szCs w:val="13"/>
                <w:color w:val="auto"/>
              </w:rPr>
            </w:pPr>
          </w:p>
        </w:tc>
        <w:tc>
          <w:tcPr>
            <w:tcW w:w="76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w w:val="94"/>
              </w:rPr>
              <w:t>3 – 5 years</w:t>
            </w:r>
          </w:p>
        </w:tc>
        <w:tc>
          <w:tcPr>
            <w:tcW w:w="160" w:type="dxa"/>
            <w:vAlign w:val="bottom"/>
          </w:tcPr>
          <w:p>
            <w:pPr>
              <w:spacing w:after="0"/>
              <w:rPr>
                <w:sz w:val="13"/>
                <w:szCs w:val="13"/>
                <w:color w:val="auto"/>
              </w:rPr>
            </w:pPr>
          </w:p>
        </w:tc>
        <w:tc>
          <w:tcPr>
            <w:tcW w:w="76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4000" w:type="dxa"/>
            <w:vAlign w:val="bottom"/>
            <w:gridSpan w:val="3"/>
            <w:vMerge w:val="restart"/>
          </w:tcPr>
          <w:p>
            <w:pPr>
              <w:ind w:left="20"/>
              <w:spacing w:after="0"/>
              <w:rPr>
                <w:sz w:val="20"/>
                <w:szCs w:val="20"/>
                <w:color w:val="auto"/>
              </w:rPr>
            </w:pPr>
            <w:r>
              <w:rPr>
                <w:rFonts w:ascii="Arial" w:cs="Arial" w:eastAsia="Arial" w:hAnsi="Arial"/>
                <w:sz w:val="18"/>
                <w:szCs w:val="18"/>
                <w:color w:val="auto"/>
              </w:rPr>
              <w:t>Convertible Senior Notes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00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2"/>
                <w:szCs w:val="22"/>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52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4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Total unused amount of the credit facility for the year ended December 31, 2013 was $18,000,000.</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As of December 31, 2013,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We are currently taxable as a C corporation and subject to federal and state corporation income taxes. We may elect to be treated as a RIC under Subchapter M of the Code, beginning with our 2013 taxable year if the Company is able to satisfy the requirements to be treated as a RIC. However,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If we are unable to qualify as a RIC, we will continue to be taxed as a C corporation under the Code for our 2013 taxable year. To obtain and maintain RIC tax treatment, we must, among other things, distribute at least 90% of our ordinary income and realized net short-term capital gains in excess of realized net long-term capital losses, if any, for each taxable year.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8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On September 17, 2013, the Company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placed $10,845,236 of government securities in an escrow account with the Trustee. These government securities are shown on the consolidated schedule of investments.</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December 31, 2013, the principal amount of the Convertible Senior Notes exceeded the value of the underlying shares multiplied by the per share closing price of the Company’s common stock.</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64"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the new $18 million Credit Facility. Under the Credit Facility, we are permitted to borrow an amount equal to the lesser of $18 million or 20% of our then-current net asset value.</w:t>
      </w:r>
    </w:p>
    <w:p>
      <w:pPr>
        <w:spacing w:after="0" w:line="73"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4"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3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$5,426,485, $4,419,345 and $618,865 in base management fees and $0 in incentive fees for the years ended December 31, 2013, December 31, 2012, and for the period from January 6, 2011 (date of inception) to December 31, 2011, respectively. For the years ended December 31, 2013, 2012, and for the period from January 6, 2011 (date of inception) to December 31, 2011, respectively, we accrued incentive fees of $10,523,552, and $0, and $0, in accordance with the AICPA’s TPA (TIS 6910.2) which considers the hypothetical liquidation value of our investment portfolio as of the measurement date, on a pre-tax basis.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2013, we were owed $3,039 from GSV Asset Management for reimbursement of expenses paid for by us that were the responsibility of GSV Asset Management. In addition as of December 31, 2013, we owed GSV Asset Management $563,978 for management fees and reimbursement of other expenses.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2012, we were owed $5,723 from GSV Asset Management for reimbursement of expenses paid for by us that were the responsibility of GSV Asset Management. In addition as of December 31, 2012, we owed GSV Asset Management $51,194 for management fees and reimbursement of other expenses.</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served as a Managing Director of Cherry Tree &amp; Associates, LLC, and may therefore be deemed to have had an indirect material interest in such transaction. In February 2013, Mark Moe joined NestGSV, Inc., one of our portfolio companies, as a Vice President of Business Development, Global Expansion.</w:t>
      </w:r>
    </w:p>
    <w:p>
      <w:pPr>
        <w:spacing w:after="0" w:line="64"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$3,089,771, $2,384,764 and $554,232 in such costs incurred under the Administration Agreement for the years ended December 31, 2013, December 31, 2012, for the period from January 6, 2011 (date of inception) to December 31, 2011, respectively.</w:t>
      </w:r>
    </w:p>
    <w:p>
      <w:pPr>
        <w:spacing w:after="0" w:line="57"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left="40"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6"/>
          <w:szCs w:val="16"/>
          <w:color w:val="auto"/>
        </w:rPr>
        <w:t>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or that we will otherwise qualify as a RIC for our 2013 taxable year. If we are unable to qualify as a RIC, we will continue to be taxed as a C corporation under the Code for our 2013 taxable year. In order to qualify as a RIC, among other things, the Company is required to distribute to its stockholders on a timely basis at least 90% of investment company taxable income, as defined by the Code, for each year, and to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The Company cannot assure you whether it will qualify to be treated as a RIC for its 2013 taxable year. If it is not, the Company will continue to be taxed as a C corporation under the Code for its 2013 taxable year. If the Company is able to elect to be taxed as a RIC for the year ended December 31, 2013, the deferred tax assets and liabilities recorded as of December 31, 2013 will be adjusted accordingly in 2014.</w:t>
      </w:r>
    </w:p>
    <w:p>
      <w:pPr>
        <w:spacing w:after="0" w:line="64"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has identified its major tax jurisdictions as U.S. federal and California, and is not aware of any tax positions for which it is reasonably possible that the total amount of unrecognized tax benefits will change significantly in the next 12 months.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January 2013, the Financial Accounting Standards Board issued Accounting Standards Update (“ASU”) 2013-01, Balance Sheet (Topic 210): Clarifying the Scope of Disclosures about Offsetting Assets and Liabilities (“ASU 2013-01”). ASU 2013-01 limits the scope of the new balance sheet offsetting disclosure requirements to derivatives (including bifurcated embedded derivatives), repurchase agreements and reverse repurchase agreements, and certain securities borrowing and lending arrangements. Public companies are required to apply ASU 2013-01 prospectively for interim and annual reporting periods beginning after January 1, 2013. The adoption of ASU 2013-01 did not have a material impact on the Company’s reported financial position or results of operations.</w:t>
      </w:r>
    </w:p>
    <w:p>
      <w:pPr>
        <w:spacing w:after="0" w:line="8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June 2013, the Financial Accounting Standards Board issued Accounting Standards Update (“ASU”) 2013-08, Financial Services — Investment Companies (Topic 946): Amendments to the Scope, Measurement, and Disclosure Requirements (“ASU 2013-08”). ASU 2013-08 amends the criteria that define an investment company, clarifies the measurement guidance and requires certain additional disclosures. Public companies are required to apply ASU 2013-08 prospectively for interim and annual reporting periods beginning after December 15, 2013.</w:t>
      </w:r>
    </w:p>
    <w:p>
      <w:pPr>
        <w:spacing w:after="0" w:line="8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In February 2013, the Financial Accounting Standards Board issued Accounting Standards Update (“ASU”) 2013-04, Liabilities (Topic 405): Obligations Resulting from Joint and Several Liability Arrangements for Which the Total Amount of the Obligation Is Fixed at the Reporting Date (“ASU 2013-04”). ASU 2013-04 provides additional guidance for the recognition, measurement, and disclosure of obligations resulting from joint and several liability arrangements for which the total amount of the obligation within the scope of this guidance is fixed at the reporting date. Public companies are required to apply ASU 2013-04 prospectively for interim and annual reporting periods beginning after December 15, 2013.</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will have a material impact on its current financial position and results of operations.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Subsequent to December 31, 2013, the Company purchased investments for $13,805,207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$2,984,530, plus transaction costs, in StormWind, LLC, an interactive learning platform, on January 7, 2014.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 investment of $107,725, plus transaction costs, in StormWind, LLC, aninteractive learning platform, on February 25, 2014.</w:t>
      </w:r>
    </w:p>
    <w:p>
      <w:pPr>
        <w:spacing w:after="0" w:line="11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investment of $198,000, plus transaction costs, in NestGSV, Inc., an incubator company, on January 29, 2014. An investment of $99,000, plus transaction costs, in NestGSV, Inc., an incubator company, on March 4, 2014.</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$430,000, plus transaction costs, in Dailybreak, Inc, a social advertising company, on February 11,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$232,104, plus transaction costs, in AlwaysOn Inc, a social media company, on February 14,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$482,146, plus transaction costs, in EdSurge, Inc, an education technology company, on February 18, 2014.</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$1,280,000, plus transaction costs, in Fullbridge, Inc., a business education company, on February 19, 2014.</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$4,996,044, plus transaction costs, in JAMF Software Inc., a software services company, on February 28, 2014.</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$2,995,658, plus transaction costs, in General Assembly Inc., an education company, on March 6,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December 31, 2013, the Company sold investments for $13,120,776, plus transaction costs as follows:</w:t>
      </w:r>
    </w:p>
    <w:p>
      <w:pPr>
        <w:spacing w:after="0" w:line="12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January 31, 2014, the Company sold a total of 25,000 and 50,000 shares of its investment in Facebook, Inc. at a price of $60.08 and $61.18 per share plus transaction costs for net proceeds of $1,500,599 and $3,058,437. On February 3, 2014, the Company sold a total of 25,000 shares of its investment in Facebook, Inc. at a price of $61.06 per share plus transaction costs for net proceeds of $1,526,163. On February 19, 2014 the Company sold a total of 25,000 shares of its investment in Facebook, Inc. at a price of $65.06 per share plus transaction costs for net proceeds of $1,626,232. On February 27, 2014 the Company sold a total of 25,000 shares of its investment in Facebook, Inc. at a price of $70.02 per share plus transaction costs for net proceeds of $1,750,095. The Company continues to hold 25,000 shares of Facebook, Inc. as of March 17, 2014.</w:t>
      </w:r>
    </w:p>
    <w:p>
      <w:pPr>
        <w:spacing w:after="0" w:line="70"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On February 10, 2014, the Company sold a total of 4,000 shares of its investment in Control4 Corporation at a price of $21.03 per share plus transaction costs for $83,991. On February 12, 2014, the Company sold a total of 30,000 shares of its investment in Control4 Corporation at a price of $21.58 per share plus transaction costs for net proceeds of $646,431. On February 13, 2014, the Company sold a total of 10,000 shares of its investment in Control4 Corporation at a price of $21.03 plus transaction costs per share for net proceeds of $210,008. On February 10, 2014, the Company sold a total of 6,000 shares of its investment in Control4 Corporation at a price of $21.14 per share plus transaction costs for net proceeds of $126,655. On February 18, 2014, the Company sold a total of 50,000 shares of its investment in Control4 Corporation at a price of $23.19 per share plus transaction costs for net proceeds of $1,157,940. On February 19, 2014, the Company sold a total of 50,000 shares of its investment in Control4 Corporation at a price of $24.13 per share plus transaction costs for net proceeds of $1,205,224. On March 13, 2014, the Company sold a total of 10,000 shares of its investment in Control4 Corporation at a price of $22.83 per share plus transaction costs for net proceeds of $228,000. The Company continues to hold 622,821 shares of Control4 Corporation as of March 17, 2014.</w:t>
      </w:r>
    </w:p>
    <w:p>
      <w:pPr>
        <w:spacing w:after="0" w:line="6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9" w:lineRule="auto"/>
        <w:rPr>
          <w:sz w:val="20"/>
          <w:szCs w:val="20"/>
          <w:color w:val="auto"/>
        </w:rPr>
      </w:pPr>
      <w:r>
        <w:rPr>
          <w:rFonts w:ascii="Arial" w:cs="Arial" w:eastAsia="Arial" w:hAnsi="Arial"/>
          <w:sz w:val="17"/>
          <w:szCs w:val="17"/>
          <w:color w:val="auto"/>
        </w:rPr>
        <w:t>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December 31, 2013, the Company has not made any such escrow deposits.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are subject to financial market risks, including changes in interest rates. As of December 31, 2013, we held three debt investments in our portfolio, all of which bear interest at a fixed rate, however, in the future, we may have other loans in our portfolio that have floating rates. We also have issued a convertible note with a fixed rate of interest.</w:t>
      </w:r>
    </w:p>
    <w:p>
      <w:pPr>
        <w:spacing w:after="0" w:line="7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To illustrate the potential impact of a change in the underlying interest rate on our net increase in net assets resulting from operations, we have assumed a 1% increase in the underlying five-year Treasury note, the Prime rate or LIBOR, and no other change in our portfolio as of December 31, 2013. We have also assumed outstanding variable rate borrowings on our credit facility with Silicon Valley Bank of $0. Under this analysis, net investment income would not change on an annual basis. Although management believes that this analysis is indicative of our existing interest rate sensitivity, it does not adjust for changes in the credit quality, size and composition of our portfolio, and other business developments, including a change in the level of our borrowings, that could affect the net increase in net assets resulting from operations. Accordingly, no assurances can be given that actual results would not differ materially from the results under this hypothetical analysis.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and for performing an assessment of the effectiveness of internal control over financial reporting as of December 31, 2013.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The Company’s internal control over financial reporting includes those policies and procedures that (i) pertain to assets of the Company; (ii)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2013 based upon criteria in Internal Control — Integrated Framework issued by the Committee of Sponsoring Organizations of the Treadway Commission (“COSO”). Based on our assessment, management determined that the Company’s internal control over financial reporting was effective as of December 31, 2013 based on the criteria on Internal Control — Integrated Framework issued by COSO.</w:t>
      </w:r>
    </w:p>
    <w:p>
      <w:pPr>
        <w:spacing w:after="0" w:line="80"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2013 has been audited by Grant Thornton LLP, an independent registered public accounting firm, as stated in their report which appears herein.</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c>
          <w:tcPr>
            <w:tcW w:w="2180" w:type="dxa"/>
            <w:vAlign w:val="bottom"/>
          </w:tcPr>
          <w:p>
            <w:pPr>
              <w:spacing w:after="0"/>
              <w:rPr>
                <w:sz w:val="16"/>
                <w:szCs w:val="16"/>
                <w:color w:val="auto"/>
              </w:rPr>
            </w:pPr>
          </w:p>
        </w:tc>
      </w:tr>
      <w:tr>
        <w:trPr>
          <w:trHeight w:val="169"/>
        </w:trPr>
        <w:tc>
          <w:tcPr>
            <w:tcW w:w="7620" w:type="dxa"/>
            <w:vAlign w:val="bottom"/>
            <w:gridSpan w:val="14"/>
            <w:shd w:val="clear" w:color="auto" w:fill="CCFFCC"/>
          </w:tcPr>
          <w:p>
            <w:pPr>
              <w:ind w:left="20"/>
              <w:spacing w:after="0" w:line="170" w:lineRule="exact"/>
              <w:rPr>
                <w:sz w:val="20"/>
                <w:szCs w:val="20"/>
                <w:color w:val="auto"/>
              </w:rPr>
            </w:pPr>
            <w:r>
              <w:rPr>
                <w:rFonts w:ascii="Arial" w:cs="Arial" w:eastAsia="Arial" w:hAnsi="Arial"/>
                <w:sz w:val="18"/>
                <w:szCs w:val="18"/>
                <w:color w:val="0000EE"/>
              </w:rPr>
              <w:t>Report of Independent Registered Public Accounting Firm</w:t>
            </w:r>
          </w:p>
        </w:tc>
        <w:tc>
          <w:tcPr>
            <w:tcW w:w="480" w:type="dxa"/>
            <w:vAlign w:val="bottom"/>
            <w:gridSpan w:val="2"/>
            <w:shd w:val="clear" w:color="auto" w:fill="CCFFCC"/>
          </w:tcPr>
          <w:p>
            <w:pPr>
              <w:jc w:val="right"/>
              <w:spacing w:after="0" w:line="170" w:lineRule="exact"/>
              <w:rPr>
                <w:sz w:val="20"/>
                <w:szCs w:val="20"/>
                <w:color w:val="auto"/>
              </w:rPr>
            </w:pPr>
            <w:r>
              <w:rPr>
                <w:rFonts w:ascii="Arial" w:cs="Arial" w:eastAsia="Arial" w:hAnsi="Arial"/>
                <w:sz w:val="18"/>
                <w:szCs w:val="18"/>
                <w:color w:val="0000EE"/>
              </w:rPr>
              <w:t>62</w:t>
            </w:r>
          </w:p>
        </w:tc>
        <w:tc>
          <w:tcPr>
            <w:tcW w:w="120" w:type="dxa"/>
            <w:vAlign w:val="bottom"/>
            <w:shd w:val="clear" w:color="auto" w:fill="CCFFCC"/>
          </w:tcPr>
          <w:p>
            <w:pPr>
              <w:spacing w:after="0"/>
              <w:rPr>
                <w:sz w:val="14"/>
                <w:szCs w:val="14"/>
                <w:color w:val="auto"/>
              </w:rPr>
            </w:pPr>
          </w:p>
        </w:tc>
        <w:tc>
          <w:tcPr>
            <w:tcW w:w="2180" w:type="dxa"/>
            <w:vAlign w:val="bottom"/>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tcPr>
          <w:p>
            <w:pPr>
              <w:ind w:left="20"/>
              <w:spacing w:after="0" w:line="17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Consolidated Statements of Assets and Liabilities as of December 31, 2013 and December 31, 2012</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shd w:val="clear" w:color="auto" w:fill="CCFFCC"/>
          </w:tcPr>
          <w:p>
            <w:pPr>
              <w:ind w:left="20"/>
              <w:spacing w:after="0" w:line="17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Consolidated Statements of Operations for the years ended December 31, 2013, December 31, 2012</w:t>
              </w:r>
            </w:hyperlink>
          </w:p>
        </w:tc>
        <w:tc>
          <w:tcPr>
            <w:tcW w:w="480" w:type="dxa"/>
            <w:vAlign w:val="bottom"/>
            <w:gridSpan w:val="2"/>
            <w:shd w:val="clear" w:color="auto" w:fill="CCFFCC"/>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120" w:type="dxa"/>
            <w:vAlign w:val="bottom"/>
            <w:shd w:val="clear" w:color="auto" w:fill="CCFFCC"/>
          </w:tcPr>
          <w:p>
            <w:pPr>
              <w:spacing w:after="0"/>
              <w:rPr>
                <w:sz w:val="15"/>
                <w:szCs w:val="15"/>
                <w:color w:val="auto"/>
              </w:rPr>
            </w:pPr>
          </w:p>
        </w:tc>
        <w:tc>
          <w:tcPr>
            <w:tcW w:w="2180" w:type="dxa"/>
            <w:vAlign w:val="bottom"/>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7200" w:type="dxa"/>
            <w:vAlign w:val="bottom"/>
            <w:tcBorders>
              <w:top w:val="single" w:sz="8" w:color="0000EE"/>
            </w:tcBorders>
            <w:gridSpan w:val="11"/>
            <w:shd w:val="clear" w:color="auto" w:fill="CCFFCC"/>
          </w:tcPr>
          <w:p>
            <w:pPr>
              <w:ind w:left="18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and the period from January 6, 2011 (date of inception) to December 31, 2011</w:t>
              </w:r>
            </w:hyperlink>
          </w:p>
        </w:tc>
        <w:tc>
          <w:tcPr>
            <w:tcW w:w="400" w:type="dxa"/>
            <w:vAlign w:val="bottom"/>
            <w:tcBorders>
              <w:top w:val="single" w:sz="8" w:color="CCFFCC"/>
            </w:tcBorders>
            <w:gridSpan w:val="2"/>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2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tcPr>
          <w:p>
            <w:pPr>
              <w:ind w:left="20"/>
              <w:spacing w:after="0" w:line="17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Consolidated Statements of Changes in Net Assets for the year December 31, 2013, December 31,</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2012 and the period from January 6, 2011 (date of inception) to December 31, 2011</w:t>
              </w:r>
            </w:hyperlink>
          </w:p>
        </w:tc>
        <w:tc>
          <w:tcPr>
            <w:tcW w:w="52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shd w:val="clear" w:color="auto" w:fill="CCFFCC"/>
          </w:tcPr>
          <w:p>
            <w:pPr>
              <w:ind w:left="20"/>
              <w:spacing w:after="0" w:line="17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Consolidated Statements of Cash Flows for the year December 31, 2013, December 31, 2012 and the</w:t>
              </w:r>
            </w:hyperlink>
          </w:p>
        </w:tc>
        <w:tc>
          <w:tcPr>
            <w:tcW w:w="480" w:type="dxa"/>
            <w:vAlign w:val="bottom"/>
            <w:gridSpan w:val="2"/>
            <w:shd w:val="clear" w:color="auto" w:fill="CCFFCC"/>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120" w:type="dxa"/>
            <w:vAlign w:val="bottom"/>
            <w:shd w:val="clear" w:color="auto" w:fill="CCFFCC"/>
          </w:tcPr>
          <w:p>
            <w:pPr>
              <w:spacing w:after="0"/>
              <w:rPr>
                <w:sz w:val="15"/>
                <w:szCs w:val="15"/>
                <w:color w:val="auto"/>
              </w:rPr>
            </w:pPr>
          </w:p>
        </w:tc>
        <w:tc>
          <w:tcPr>
            <w:tcW w:w="2180" w:type="dxa"/>
            <w:vAlign w:val="bottom"/>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7280" w:type="dxa"/>
            <w:vAlign w:val="bottom"/>
            <w:tcBorders>
              <w:top w:val="single" w:sz="8" w:color="0000EE"/>
            </w:tcBorders>
            <w:gridSpan w:val="12"/>
            <w:shd w:val="clear" w:color="auto" w:fill="CCFFCC"/>
          </w:tcPr>
          <w:p>
            <w:pPr>
              <w:ind w:left="18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period from January 6, 2011 (date of inception) to December 31, 2011</w:t>
              </w:r>
            </w:hyperlink>
          </w:p>
        </w:tc>
        <w:tc>
          <w:tcPr>
            <w:tcW w:w="32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2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tcPr>
          <w:p>
            <w:pPr>
              <w:ind w:left="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Schedule of Investments as of December 31, 2013</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shd w:val="clear" w:color="auto" w:fill="CCFFCC"/>
          </w:tcPr>
          <w:p>
            <w:pPr>
              <w:ind w:left="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Schedule of Investments as of December 31, 2012</w:t>
              </w:r>
            </w:hyperlink>
          </w:p>
        </w:tc>
        <w:tc>
          <w:tcPr>
            <w:tcW w:w="480" w:type="dxa"/>
            <w:vAlign w:val="bottom"/>
            <w:gridSpan w:val="2"/>
            <w:shd w:val="clear" w:color="auto" w:fill="CCFFCC"/>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c>
          <w:tcPr>
            <w:tcW w:w="120" w:type="dxa"/>
            <w:vAlign w:val="bottom"/>
            <w:shd w:val="clear" w:color="auto" w:fill="CCFFCC"/>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20" w:type="dxa"/>
            <w:vAlign w:val="bottom"/>
            <w:gridSpan w:val="14"/>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Notes to the Consolidated Financial Statements</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790"/>
        </w:trPr>
        <w:tc>
          <w:tcPr>
            <w:tcW w:w="20" w:type="dxa"/>
            <w:vAlign w:val="bottom"/>
          </w:tcPr>
          <w:p>
            <w:pPr>
              <w:spacing w:after="0"/>
              <w:rPr>
                <w:sz w:val="24"/>
                <w:szCs w:val="24"/>
                <w:color w:val="auto"/>
              </w:rPr>
            </w:pPr>
          </w:p>
        </w:tc>
        <w:tc>
          <w:tcPr>
            <w:tcW w:w="3400" w:type="dxa"/>
            <w:vAlign w:val="bottom"/>
            <w:tcBorders>
              <w:top w:val="single" w:sz="8" w:color="0000EE"/>
            </w:tcBorders>
            <w:gridSpan w:val="3"/>
          </w:tcPr>
          <w:p>
            <w:pPr>
              <w:spacing w:after="0"/>
              <w:rPr>
                <w:sz w:val="24"/>
                <w:szCs w:val="24"/>
                <w:color w:val="auto"/>
              </w:rPr>
            </w:pP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103" w:lineRule="exact"/>
        <w:rPr>
          <w:sz w:val="20"/>
          <w:szCs w:val="20"/>
          <w:color w:val="auto"/>
        </w:rPr>
      </w:pPr>
    </w:p>
    <w:p>
      <w:pPr>
        <w:jc w:val="both"/>
        <w:ind w:left="40" w:right="519"/>
        <w:spacing w:after="0" w:line="297" w:lineRule="auto"/>
        <w:rPr>
          <w:sz w:val="20"/>
          <w:szCs w:val="20"/>
          <w:color w:val="auto"/>
        </w:rPr>
      </w:pPr>
      <w:r>
        <w:rPr>
          <w:rFonts w:ascii="Arial" w:cs="Arial" w:eastAsia="Arial" w:hAnsi="Arial"/>
          <w:sz w:val="16"/>
          <w:szCs w:val="16"/>
          <w:color w:val="auto"/>
        </w:rPr>
        <w:t>We have audited the accompanying consolidated statements of assets and liabilities of GSV Capital Corp. and subsidiaries (the “Company”), including the consolidated schedules of investments, as of December 31, 2013 and 2012, and the related consolidated statements of operations, changes in net assets, and cash flows for the years ended December 31, 2013 and 2012 and for the period from January 6, 2011 (date of inception) to December 31, 2011.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verification by confirmation of securities as of December 31, 2013 and 2012, by correspondence with the portfolio companies and custodian, or by other appropriate auditing procedures where replies were not received. We believe that our audits provide a reasonable basis for our opinion.</w:t>
      </w:r>
    </w:p>
    <w:p>
      <w:pPr>
        <w:spacing w:after="0" w:line="84" w:lineRule="exact"/>
        <w:rPr>
          <w:sz w:val="20"/>
          <w:szCs w:val="20"/>
          <w:color w:val="auto"/>
        </w:rPr>
      </w:pPr>
    </w:p>
    <w:p>
      <w:pPr>
        <w:jc w:val="both"/>
        <w:ind w:left="40" w:right="519"/>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GSV Capital Corp. and subsidiaries as of December 31, 2013 and 2012, and the results of their operations, their changes in net assets, and their cash flows for the years ended December 31, 2013 and 2012 and for the period from January 6, 2011 (date of inception) to December 31, 2011, in conformity with accounting principles generally accepted in the United States of America.</w:t>
      </w:r>
    </w:p>
    <w:p>
      <w:pPr>
        <w:spacing w:after="0" w:line="46"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2013, based on criteria established in the 1992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(COSO),</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report dated March 17, 2014 expressed an unqualified opinion thereon.</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17, 2014</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X62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968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r>
      <w:tr>
        <w:trPr>
          <w:trHeight w:val="210"/>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shd w:val="clear" w:color="auto" w:fill="CCFFCC"/>
          </w:tcPr>
          <w:p>
            <w:pPr>
              <w:spacing w:after="0"/>
              <w:rPr>
                <w:sz w:val="17"/>
                <w:szCs w:val="17"/>
                <w:color w:val="auto"/>
              </w:rPr>
            </w:pPr>
          </w:p>
        </w:tc>
        <w:tc>
          <w:tcPr>
            <w:tcW w:w="586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w w:val="97"/>
              </w:rPr>
              <w:t>Investments in affiliated securities (cost of $64,912,527 and $38,210,753,</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97"/>
              </w:rPr>
              <w:t>62,740,162</w:t>
            </w:r>
          </w:p>
        </w:tc>
        <w:tc>
          <w:tcPr>
            <w:tcW w:w="24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97"/>
              </w:rPr>
              <w:t>34,648,363</w:t>
            </w:r>
          </w:p>
        </w:tc>
      </w:tr>
      <w:tr>
        <w:trPr>
          <w:trHeight w:val="230"/>
        </w:trPr>
        <w:tc>
          <w:tcPr>
            <w:tcW w:w="20" w:type="dxa"/>
            <w:vAlign w:val="bottom"/>
            <w:shd w:val="clear" w:color="auto" w:fill="CCFFCC"/>
          </w:tcPr>
          <w:p>
            <w:pPr>
              <w:spacing w:after="0"/>
              <w:rPr>
                <w:sz w:val="20"/>
                <w:szCs w:val="20"/>
                <w:color w:val="auto"/>
              </w:rPr>
            </w:pPr>
          </w:p>
        </w:tc>
        <w:tc>
          <w:tcPr>
            <w:tcW w:w="586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Investments in non-control/non-affiliated securities (cost of $214,796,591</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7"/>
              </w:rPr>
              <w:t>292,643,491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7"/>
              </w:rPr>
              <w:t>190,748,722</w:t>
            </w:r>
          </w:p>
        </w:tc>
      </w:tr>
      <w:tr>
        <w:trPr>
          <w:trHeight w:val="230"/>
        </w:trPr>
        <w:tc>
          <w:tcPr>
            <w:tcW w:w="20" w:type="dxa"/>
            <w:vAlign w:val="bottom"/>
          </w:tcPr>
          <w:p>
            <w:pPr>
              <w:spacing w:after="0"/>
              <w:rPr>
                <w:sz w:val="20"/>
                <w:szCs w:val="20"/>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and $198,936,982, respectively)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shd w:val="clear" w:color="auto" w:fill="CCFFCC"/>
          </w:tcPr>
          <w:p>
            <w:pPr>
              <w:spacing w:after="0"/>
              <w:rPr>
                <w:sz w:val="18"/>
                <w:szCs w:val="18"/>
                <w:color w:val="auto"/>
              </w:rPr>
            </w:pPr>
          </w:p>
        </w:tc>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4"/>
              </w:rPr>
              <w:t>Investments owned and pledged (cost of $10,845,236 and $0, respectively)</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10,865,200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8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Investments in money market funds (cost of $0 and $16,000,000,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7"/>
              </w:rPr>
              <w:t>16,000,000</w:t>
            </w:r>
          </w:p>
        </w:tc>
      </w:tr>
      <w:tr>
        <w:trPr>
          <w:trHeight w:val="230"/>
        </w:trPr>
        <w:tc>
          <w:tcPr>
            <w:tcW w:w="20" w:type="dxa"/>
            <w:vAlign w:val="bottom"/>
          </w:tcPr>
          <w:p>
            <w:pPr>
              <w:spacing w:after="0"/>
              <w:rPr>
                <w:sz w:val="20"/>
                <w:szCs w:val="20"/>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shd w:val="clear" w:color="auto" w:fill="CCFFCC"/>
          </w:tcPr>
          <w:p>
            <w:pPr>
              <w:spacing w:after="0"/>
              <w:rPr>
                <w:sz w:val="18"/>
                <w:szCs w:val="18"/>
                <w:color w:val="auto"/>
              </w:rPr>
            </w:pPr>
          </w:p>
        </w:tc>
        <w:tc>
          <w:tcPr>
            <w:tcW w:w="586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w w:val="94"/>
              </w:rPr>
              <w:t>Total Investments (cost of $290,554,354 and $253,147,735, respectively)</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366,248,853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241,397,085</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7,219,203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11,318,525</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22,264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shd w:val="clear" w:color="auto" w:fill="CCFFCC"/>
          </w:tcPr>
          <w:p>
            <w:pPr>
              <w:spacing w:after="0"/>
              <w:rPr>
                <w:sz w:val="22"/>
                <w:szCs w:val="22"/>
                <w:color w:val="auto"/>
              </w:rPr>
            </w:pPr>
          </w:p>
        </w:tc>
        <w:tc>
          <w:tcPr>
            <w:tcW w:w="5860" w:type="dxa"/>
            <w:vAlign w:val="bottom"/>
            <w:gridSpan w:val="2"/>
            <w:shd w:val="clear" w:color="auto" w:fill="CCFFCC"/>
          </w:tcPr>
          <w:p>
            <w:pPr>
              <w:ind w:left="18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3,039</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5,723</w:t>
            </w:r>
          </w:p>
        </w:tc>
      </w:tr>
      <w:tr>
        <w:trPr>
          <w:trHeight w:val="257"/>
        </w:trPr>
        <w:tc>
          <w:tcPr>
            <w:tcW w:w="20" w:type="dxa"/>
            <w:vAlign w:val="bottom"/>
          </w:tcPr>
          <w:p>
            <w:pPr>
              <w:spacing w:after="0"/>
              <w:rPr>
                <w:sz w:val="22"/>
                <w:szCs w:val="22"/>
                <w:color w:val="auto"/>
              </w:rPr>
            </w:pPr>
          </w:p>
        </w:tc>
        <w:tc>
          <w:tcPr>
            <w:tcW w:w="58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153,178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316,377</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63,953</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Coupon interest receivable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Dividend receivable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credit facility fees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288,249</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Deferred debt issuance costs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3,378,121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184,710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18"/>
                <w:szCs w:val="18"/>
                <w:color w:val="auto"/>
              </w:rPr>
            </w:pPr>
          </w:p>
        </w:tc>
      </w:tr>
      <w:tr>
        <w:trPr>
          <w:trHeight w:val="210"/>
        </w:trPr>
        <w:tc>
          <w:tcPr>
            <w:tcW w:w="20" w:type="dxa"/>
            <w:vAlign w:val="bottom"/>
            <w:shd w:val="clear" w:color="auto" w:fill="CCFFCC"/>
          </w:tcPr>
          <w:p>
            <w:pPr>
              <w:spacing w:after="0"/>
              <w:rPr>
                <w:sz w:val="18"/>
                <w:szCs w:val="18"/>
                <w:color w:val="auto"/>
              </w:rPr>
            </w:pPr>
          </w:p>
        </w:tc>
        <w:tc>
          <w:tcPr>
            <w:tcW w:w="586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377,947,558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253,130,728</w:t>
            </w:r>
          </w:p>
        </w:tc>
      </w:tr>
      <w:tr>
        <w:trPr>
          <w:trHeight w:val="210"/>
        </w:trPr>
        <w:tc>
          <w:tcPr>
            <w:tcW w:w="588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GSV Asset Management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563,978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51,194</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382,165</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496,733</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Accrued incentive fees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10,523,552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1,056,563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Net deferred tax liability</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8,320,561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Convertible senior notes embedded derivative liability</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799,000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payable 5.25% due September 15, 2018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68,335,295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20" w:type="dxa"/>
            <w:vAlign w:val="bottom"/>
            <w:shd w:val="clear" w:color="auto" w:fill="CCFFCC"/>
          </w:tcPr>
          <w:p>
            <w:pPr>
              <w:spacing w:after="0"/>
              <w:rPr>
                <w:sz w:val="18"/>
                <w:szCs w:val="18"/>
                <w:color w:val="auto"/>
              </w:rPr>
            </w:pPr>
          </w:p>
        </w:tc>
        <w:tc>
          <w:tcPr>
            <w:tcW w:w="586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89,981,114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547,927</w:t>
            </w:r>
          </w:p>
        </w:tc>
      </w:tr>
      <w:tr>
        <w:trPr>
          <w:trHeight w:val="210"/>
        </w:trPr>
        <w:tc>
          <w:tcPr>
            <w:tcW w:w="588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287,966,444</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252,582,801</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1"/>
              </w:rPr>
              <w:t>Common stock, par value $0.01 per share (100,000,000 authorized; 19,320,100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193,201</w:t>
            </w:r>
          </w:p>
        </w:tc>
        <w:tc>
          <w:tcPr>
            <w:tcW w:w="24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193,201</w:t>
            </w:r>
          </w:p>
        </w:tc>
      </w:tr>
      <w:tr>
        <w:trPr>
          <w:trHeight w:val="230"/>
        </w:trPr>
        <w:tc>
          <w:tcPr>
            <w:tcW w:w="20" w:type="dxa"/>
            <w:vAlign w:val="bottom"/>
            <w:shd w:val="clear" w:color="auto" w:fill="CCFFCC"/>
          </w:tcPr>
          <w:p>
            <w:pPr>
              <w:spacing w:after="0"/>
              <w:rPr>
                <w:sz w:val="20"/>
                <w:szCs w:val="20"/>
                <w:color w:val="auto"/>
              </w:rPr>
            </w:pPr>
          </w:p>
        </w:tc>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275,837,514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275,837,514</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(19,192,401)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(10,316,745)</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(13,660,306)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(1,380,519)</w:t>
            </w:r>
          </w:p>
        </w:tc>
      </w:tr>
      <w:tr>
        <w:trPr>
          <w:trHeight w:val="216"/>
        </w:trPr>
        <w:tc>
          <w:tcPr>
            <w:tcW w:w="58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net unrealized appreciation (depreciation) on investments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44,788,436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(11,750,650)</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8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287,966,444</w:t>
            </w: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252,582,801</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586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14.91</w:t>
            </w:r>
          </w:p>
        </w:tc>
        <w:tc>
          <w:tcPr>
            <w:tcW w:w="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488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-3163570</wp:posOffset>
            </wp:positionV>
            <wp:extent cx="52139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This balance is a related party transaction. Refer to Note 2 for more detail.</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the period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from January 6,</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2011 (date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4"/>
                <w:szCs w:val="14"/>
                <w:color w:val="auto"/>
              </w:rPr>
            </w:pPr>
          </w:p>
        </w:tc>
      </w:tr>
      <w:tr>
        <w:trPr>
          <w:trHeight w:val="210"/>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Interest income from affiliated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23,615</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income from non-control/non-affiliated securities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200,195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158,389</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Dividend income from affiliated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3,939</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Dividend income from non-control/non-affiliated securities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6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248,077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162,328</w:t>
            </w:r>
          </w:p>
        </w:tc>
      </w:tr>
      <w:tr>
        <w:trPr>
          <w:trHeight w:val="210"/>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5,426,485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4,419,345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618,865</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10,523,552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3,089,771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2,384,764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554,232</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260,250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237,500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127,500</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959,604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409,983</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1,278,997</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214,306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142,494</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198,809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182,193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89,250</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Organization expenses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198,831</w:t>
            </w:r>
          </w:p>
        </w:tc>
      </w:tr>
      <w:tr>
        <w:trPr>
          <w:trHeight w:val="216"/>
        </w:trPr>
        <w:tc>
          <w:tcPr>
            <w:tcW w:w="46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89,517</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133,246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55,037</w:t>
            </w: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Loss on fair value adjustment for embedded derivative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4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22,083,875</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8,530,958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4"/>
              </w:rPr>
              <w:t>2,196,192</w:t>
            </w: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13,159,268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462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(8,875,656)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(8,282,881)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9"/>
              </w:rPr>
              <w:t>(2,033,864)</w:t>
            </w: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Realized Loss on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(21,706,021)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(1,380,519)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462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Benefit for taxes on net realized capital losses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9,426,234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6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w w:val="96"/>
              </w:rPr>
              <w:t>Net Change in Unrealized Appreciation (Depreciation)</w:t>
            </w:r>
          </w:p>
        </w:tc>
        <w:tc>
          <w:tcPr>
            <w:tcW w:w="1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Arial" w:cs="Arial" w:eastAsia="Arial" w:hAnsi="Arial"/>
                <w:sz w:val="18"/>
                <w:szCs w:val="18"/>
                <w:color w:val="auto"/>
                <w:w w:val="95"/>
              </w:rPr>
              <w:t>87,445,149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w w:val="88"/>
              </w:rPr>
              <w:t>(10,170,850)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line="191" w:lineRule="exact"/>
              <w:rPr>
                <w:sz w:val="20"/>
                <w:szCs w:val="20"/>
                <w:color w:val="auto"/>
              </w:rPr>
            </w:pPr>
            <w:r>
              <w:rPr>
                <w:rFonts w:ascii="Arial" w:cs="Arial" w:eastAsia="Arial" w:hAnsi="Arial"/>
                <w:sz w:val="18"/>
                <w:szCs w:val="18"/>
                <w:color w:val="auto"/>
                <w:w w:val="89"/>
              </w:rPr>
              <w:t>(1,579,800)</w:t>
            </w:r>
          </w:p>
        </w:tc>
      </w:tr>
      <w:tr>
        <w:trPr>
          <w:trHeight w:val="234"/>
        </w:trPr>
        <w:tc>
          <w:tcPr>
            <w:tcW w:w="20" w:type="dxa"/>
            <w:vAlign w:val="bottom"/>
          </w:tcPr>
          <w:p>
            <w:pPr>
              <w:spacing w:after="0"/>
              <w:rPr>
                <w:sz w:val="20"/>
                <w:szCs w:val="20"/>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on Investments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0" w:type="dxa"/>
            <w:vAlign w:val="bottom"/>
            <w:shd w:val="clear" w:color="auto" w:fill="CCFFCC"/>
          </w:tcPr>
          <w:p>
            <w:pPr>
              <w:spacing w:after="0"/>
              <w:rPr>
                <w:sz w:val="16"/>
                <w:szCs w:val="16"/>
                <w:color w:val="auto"/>
              </w:rPr>
            </w:pPr>
          </w:p>
        </w:tc>
        <w:tc>
          <w:tcPr>
            <w:tcW w:w="4620" w:type="dxa"/>
            <w:vAlign w:val="bottom"/>
            <w:gridSpan w:val="2"/>
            <w:shd w:val="clear" w:color="auto" w:fill="CCFFCC"/>
          </w:tcPr>
          <w:p>
            <w:pPr>
              <w:ind w:left="180"/>
              <w:spacing w:after="0" w:line="191" w:lineRule="exact"/>
              <w:rPr>
                <w:sz w:val="20"/>
                <w:szCs w:val="20"/>
                <w:color w:val="auto"/>
              </w:rPr>
            </w:pPr>
            <w:r>
              <w:rPr>
                <w:rFonts w:ascii="Arial" w:cs="Arial" w:eastAsia="Arial" w:hAnsi="Arial"/>
                <w:sz w:val="18"/>
                <w:szCs w:val="18"/>
                <w:b w:val="1"/>
                <w:bCs w:val="1"/>
                <w:color w:val="auto"/>
              </w:rPr>
              <w:t>Provision for taxes on unrealized appreciation of</w:t>
            </w:r>
          </w:p>
        </w:tc>
        <w:tc>
          <w:tcPr>
            <w:tcW w:w="1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w w:val="90"/>
              </w:rPr>
              <w:t>(30,906,063)</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220"/>
              <w:spacing w:after="0" w:line="191" w:lineRule="exact"/>
              <w:rPr>
                <w:sz w:val="20"/>
                <w:szCs w:val="20"/>
                <w:color w:val="auto"/>
              </w:rPr>
            </w:pPr>
            <w:r>
              <w:rPr>
                <w:rFonts w:ascii="Arial" w:cs="Arial" w:eastAsia="Arial" w:hAnsi="Arial"/>
                <w:sz w:val="18"/>
                <w:szCs w:val="18"/>
                <w:color w:val="auto"/>
              </w:rPr>
              <w:t>—</w:t>
            </w: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4620" w:type="dxa"/>
            <w:vAlign w:val="bottom"/>
            <w:tcBorders>
              <w:bottom w:val="single" w:sz="8" w:color="CCFFCC"/>
            </w:tcBorders>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w w:val="96"/>
              </w:rPr>
              <w:t>Net Increase (Decrease) in Net Assets Resulting From</w:t>
            </w: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1" w:lineRule="exact"/>
              <w:rPr>
                <w:sz w:val="20"/>
                <w:szCs w:val="20"/>
                <w:color w:val="auto"/>
              </w:rPr>
            </w:pPr>
            <w:r>
              <w:rPr>
                <w:rFonts w:ascii="Arial" w:cs="Arial" w:eastAsia="Arial" w:hAnsi="Arial"/>
                <w:sz w:val="18"/>
                <w:szCs w:val="18"/>
                <w:color w:val="auto"/>
                <w:w w:val="95"/>
              </w:rPr>
              <w:t>35,383,643</w:t>
            </w: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w w:val="88"/>
              </w:rPr>
              <w:t>(19,834,250)</w:t>
            </w:r>
          </w:p>
        </w:tc>
        <w:tc>
          <w:tcPr>
            <w:tcW w:w="26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91" w:lineRule="exact"/>
              <w:rPr>
                <w:sz w:val="20"/>
                <w:szCs w:val="20"/>
                <w:color w:val="auto"/>
              </w:rPr>
            </w:pPr>
            <w:r>
              <w:rPr>
                <w:rFonts w:ascii="Arial" w:cs="Arial" w:eastAsia="Arial" w:hAnsi="Arial"/>
                <w:sz w:val="18"/>
                <w:szCs w:val="18"/>
                <w:color w:val="auto"/>
                <w:w w:val="89"/>
              </w:rPr>
              <w:t>(3,613,664)</w:t>
            </w:r>
          </w:p>
        </w:tc>
      </w:tr>
      <w:tr>
        <w:trPr>
          <w:trHeight w:val="234"/>
        </w:trPr>
        <w:tc>
          <w:tcPr>
            <w:tcW w:w="20" w:type="dxa"/>
            <w:vAlign w:val="bottom"/>
          </w:tcPr>
          <w:p>
            <w:pPr>
              <w:spacing w:after="0"/>
              <w:rPr>
                <w:sz w:val="20"/>
                <w:szCs w:val="20"/>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1"/>
        </w:trPr>
        <w:tc>
          <w:tcPr>
            <w:tcW w:w="20" w:type="dxa"/>
            <w:vAlign w:val="bottom"/>
            <w:shd w:val="clear" w:color="auto" w:fill="CCFFCC"/>
          </w:tcPr>
          <w:p>
            <w:pPr>
              <w:spacing w:after="0"/>
              <w:rPr>
                <w:sz w:val="16"/>
                <w:szCs w:val="16"/>
                <w:color w:val="auto"/>
              </w:rPr>
            </w:pPr>
          </w:p>
        </w:tc>
        <w:tc>
          <w:tcPr>
            <w:tcW w:w="4620" w:type="dxa"/>
            <w:vAlign w:val="bottom"/>
            <w:gridSpan w:val="2"/>
            <w:shd w:val="clear" w:color="auto" w:fill="CCFFCC"/>
          </w:tcPr>
          <w:p>
            <w:pPr>
              <w:ind w:left="180"/>
              <w:spacing w:after="0" w:line="191" w:lineRule="exact"/>
              <w:rPr>
                <w:sz w:val="20"/>
                <w:szCs w:val="20"/>
                <w:color w:val="auto"/>
              </w:rPr>
            </w:pPr>
            <w:r>
              <w:rPr>
                <w:rFonts w:ascii="Arial" w:cs="Arial" w:eastAsia="Arial" w:hAnsi="Arial"/>
                <w:sz w:val="18"/>
                <w:szCs w:val="18"/>
                <w:b w:val="1"/>
                <w:bCs w:val="1"/>
                <w:color w:val="auto"/>
                <w:w w:val="96"/>
              </w:rPr>
              <w:t>Net Increase (Decrease) in Net Assets Resulting From</w:t>
            </w: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r>
      <w:tr>
        <w:trPr>
          <w:trHeight w:val="234"/>
        </w:trPr>
        <w:tc>
          <w:tcPr>
            <w:tcW w:w="20" w:type="dxa"/>
            <w:vAlign w:val="bottom"/>
            <w:shd w:val="clear" w:color="auto" w:fill="CCFFCC"/>
          </w:tcPr>
          <w:p>
            <w:pPr>
              <w:spacing w:after="0"/>
              <w:rPr>
                <w:sz w:val="20"/>
                <w:szCs w:val="20"/>
                <w:color w:val="auto"/>
              </w:rPr>
            </w:pPr>
          </w:p>
        </w:tc>
        <w:tc>
          <w:tcPr>
            <w:tcW w:w="462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Operations Per Common Share:</w:t>
            </w: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462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r>
      <w:tr>
        <w:trPr>
          <w:trHeight w:val="210"/>
        </w:trPr>
        <w:tc>
          <w:tcPr>
            <w:tcW w:w="20" w:type="dxa"/>
            <w:vAlign w:val="bottom"/>
            <w:tcBorders>
              <w:top w:val="single" w:sz="8" w:color="CCFFCC"/>
            </w:tcBorders>
          </w:tcPr>
          <w:p>
            <w:pPr>
              <w:spacing w:after="0"/>
              <w:rPr>
                <w:sz w:val="18"/>
                <w:szCs w:val="18"/>
                <w:color w:val="auto"/>
              </w:rPr>
            </w:pPr>
          </w:p>
        </w:tc>
        <w:tc>
          <w:tcPr>
            <w:tcW w:w="4620" w:type="dxa"/>
            <w:vAlign w:val="bottom"/>
            <w:tcBorders>
              <w:top w:val="single" w:sz="8" w:color="CCFFCC"/>
            </w:tcBorders>
            <w:gridSpan w:val="2"/>
          </w:tcPr>
          <w:p>
            <w:pPr>
              <w:ind w:left="180"/>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r>
      <w:tr>
        <w:trPr>
          <w:trHeight w:val="277"/>
        </w:trPr>
        <w:tc>
          <w:tcPr>
            <w:tcW w:w="20" w:type="dxa"/>
            <w:vAlign w:val="bottom"/>
            <w:shd w:val="clear" w:color="auto" w:fill="CCFFCC"/>
          </w:tcPr>
          <w:p>
            <w:pPr>
              <w:spacing w:after="0"/>
              <w:rPr>
                <w:sz w:val="24"/>
                <w:szCs w:val="24"/>
                <w:color w:val="auto"/>
              </w:rPr>
            </w:pPr>
          </w:p>
        </w:tc>
        <w:tc>
          <w:tcPr>
            <w:tcW w:w="462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FFCC"/>
          </w:tcPr>
          <w:p>
            <w:pPr>
              <w:spacing w:after="0"/>
              <w:rPr>
                <w:sz w:val="24"/>
                <w:szCs w:val="2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19,320,100</w:t>
            </w:r>
          </w:p>
        </w:tc>
        <w:tc>
          <w:tcPr>
            <w:tcW w:w="10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3"/>
              </w:rPr>
              <w:t>16,096,330</w:t>
            </w:r>
          </w:p>
        </w:tc>
        <w:tc>
          <w:tcPr>
            <w:tcW w:w="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0" w:type="dxa"/>
            <w:vAlign w:val="bottom"/>
            <w:gridSpan w:val="2"/>
            <w:shd w:val="clear" w:color="auto" w:fill="CCFFCC"/>
          </w:tcPr>
          <w:p>
            <w:pPr>
              <w:jc w:val="right"/>
              <w:ind w:right="40"/>
              <w:spacing w:after="0" w:line="256" w:lineRule="exact"/>
              <w:rPr>
                <w:sz w:val="20"/>
                <w:szCs w:val="20"/>
                <w:color w:val="auto"/>
              </w:rPr>
            </w:pPr>
            <w:r>
              <w:rPr>
                <w:rFonts w:ascii="Arial" w:cs="Arial" w:eastAsia="Arial" w:hAnsi="Arial"/>
                <w:sz w:val="18"/>
                <w:szCs w:val="18"/>
                <w:color w:val="auto"/>
                <w:w w:val="90"/>
              </w:rPr>
              <w:t>3,377,429</w:t>
            </w:r>
            <w:r>
              <w:rPr>
                <w:rFonts w:ascii="Arial" w:cs="Arial" w:eastAsia="Arial" w:hAnsi="Arial"/>
                <w:sz w:val="29"/>
                <w:szCs w:val="29"/>
                <w:color w:val="auto"/>
                <w:w w:val="90"/>
                <w:vertAlign w:val="superscript"/>
              </w:rPr>
              <w:t>(1)</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20,541,014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16,096,330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3,377,429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-4699000</wp:posOffset>
            </wp:positionV>
            <wp:extent cx="521398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-2186305</wp:posOffset>
            </wp:positionV>
            <wp:extent cx="5213985"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-1620520</wp:posOffset>
            </wp:positionV>
            <wp:extent cx="5213985"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-719455</wp:posOffset>
            </wp:positionV>
            <wp:extent cx="521398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December 31, 2011 was calculated from the issuance of 100 shares on February 28, 2011.</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For the period</w:t>
            </w: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from January 6,</w:t>
            </w: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2011 (date of</w:t>
            </w: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inception) to</w:t>
            </w: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4"/>
                <w:szCs w:val="14"/>
                <w:color w:val="auto"/>
              </w:rPr>
            </w:pPr>
          </w:p>
        </w:tc>
      </w:tr>
      <w:tr>
        <w:trPr>
          <w:trHeight w:val="191"/>
        </w:trPr>
        <w:tc>
          <w:tcPr>
            <w:tcW w:w="462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Increase (Decrease) in Net Assets Resulting From</w:t>
            </w:r>
          </w:p>
        </w:tc>
        <w:tc>
          <w:tcPr>
            <w:tcW w:w="1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34"/>
        </w:trPr>
        <w:tc>
          <w:tcPr>
            <w:tcW w:w="46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(8,875,656)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(8,282,881)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(2,033,864)</w:t>
            </w:r>
          </w:p>
        </w:tc>
      </w:tr>
      <w:tr>
        <w:trPr>
          <w:trHeight w:val="216"/>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4"/>
              </w:rPr>
              <w:t>(21,706,021)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(1,380,519)</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Benefit for taxes on net realized capital losses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9,426,234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6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9"/>
              </w:rPr>
              <w:t>87,445,149</w:t>
            </w:r>
          </w:p>
        </w:tc>
        <w:tc>
          <w:tcPr>
            <w:tcW w:w="120" w:type="dxa"/>
            <w:vAlign w:val="bottom"/>
            <w:tcBorders>
              <w:lef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w w:val="92"/>
              </w:rPr>
              <w:t>(10,170,850)</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w w:val="99"/>
              </w:rPr>
              <w:t>(1,579,800)</w:t>
            </w:r>
          </w:p>
        </w:tc>
      </w:tr>
      <w:tr>
        <w:trPr>
          <w:trHeight w:val="230"/>
        </w:trPr>
        <w:tc>
          <w:tcPr>
            <w:tcW w:w="4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w w:val="94"/>
              </w:rPr>
              <w:t>Provision for taxes on unrealized appreciation of investments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(30,906,063)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462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9"/>
              </w:rPr>
              <w:t>Net Increase (Decrease) in Net Assets Resulting From</w:t>
            </w:r>
          </w:p>
        </w:tc>
        <w:tc>
          <w:tcPr>
            <w:tcW w:w="10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w w:val="99"/>
              </w:rPr>
              <w:t>35,383,643</w:t>
            </w:r>
          </w:p>
        </w:tc>
        <w:tc>
          <w:tcPr>
            <w:tcW w:w="120" w:type="dxa"/>
            <w:vAlign w:val="bottom"/>
            <w:tcBorders>
              <w:lef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w w:val="92"/>
              </w:rPr>
              <w:t>(19,834,250)</w:t>
            </w: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w w:val="99"/>
              </w:rPr>
              <w:t>(3,613,664)</w:t>
            </w:r>
          </w:p>
        </w:tc>
      </w:tr>
      <w:tr>
        <w:trPr>
          <w:trHeight w:val="234"/>
        </w:trPr>
        <w:tc>
          <w:tcPr>
            <w:tcW w:w="46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left w:val="single" w:sz="8" w:color="CCFFCC"/>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201,652,500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76,175,200</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(738,697)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(1,058,288)</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Capital Share Transactions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200,913,803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75,116,912</w:t>
            </w:r>
          </w:p>
        </w:tc>
      </w:tr>
      <w:tr>
        <w:trPr>
          <w:trHeight w:val="20"/>
        </w:trPr>
        <w:tc>
          <w:tcPr>
            <w:tcW w:w="46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35,383,643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181,079,553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71,503,248</w:t>
            </w:r>
          </w:p>
        </w:tc>
      </w:tr>
      <w:tr>
        <w:trPr>
          <w:trHeight w:val="216"/>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at Beginning of Year/Period</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252,582,801</w:t>
            </w:r>
          </w:p>
        </w:tc>
        <w:tc>
          <w:tcPr>
            <w:tcW w:w="12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71,503,248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Year/Period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287,966,444</w:t>
            </w:r>
          </w:p>
        </w:tc>
        <w:tc>
          <w:tcPr>
            <w:tcW w:w="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252,582,801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71,503,248</w:t>
            </w:r>
          </w:p>
        </w:tc>
      </w:tr>
      <w:tr>
        <w:trPr>
          <w:trHeight w:val="21"/>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5,520,100</w:t>
            </w:r>
          </w:p>
        </w:tc>
      </w:tr>
      <w:tr>
        <w:trPr>
          <w:trHeight w:val="216"/>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Outstanding at Beginning of Year/Period</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19,320,100</w:t>
            </w:r>
          </w:p>
        </w:tc>
        <w:tc>
          <w:tcPr>
            <w:tcW w:w="12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5,520,100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Year/Period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19,320,100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19,320,100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5,520,100</w:t>
            </w:r>
          </w:p>
        </w:tc>
      </w:tr>
      <w:tr>
        <w:trPr>
          <w:trHeight w:val="21"/>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0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8"/>
              </w:rPr>
              <w:t>GSV CAPITAL CORP. AND SUBSIDIARIES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00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12"/>
        </w:trPr>
        <w:tc>
          <w:tcPr>
            <w:tcW w:w="10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3" w:lineRule="exact"/>
              <w:rPr>
                <w:sz w:val="20"/>
                <w:szCs w:val="20"/>
                <w:color w:val="auto"/>
              </w:rPr>
            </w:pPr>
            <w:r>
              <w:rPr>
                <w:rFonts w:ascii="Arial" w:cs="Arial" w:eastAsia="Arial" w:hAnsi="Arial"/>
                <w:sz w:val="13"/>
                <w:szCs w:val="13"/>
                <w:b w:val="1"/>
                <w:bCs w:val="1"/>
                <w:color w:val="auto"/>
                <w:w w:val="99"/>
              </w:rPr>
              <w:t>Year ended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tcPr>
          <w:p>
            <w:pPr>
              <w:jc w:val="center"/>
              <w:ind w:right="240"/>
              <w:spacing w:after="0" w:line="11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1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from January 6,</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left w:val="single" w:sz="8" w:color="CCFFCC"/>
            </w:tcBorders>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35,383,643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(19,834,250)</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(3,613,664)</w:t>
            </w:r>
          </w:p>
        </w:tc>
        <w:tc>
          <w:tcPr>
            <w:tcW w:w="0" w:type="dxa"/>
            <w:vAlign w:val="bottom"/>
          </w:tcPr>
          <w:p>
            <w:pPr>
              <w:spacing w:after="0"/>
              <w:rPr>
                <w:sz w:val="1"/>
                <w:szCs w:val="1"/>
                <w:color w:val="auto"/>
              </w:rPr>
            </w:pPr>
          </w:p>
        </w:tc>
      </w:tr>
      <w:tr>
        <w:trPr>
          <w:trHeight w:val="130"/>
        </w:trPr>
        <w:tc>
          <w:tcPr>
            <w:tcW w:w="4740" w:type="dxa"/>
            <w:vAlign w:val="bottom"/>
            <w:tcBorders>
              <w:left w:val="single" w:sz="8" w:color="CCFFCC"/>
            </w:tcBorders>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9"/>
              </w:rPr>
              <w:t>Adjustments to reconcile net increase (decrease) in net assets resulting from</w:t>
            </w: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40" w:type="dxa"/>
            <w:vAlign w:val="bottom"/>
            <w:tcBorders>
              <w:left w:val="single" w:sz="8" w:color="CCFFCC"/>
            </w:tcBorders>
            <w:gridSpan w:val="3"/>
            <w:shd w:val="clear" w:color="auto" w:fill="CCFFCC"/>
          </w:tcPr>
          <w:p>
            <w:pPr>
              <w:ind w:left="200"/>
              <w:spacing w:after="0"/>
              <w:rPr>
                <w:sz w:val="20"/>
                <w:szCs w:val="20"/>
                <w:color w:val="auto"/>
              </w:rPr>
            </w:pPr>
            <w:r>
              <w:rPr>
                <w:rFonts w:ascii="Arial" w:cs="Arial" w:eastAsia="Arial" w:hAnsi="Arial"/>
                <w:sz w:val="14"/>
                <w:szCs w:val="14"/>
                <w:color w:val="auto"/>
              </w:rPr>
              <w:t>operations to net cash used in operating activities:</w:t>
            </w: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Net realized loss on investments</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21,706,021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1,380,519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(87,445,149)</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10,170,850</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1,579,800</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Loss on fair value adjustment for embedded derivative</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Amortization of deferred debt issuance costs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207,808</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Net deferred income taxes</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8,320,561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Purchases of investments in:</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Portfolio investments</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(71,953,895)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(172,869,132)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(65,658,866)</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380"/>
              <w:spacing w:after="0" w:line="149" w:lineRule="exact"/>
              <w:rPr>
                <w:sz w:val="20"/>
                <w:szCs w:val="20"/>
                <w:color w:val="auto"/>
              </w:rPr>
            </w:pPr>
            <w:r>
              <w:rPr>
                <w:rFonts w:ascii="Arial" w:cs="Arial" w:eastAsia="Arial" w:hAnsi="Arial"/>
                <w:sz w:val="14"/>
                <w:szCs w:val="14"/>
                <w:color w:val="auto"/>
              </w:rPr>
              <w:t>United States treasury bill</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(19,999,128)</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Money market funds</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(53,000,000)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380"/>
              <w:spacing w:after="0" w:line="149" w:lineRule="exact"/>
              <w:rPr>
                <w:sz w:val="20"/>
                <w:szCs w:val="20"/>
                <w:color w:val="auto"/>
              </w:rPr>
            </w:pPr>
            <w:r>
              <w:rPr>
                <w:rFonts w:ascii="Arial" w:cs="Arial" w:eastAsia="Arial" w:hAnsi="Arial"/>
                <w:sz w:val="14"/>
                <w:szCs w:val="14"/>
                <w:color w:val="auto"/>
              </w:rPr>
              <w:t>United States treasury strips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(10,845,236)</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Proceeds from sales or redemption of investments in: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380"/>
              <w:spacing w:after="0" w:line="149" w:lineRule="exact"/>
              <w:rPr>
                <w:sz w:val="20"/>
                <w:szCs w:val="20"/>
                <w:color w:val="auto"/>
              </w:rPr>
            </w:pPr>
            <w:r>
              <w:rPr>
                <w:rFonts w:ascii="Arial" w:cs="Arial" w:eastAsia="Arial" w:hAnsi="Arial"/>
                <w:sz w:val="14"/>
                <w:szCs w:val="14"/>
                <w:color w:val="auto"/>
              </w:rPr>
              <w:t>Portfolio investments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7,686,491</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United States treasury bill</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19,998,872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380"/>
              <w:spacing w:after="0" w:line="149" w:lineRule="exact"/>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69,000,000</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CCFFCC"/>
            </w:tcBorders>
            <w:gridSpan w:val="3"/>
            <w:shd w:val="clear" w:color="auto" w:fill="CCFFCC"/>
          </w:tcPr>
          <w:p>
            <w:pPr>
              <w:ind w:left="200"/>
              <w:spacing w:after="0" w:line="189" w:lineRule="exact"/>
              <w:rPr>
                <w:sz w:val="20"/>
                <w:szCs w:val="20"/>
                <w:color w:val="auto"/>
              </w:rPr>
            </w:pPr>
            <w:r>
              <w:rPr>
                <w:rFonts w:ascii="Arial" w:cs="Arial" w:eastAsia="Arial" w:hAnsi="Arial"/>
                <w:sz w:val="13"/>
                <w:szCs w:val="13"/>
                <w:color w:val="auto"/>
              </w:rPr>
              <w:t>Due from GSV Asset Management</w:t>
            </w:r>
            <w:r>
              <w:rPr>
                <w:rFonts w:ascii="Arial" w:cs="Arial" w:eastAsia="Arial" w:hAnsi="Arial"/>
                <w:sz w:val="21"/>
                <w:szCs w:val="21"/>
                <w:color w:val="auto"/>
                <w:vertAlign w:val="superscript"/>
              </w:rPr>
              <w:t>(1)</w:t>
            </w:r>
          </w:p>
        </w:tc>
        <w:tc>
          <w:tcPr>
            <w:tcW w:w="10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2,684</w:t>
            </w:r>
          </w:p>
        </w:tc>
        <w:tc>
          <w:tcPr>
            <w:tcW w:w="1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7,747</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(13,470)</w:t>
            </w:r>
          </w:p>
        </w:tc>
        <w:tc>
          <w:tcPr>
            <w:tcW w:w="0" w:type="dxa"/>
            <w:vAlign w:val="bottom"/>
          </w:tcPr>
          <w:p>
            <w:pPr>
              <w:spacing w:after="0"/>
              <w:rPr>
                <w:sz w:val="1"/>
                <w:szCs w:val="1"/>
                <w:color w:val="auto"/>
              </w:rPr>
            </w:pPr>
          </w:p>
        </w:tc>
      </w:tr>
      <w:tr>
        <w:trPr>
          <w:trHeight w:val="189"/>
        </w:trPr>
        <w:tc>
          <w:tcPr>
            <w:tcW w:w="4740" w:type="dxa"/>
            <w:vAlign w:val="bottom"/>
            <w:gridSpan w:val="3"/>
          </w:tcPr>
          <w:p>
            <w:pPr>
              <w:ind w:left="200"/>
              <w:spacing w:after="0" w:line="189" w:lineRule="exact"/>
              <w:rPr>
                <w:sz w:val="20"/>
                <w:szCs w:val="20"/>
                <w:color w:val="auto"/>
              </w:rPr>
            </w:pPr>
            <w:r>
              <w:rPr>
                <w:rFonts w:ascii="Arial" w:cs="Arial" w:eastAsia="Arial" w:hAnsi="Arial"/>
                <w:sz w:val="13"/>
                <w:szCs w:val="13"/>
                <w:color w:val="auto"/>
              </w:rPr>
              <w:t>Due from portfolio companies</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163,199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(307,128)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(9,249)</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(7,304)</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158,389</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(158,389)</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(92,750)</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Coupon interest receivable</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(11,141)</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Dividend receivable</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(341,379)</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(24,449)</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Due to GSV Asset Management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512,784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(27,233)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78,427</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Due to other affiliates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(10,782)</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10,782</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(114,568)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54,172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149,921</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Accrued incentive fees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10,523,552</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Accrued interest payable</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1,056,563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Borders>
              <w:left w:val="single" w:sz="8" w:color="CCFFCC"/>
            </w:tcBorders>
            <w:gridSpan w:val="3"/>
            <w:shd w:val="clear" w:color="auto" w:fill="CCFFCC"/>
          </w:tcPr>
          <w:p>
            <w:pPr>
              <w:ind w:left="38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(69,053,465)</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w w:val="91"/>
              </w:rPr>
              <w:t>(189,981,273)</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(74,730,917)</w:t>
            </w:r>
          </w:p>
        </w:tc>
        <w:tc>
          <w:tcPr>
            <w:tcW w:w="0" w:type="dxa"/>
            <w:vAlign w:val="bottom"/>
          </w:tcPr>
          <w:p>
            <w:pPr>
              <w:spacing w:after="0"/>
              <w:rPr>
                <w:sz w:val="1"/>
                <w:szCs w:val="1"/>
                <w:color w:val="auto"/>
              </w:rPr>
            </w:pPr>
          </w:p>
        </w:tc>
      </w:tr>
      <w:tr>
        <w:trPr>
          <w:trHeight w:val="142"/>
        </w:trPr>
        <w:tc>
          <w:tcPr>
            <w:tcW w:w="4740" w:type="dxa"/>
            <w:vAlign w:val="bottom"/>
            <w:tcBorders>
              <w:top w:val="single" w:sz="8" w:color="CCFFCC"/>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proceeds from common shares issued</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7"/>
              </w:rPr>
              <w:t>201,652,500</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76,175,200</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Offering costs</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(738,697)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(1,058,288)</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Deferred credit facility fees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(288,249)</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Deferred debt issuance costs</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(3,585,929)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Deferred offering costs</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(184,710)</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Change in restricted cash</w:t>
            </w: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Gross proceeds from convertible senior notes issued</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69,035,295</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tcBorders>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64,954,143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7"/>
              </w:rPr>
              <w:t>200,913,803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75,116,912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Borders>
              <w:left w:val="single" w:sz="8" w:color="CCFFCC"/>
            </w:tcBorders>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Total Increase (Decrease) in Cash Balance</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(4,099,322)</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10,932,530</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385,995</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Cash Balance at Beginning of Year/Period</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11,318,525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385,995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tcBorders>
              <w:left w:val="single" w:sz="8" w:color="CCFFCC"/>
            </w:tcBorders>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Cash Balance at End of Year/Period</w:t>
            </w:r>
          </w:p>
        </w:tc>
        <w:tc>
          <w:tcPr>
            <w:tcW w:w="100" w:type="dxa"/>
            <w:vAlign w:val="bottom"/>
            <w:shd w:val="clear" w:color="auto" w:fill="CCFFCC"/>
          </w:tcPr>
          <w:p>
            <w:pPr>
              <w:jc w:val="cente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7,219,203</w:t>
            </w:r>
          </w:p>
        </w:tc>
        <w:tc>
          <w:tcPr>
            <w:tcW w:w="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11,318,525</w:t>
            </w: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385,995</w:t>
            </w:r>
          </w:p>
        </w:tc>
        <w:tc>
          <w:tcPr>
            <w:tcW w:w="0" w:type="dxa"/>
            <w:vAlign w:val="bottom"/>
          </w:tcPr>
          <w:p>
            <w:pPr>
              <w:spacing w:after="0"/>
              <w:rPr>
                <w:sz w:val="1"/>
                <w:szCs w:val="1"/>
                <w:color w:val="auto"/>
              </w:rPr>
            </w:pPr>
          </w:p>
        </w:tc>
      </w:tr>
      <w:tr>
        <w:trPr>
          <w:trHeight w:val="142"/>
        </w:trPr>
        <w:tc>
          <w:tcPr>
            <w:tcW w:w="4740" w:type="dxa"/>
            <w:vAlign w:val="bottom"/>
            <w:tcBorders>
              <w:top w:val="single" w:sz="8" w:color="CCFFCC"/>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Non-Cash Operating Items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CCFFCC"/>
            </w:tcBorders>
            <w:gridSpan w:val="3"/>
            <w:shd w:val="clear" w:color="auto" w:fill="CCFFCC"/>
          </w:tcPr>
          <w:p>
            <w:pPr>
              <w:ind w:left="20"/>
              <w:spacing w:after="0" w:line="135" w:lineRule="exact"/>
              <w:rPr>
                <w:sz w:val="20"/>
                <w:szCs w:val="20"/>
                <w:color w:val="auto"/>
              </w:rPr>
            </w:pPr>
            <w:r>
              <w:rPr>
                <w:rFonts w:ascii="Arial" w:cs="Arial" w:eastAsia="Arial" w:hAnsi="Arial"/>
                <w:sz w:val="14"/>
                <w:szCs w:val="14"/>
                <w:color w:val="auto"/>
              </w:rPr>
              <w:t>Transactions in Investments in Portfolio Companies</w:t>
            </w: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tcBorders>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Structured note exchanged for common shares</w:t>
            </w:r>
          </w:p>
        </w:tc>
        <w:tc>
          <w:tcPr>
            <w:tcW w:w="1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3,002,665</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Structured notes converted to preferred shares</w:t>
            </w:r>
          </w:p>
        </w:tc>
        <w:tc>
          <w:tcPr>
            <w:tcW w:w="1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924,651</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Warrants exercised for preferred shares</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53,665</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converted to preferred shares</w:t>
            </w:r>
          </w:p>
        </w:tc>
        <w:tc>
          <w:tcPr>
            <w:tcW w:w="1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519,989</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shares converted to junior preferred shares</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10,032,453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converted to common shares</w:t>
            </w:r>
          </w:p>
        </w:tc>
        <w:tc>
          <w:tcPr>
            <w:tcW w:w="1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22,069,188</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shares converted to common warrants</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67,021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Common shares converted to preferred shares</w:t>
            </w:r>
          </w:p>
        </w:tc>
        <w:tc>
          <w:tcPr>
            <w:tcW w:w="1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12,655,877</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Increase in accounts payable</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56,436</w:t>
            </w:r>
          </w:p>
        </w:tc>
        <w:tc>
          <w:tcPr>
            <w:tcW w:w="0" w:type="dxa"/>
            <w:vAlign w:val="bottom"/>
          </w:tcPr>
          <w:p>
            <w:pPr>
              <w:spacing w:after="0"/>
              <w:rPr>
                <w:sz w:val="1"/>
                <w:szCs w:val="1"/>
                <w:color w:val="auto"/>
              </w:rPr>
            </w:pPr>
          </w:p>
        </w:tc>
      </w:tr>
      <w:tr>
        <w:trPr>
          <w:trHeight w:val="149"/>
        </w:trPr>
        <w:tc>
          <w:tcPr>
            <w:tcW w:w="4740" w:type="dxa"/>
            <w:vAlign w:val="bottom"/>
            <w:tcBorders>
              <w:left w:val="single" w:sz="8" w:color="CCFFCC"/>
            </w:tcBorders>
            <w:gridSpan w:val="3"/>
            <w:shd w:val="clear" w:color="auto" w:fill="CCFFCC"/>
          </w:tcPr>
          <w:p>
            <w:pPr>
              <w:ind w:left="20"/>
              <w:spacing w:after="0" w:line="149" w:lineRule="exact"/>
              <w:rPr>
                <w:sz w:val="20"/>
                <w:szCs w:val="20"/>
                <w:color w:val="auto"/>
              </w:rPr>
            </w:pPr>
            <w:r>
              <w:rPr>
                <w:rFonts w:ascii="Arial" w:cs="Arial" w:eastAsia="Arial" w:hAnsi="Arial"/>
                <w:sz w:val="14"/>
                <w:szCs w:val="14"/>
                <w:b w:val="1"/>
                <w:bCs w:val="1"/>
                <w:color w:val="auto"/>
              </w:rPr>
              <w:t>Non-Cash Financing Items</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Increase in deferred offering costs</w:t>
            </w:r>
          </w:p>
        </w:tc>
        <w:tc>
          <w:tcPr>
            <w:tcW w:w="1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(56,436)</w:t>
            </w:r>
          </w:p>
        </w:tc>
        <w:tc>
          <w:tcPr>
            <w:tcW w:w="0" w:type="dxa"/>
            <w:vAlign w:val="bottom"/>
          </w:tcPr>
          <w:p>
            <w:pPr>
              <w:spacing w:after="0"/>
              <w:rPr>
                <w:sz w:val="1"/>
                <w:szCs w:val="1"/>
                <w:color w:val="auto"/>
              </w:rPr>
            </w:pPr>
          </w:p>
        </w:tc>
      </w:tr>
      <w:tr>
        <w:trPr>
          <w:trHeight w:val="130"/>
        </w:trPr>
        <w:tc>
          <w:tcPr>
            <w:tcW w:w="4740" w:type="dxa"/>
            <w:vAlign w:val="bottom"/>
            <w:tcBorders>
              <w:left w:val="single" w:sz="8" w:color="CCFFCC"/>
            </w:tcBorders>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9"/>
              </w:rPr>
              <w:t>Fair value of make-whole derivative issued in connection with the convertible</w:t>
            </w:r>
          </w:p>
        </w:tc>
        <w:tc>
          <w:tcPr>
            <w:tcW w:w="10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700,000</w:t>
            </w:r>
          </w:p>
        </w:tc>
        <w:tc>
          <w:tcPr>
            <w:tcW w:w="2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740" w:type="dxa"/>
            <w:vAlign w:val="bottom"/>
            <w:tcBorders>
              <w:left w:val="single" w:sz="8" w:color="CCFFCC"/>
            </w:tcBorders>
            <w:gridSpan w:val="3"/>
            <w:shd w:val="clear" w:color="auto" w:fill="CCFFCC"/>
          </w:tcPr>
          <w:p>
            <w:pPr>
              <w:ind w:left="200"/>
              <w:spacing w:after="0"/>
              <w:rPr>
                <w:sz w:val="20"/>
                <w:szCs w:val="20"/>
                <w:color w:val="auto"/>
              </w:rPr>
            </w:pPr>
            <w:r>
              <w:rPr>
                <w:rFonts w:ascii="Arial" w:cs="Arial" w:eastAsia="Arial" w:hAnsi="Arial"/>
                <w:sz w:val="14"/>
                <w:szCs w:val="14"/>
                <w:color w:val="auto"/>
              </w:rPr>
              <w:t>debt</w:t>
            </w: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0" w:type="dxa"/>
            <w:vAlign w:val="bottom"/>
            <w:tcBorders>
              <w:bottom w:val="single" w:sz="8" w:color="auto"/>
            </w:tcBorders>
          </w:tcPr>
          <w:p>
            <w:pPr>
              <w:spacing w:after="0"/>
              <w:rPr>
                <w:sz w:val="23"/>
                <w:szCs w:val="23"/>
                <w:color w:val="auto"/>
              </w:rPr>
            </w:pPr>
          </w:p>
        </w:tc>
        <w:tc>
          <w:tcPr>
            <w:tcW w:w="20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-2795270</wp:posOffset>
            </wp:positionV>
            <wp:extent cx="521398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-2032000</wp:posOffset>
            </wp:positionV>
            <wp:extent cx="521398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-6499860</wp:posOffset>
            </wp:positionV>
            <wp:extent cx="5213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2940" w:right="3399" w:hanging="2912"/>
        <w:spacing w:after="0" w:line="995" w:lineRule="auto"/>
        <w:tabs>
          <w:tab w:leader="none" w:pos="30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This balance is a related party transaction. Refer to Note 2 Related Party Arrangements. </w:t>
      </w:r>
      <w:r>
        <w:rPr>
          <w:rFonts w:ascii="Arial" w:cs="Arial" w:eastAsia="Arial" w:hAnsi="Arial"/>
          <w:sz w:val="16"/>
          <w:szCs w:val="16"/>
          <w:i w:val="1"/>
          <w:iCs w:val="1"/>
          <w:color w:val="auto"/>
        </w:rPr>
        <w:t>See Notes to the Consolidated Financial Statements.</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6"/>
          </w:tcPr>
          <w:p>
            <w:pPr>
              <w:jc w:val="center"/>
              <w:ind w:left="226"/>
              <w:spacing w:after="0"/>
              <w:rPr>
                <w:sz w:val="20"/>
                <w:szCs w:val="20"/>
                <w:color w:val="auto"/>
              </w:rPr>
            </w:pPr>
            <w:r>
              <w:rPr>
                <w:rFonts w:ascii="Arial" w:cs="Arial" w:eastAsia="Arial" w:hAnsi="Arial"/>
                <w:sz w:val="18"/>
                <w:szCs w:val="18"/>
                <w:b w:val="1"/>
                <w:bCs w:val="1"/>
                <w:color w:val="auto"/>
                <w:w w:val="98"/>
              </w:rPr>
              <w:t>GSV CAPITAL CORP. AND SUBSIDIARIES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7"/>
          </w:tcPr>
          <w:p>
            <w:pPr>
              <w:jc w:val="center"/>
              <w:ind w:right="528"/>
              <w:spacing w:after="0"/>
              <w:rPr>
                <w:sz w:val="20"/>
                <w:szCs w:val="20"/>
                <w:color w:val="auto"/>
              </w:rPr>
            </w:pPr>
            <w:r>
              <w:rPr>
                <w:rFonts w:ascii="Arial" w:cs="Arial" w:eastAsia="Arial" w:hAnsi="Arial"/>
                <w:sz w:val="18"/>
                <w:szCs w:val="18"/>
                <w:b w:val="1"/>
                <w:bCs w:val="1"/>
                <w:color w:val="auto"/>
              </w:rPr>
              <w:t>CONSOLIDATED SCHEDULE OF INVESTMENTS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5"/>
                <w:szCs w:val="15"/>
                <w:color w:val="auto"/>
              </w:rPr>
            </w:pPr>
          </w:p>
        </w:tc>
        <w:tc>
          <w:tcPr>
            <w:tcW w:w="2940" w:type="dxa"/>
            <w:vAlign w:val="bottom"/>
            <w:gridSpan w:val="3"/>
          </w:tcPr>
          <w:p>
            <w:pPr>
              <w:jc w:val="center"/>
              <w:ind w:left="1286"/>
              <w:spacing w:after="0" w:line="181" w:lineRule="exact"/>
              <w:rPr>
                <w:sz w:val="20"/>
                <w:szCs w:val="20"/>
                <w:color w:val="auto"/>
              </w:rPr>
            </w:pPr>
            <w:r>
              <w:rPr>
                <w:rFonts w:ascii="Arial" w:cs="Arial" w:eastAsia="Arial" w:hAnsi="Arial"/>
                <w:sz w:val="18"/>
                <w:szCs w:val="18"/>
                <w:b w:val="1"/>
                <w:bCs w:val="1"/>
                <w:color w:val="auto"/>
                <w:w w:val="90"/>
              </w:rPr>
              <w:t>December 31, 2013</w:t>
            </w:r>
          </w:p>
        </w:tc>
        <w:tc>
          <w:tcPr>
            <w:tcW w:w="80" w:type="dxa"/>
            <w:vAlign w:val="bottom"/>
          </w:tcPr>
          <w:p>
            <w:pPr>
              <w:spacing w:after="0"/>
              <w:rPr>
                <w:sz w:val="15"/>
                <w:szCs w:val="15"/>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8"/>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Twitter, Inc.</w:t>
            </w:r>
            <w:r>
              <w:rPr>
                <w:rFonts w:ascii="Arial" w:cs="Arial" w:eastAsia="Arial" w:hAnsi="Arial"/>
                <w:sz w:val="19"/>
                <w:szCs w:val="19"/>
                <w:b w:val="1"/>
                <w:bCs w:val="1"/>
                <w:color w:val="auto"/>
                <w:vertAlign w:val="superscript"/>
              </w:rPr>
              <w:t>(11)</w:t>
            </w:r>
            <w:r>
              <w:rPr>
                <w:rFonts w:ascii="Arial" w:cs="Arial" w:eastAsia="Arial" w:hAnsi="Arial"/>
                <w:sz w:val="12"/>
                <w:szCs w:val="12"/>
                <w:b w:val="1"/>
                <w:bCs w:val="1"/>
                <w:color w:val="auto"/>
              </w:rPr>
              <w:t>**</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1,900,600</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  32,991,111</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w w:val="91"/>
              </w:rPr>
              <w:t>$ 102,822,460</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35.71%</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Communication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Palantir Technologies,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 Class A</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8"/>
              </w:rPr>
              <w:t>Palo Alto,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7,145,690</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20,051,479</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32,119,877</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Cyber Security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G</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326,797</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1,008,968</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1,718,953</w:t>
            </w:r>
          </w:p>
        </w:tc>
        <w:tc>
          <w:tcPr>
            <w:tcW w:w="6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21,060,447</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33,838,830</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29"/>
        </w:trPr>
        <w:tc>
          <w:tcPr>
            <w:tcW w:w="2560" w:type="dxa"/>
            <w:vAlign w:val="bottom"/>
            <w:tcBorders>
              <w:left w:val="single" w:sz="8" w:color="CCFFCC"/>
            </w:tcBorders>
            <w:gridSpan w:val="8"/>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760,000</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8,641,153</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9,181,012</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Online Storage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552,486</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5,015,333</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6,674,185</w:t>
            </w:r>
          </w:p>
        </w:tc>
        <w:tc>
          <w:tcPr>
            <w:tcW w:w="6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13,656,486</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15,855,197</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29"/>
        </w:trPr>
        <w:tc>
          <w:tcPr>
            <w:tcW w:w="2560" w:type="dxa"/>
            <w:vAlign w:val="bottom"/>
            <w:tcBorders>
              <w:left w:val="single" w:sz="8" w:color="CCFFCC"/>
            </w:tcBorders>
            <w:gridSpan w:val="8"/>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Coursera,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Mountain View,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2,961,399</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14,519,443</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14,519,443</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8"/>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Control4 Corporation</w:t>
            </w:r>
            <w:r>
              <w:rPr>
                <w:rFonts w:ascii="Arial" w:cs="Arial" w:eastAsia="Arial" w:hAnsi="Arial"/>
                <w:sz w:val="20"/>
                <w:szCs w:val="20"/>
                <w:b w:val="1"/>
                <w:bCs w:val="1"/>
                <w:color w:val="auto"/>
                <w:vertAlign w:val="superscript"/>
              </w:rPr>
              <w:t>(8)</w:t>
            </w:r>
            <w:r>
              <w:rPr>
                <w:rFonts w:ascii="Arial" w:cs="Arial" w:eastAsia="Arial" w:hAnsi="Arial"/>
                <w:sz w:val="13"/>
                <w:szCs w:val="13"/>
                <w:b w:val="1"/>
                <w:bCs w:val="1"/>
                <w:color w:val="auto"/>
              </w:rPr>
              <w:t>**</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Salt Lake City, UT</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782,789</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7,010,762</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13,300,129</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Home Automation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2U, Inc. (f/k/a 2tor,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Landover, MD</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1,151,802</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8,758,193</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9,875,206</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167,431</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1,273,125</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1,435,503</w:t>
            </w:r>
          </w:p>
        </w:tc>
        <w:tc>
          <w:tcPr>
            <w:tcW w:w="6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10,031,318</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11,310,709</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29"/>
        </w:trPr>
        <w:tc>
          <w:tcPr>
            <w:tcW w:w="2560" w:type="dxa"/>
            <w:vAlign w:val="bottom"/>
            <w:tcBorders>
              <w:left w:val="single" w:sz="8" w:color="CCFFCC"/>
            </w:tcBorders>
            <w:gridSpan w:val="8"/>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Solexel,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top w:val="single" w:sz="8" w:color="auto"/>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Milpitas,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5,034,324</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11,017,561</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11,286,628</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Solar Power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8"/>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Avenues Global Holdings, LLC</w:t>
            </w:r>
            <w:r>
              <w:rPr>
                <w:rFonts w:ascii="Arial" w:cs="Arial" w:eastAsia="Arial" w:hAnsi="Arial"/>
                <w:sz w:val="20"/>
                <w:szCs w:val="20"/>
                <w:b w:val="1"/>
                <w:bCs w:val="1"/>
                <w:color w:val="auto"/>
                <w:vertAlign w:val="superscript"/>
              </w:rPr>
              <w:t>(2)</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10,014,270</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10,150,484</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10,014,270</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Globally-focused Private School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8"/>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Curious.com Inc.</w:t>
            </w:r>
            <w:r>
              <w:rPr>
                <w:rFonts w:ascii="Arial" w:cs="Arial" w:eastAsia="Arial" w:hAnsi="Arial"/>
                <w:sz w:val="20"/>
                <w:szCs w:val="20"/>
                <w:b w:val="1"/>
                <w:bCs w:val="1"/>
                <w:color w:val="auto"/>
                <w:vertAlign w:val="superscript"/>
              </w:rPr>
              <w:t>(1)</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Menlo Park,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2,839,861</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10,000,003</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10,000,003</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8"/>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PayNearMe, Inc.</w:t>
            </w:r>
            <w:r>
              <w:rPr>
                <w:rFonts w:ascii="Arial" w:cs="Arial" w:eastAsia="Arial" w:hAnsi="Arial"/>
                <w:sz w:val="20"/>
                <w:szCs w:val="20"/>
                <w:b w:val="1"/>
                <w:bCs w:val="1"/>
                <w:color w:val="auto"/>
                <w:vertAlign w:val="superscript"/>
              </w:rPr>
              <w:t>(1)</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90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Sunnyvale,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3,914,535</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10,000,001</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10,000,000</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e-Commerce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Facebook,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 Class A</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Menlo Park,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175,000</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5,236,147</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9,563,750</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Social Networking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color w:val="auto"/>
                <w:w w:val="95"/>
              </w:rPr>
              <w:t>Cupertino, CA</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1,899,799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6,799,272</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7,219,236</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Customer Relationship Manager</w:t>
            </w: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373,134</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1,500,522</w:t>
            </w:r>
          </w:p>
        </w:tc>
        <w:tc>
          <w:tcPr>
            <w:tcW w:w="80" w:type="dxa"/>
            <w:vAlign w:val="bottom"/>
            <w:shd w:val="clear" w:color="auto" w:fill="CCFFCC"/>
          </w:tcPr>
          <w:p>
            <w:pPr>
              <w:spacing w:after="0"/>
              <w:rPr>
                <w:sz w:val="12"/>
                <w:szCs w:val="12"/>
                <w:color w:val="auto"/>
              </w:rPr>
            </w:pPr>
          </w:p>
        </w:tc>
        <w:tc>
          <w:tcPr>
            <w:tcW w:w="9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2,160,437</w:t>
            </w:r>
          </w:p>
        </w:tc>
        <w:tc>
          <w:tcPr>
            <w:tcW w:w="68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8,299,794</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9,379,673</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8"/>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Chegg, Inc.</w:t>
            </w:r>
            <w:r>
              <w:rPr>
                <w:rFonts w:ascii="Arial" w:cs="Arial" w:eastAsia="Arial" w:hAnsi="Arial"/>
                <w:sz w:val="19"/>
                <w:szCs w:val="19"/>
                <w:b w:val="1"/>
                <w:bCs w:val="1"/>
                <w:color w:val="auto"/>
                <w:vertAlign w:val="superscript"/>
              </w:rPr>
              <w:t>(12)</w:t>
            </w:r>
            <w:r>
              <w:rPr>
                <w:rFonts w:ascii="Arial" w:cs="Arial" w:eastAsia="Arial" w:hAnsi="Arial"/>
                <w:sz w:val="12"/>
                <w:szCs w:val="12"/>
                <w:b w:val="1"/>
                <w:bCs w:val="1"/>
                <w:color w:val="auto"/>
              </w:rPr>
              <w:t>**</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top w:val="single" w:sz="8" w:color="auto"/>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top w:val="single" w:sz="8" w:color="auto"/>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20" w:type="dxa"/>
            <w:vAlign w:val="bottom"/>
            <w:tcBorders>
              <w:top w:val="single" w:sz="8" w:color="auto"/>
            </w:tcBorders>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right w:val="single" w:sz="8" w:color="CCFFCC"/>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Santa Clara,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1,182,792</w:t>
            </w:r>
          </w:p>
        </w:tc>
        <w:tc>
          <w:tcPr>
            <w:tcW w:w="9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14,022,863</w:t>
            </w: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8,551,589</w:t>
            </w:r>
          </w:p>
        </w:tc>
        <w:tc>
          <w:tcPr>
            <w:tcW w:w="68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Textbook Rental</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-3884930</wp:posOffset>
            </wp:positionV>
            <wp:extent cx="5213985"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-3396615</wp:posOffset>
            </wp:positionV>
            <wp:extent cx="5213985"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-2315845</wp:posOffset>
            </wp:positionV>
            <wp:extent cx="5213985" cy="111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-429260</wp:posOffset>
            </wp:positionV>
            <wp:extent cx="5213985" cy="111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-4914265</wp:posOffset>
            </wp:positionV>
            <wp:extent cx="5213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6"/>
          </w:tcPr>
          <w:p>
            <w:pPr>
              <w:jc w:val="center"/>
              <w:ind w:left="227"/>
              <w:spacing w:after="0"/>
              <w:rPr>
                <w:sz w:val="20"/>
                <w:szCs w:val="20"/>
                <w:color w:val="auto"/>
              </w:rPr>
            </w:pPr>
            <w:r>
              <w:rPr>
                <w:rFonts w:ascii="Arial" w:cs="Arial" w:eastAsia="Arial" w:hAnsi="Arial"/>
                <w:sz w:val="18"/>
                <w:szCs w:val="18"/>
                <w:b w:val="1"/>
                <w:bCs w:val="1"/>
                <w:color w:val="auto"/>
                <w:w w:val="98"/>
              </w:rPr>
              <w:t>GSV CAPITAL CORP. AND SUBSIDIARIES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9"/>
          </w:tcPr>
          <w:p>
            <w:pPr>
              <w:jc w:val="center"/>
              <w:ind w:left="10"/>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2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3"/>
          </w:tcPr>
          <w:p>
            <w:pPr>
              <w:jc w:val="center"/>
              <w:ind w:left="1287"/>
              <w:spacing w:after="0" w:line="181" w:lineRule="exact"/>
              <w:rPr>
                <w:sz w:val="20"/>
                <w:szCs w:val="20"/>
                <w:color w:val="auto"/>
              </w:rPr>
            </w:pPr>
            <w:r>
              <w:rPr>
                <w:rFonts w:ascii="Arial" w:cs="Arial" w:eastAsia="Arial" w:hAnsi="Arial"/>
                <w:sz w:val="18"/>
                <w:szCs w:val="18"/>
                <w:b w:val="1"/>
                <w:bCs w:val="1"/>
                <w:color w:val="auto"/>
                <w:w w:val="90"/>
              </w:rPr>
              <w:t>December 31, 2013</w:t>
            </w:r>
          </w:p>
        </w:tc>
        <w:tc>
          <w:tcPr>
            <w:tcW w:w="80" w:type="dxa"/>
            <w:vAlign w:val="bottom"/>
          </w:tcPr>
          <w:p>
            <w:pPr>
              <w:spacing w:after="0"/>
              <w:rPr>
                <w:sz w:val="15"/>
                <w:szCs w:val="15"/>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020" w:type="dxa"/>
            <w:vAlign w:val="bottom"/>
            <w:gridSpan w:val="10"/>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760" w:type="dxa"/>
            <w:vAlign w:val="bottom"/>
            <w:tcBorders>
              <w:left w:val="single" w:sz="8" w:color="CCFFCC"/>
              <w:bottom w:val="single" w:sz="8" w:color="auto"/>
            </w:tcBorders>
            <w:gridSpan w:val="3"/>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w w:val="90"/>
              </w:rPr>
              <w:t>ZocDoc Inc.</w:t>
            </w:r>
          </w:p>
        </w:tc>
        <w:tc>
          <w:tcPr>
            <w:tcW w:w="1260" w:type="dxa"/>
            <w:vAlign w:val="bottom"/>
            <w:tcBorders>
              <w:bottom w:val="single" w:sz="8" w:color="CCFFCC"/>
            </w:tcBorders>
            <w:gridSpan w:val="7"/>
            <w:shd w:val="clear" w:color="auto" w:fill="CCFFCC"/>
          </w:tcPr>
          <w:p>
            <w:pPr>
              <w:spacing w:after="0"/>
              <w:rPr>
                <w:sz w:val="11"/>
                <w:szCs w:val="11"/>
                <w:color w:val="auto"/>
              </w:rPr>
            </w:pPr>
          </w:p>
        </w:tc>
        <w:tc>
          <w:tcPr>
            <w:tcW w:w="5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200,000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   3,563,178</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   3,926,702</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1.36%</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Online Medical Scheduling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CCFFCC"/>
            </w:tcBorders>
            <w:gridSpan w:val="10"/>
            <w:shd w:val="clear" w:color="auto" w:fill="CCFFCC"/>
          </w:tcPr>
          <w:p>
            <w:pPr>
              <w:ind w:left="20"/>
              <w:spacing w:after="0" w:line="149"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111,866</w:t>
            </w:r>
          </w:p>
        </w:tc>
        <w:tc>
          <w:tcPr>
            <w:tcW w:w="80" w:type="dxa"/>
            <w:vAlign w:val="bottom"/>
            <w:shd w:val="clear" w:color="auto" w:fill="CCFFCC"/>
          </w:tcPr>
          <w:p>
            <w:pPr>
              <w:spacing w:after="0"/>
              <w:rPr>
                <w:sz w:val="12"/>
                <w:szCs w:val="12"/>
                <w:color w:val="auto"/>
              </w:rPr>
            </w:pPr>
          </w:p>
        </w:tc>
        <w:tc>
          <w:tcPr>
            <w:tcW w:w="8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1,734,878</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2,196,322</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0.76%</w:t>
            </w: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5,298,056</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6,123,024</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2.12%</w:t>
            </w:r>
          </w:p>
        </w:tc>
        <w:tc>
          <w:tcPr>
            <w:tcW w:w="0" w:type="dxa"/>
            <w:vAlign w:val="bottom"/>
          </w:tcPr>
          <w:p>
            <w:pPr>
              <w:spacing w:after="0"/>
              <w:rPr>
                <w:sz w:val="1"/>
                <w:szCs w:val="1"/>
                <w:color w:val="auto"/>
              </w:rPr>
            </w:pPr>
          </w:p>
        </w:tc>
      </w:tr>
      <w:tr>
        <w:trPr>
          <w:trHeight w:val="129"/>
        </w:trPr>
        <w:tc>
          <w:tcPr>
            <w:tcW w:w="580" w:type="dxa"/>
            <w:vAlign w:val="bottom"/>
            <w:tcBorders>
              <w:left w:val="single" w:sz="8" w:color="CCFFCC"/>
              <w:bottom w:val="single" w:sz="8" w:color="auto"/>
            </w:tcBorders>
            <w:gridSpan w:val="2"/>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w w:val="91"/>
              </w:rPr>
              <w:t>Knewton</w:t>
            </w:r>
          </w:p>
        </w:tc>
        <w:tc>
          <w:tcPr>
            <w:tcW w:w="1440" w:type="dxa"/>
            <w:vAlign w:val="bottom"/>
            <w:tcBorders>
              <w:bottom w:val="single" w:sz="8" w:color="CCFFCC"/>
            </w:tcBorders>
            <w:gridSpan w:val="8"/>
            <w:shd w:val="clear" w:color="auto" w:fill="CCFFCC"/>
          </w:tcPr>
          <w:p>
            <w:pPr>
              <w:spacing w:after="0"/>
              <w:rPr>
                <w:sz w:val="11"/>
                <w:szCs w:val="11"/>
                <w:color w:val="auto"/>
              </w:rPr>
            </w:pPr>
          </w:p>
        </w:tc>
        <w:tc>
          <w:tcPr>
            <w:tcW w:w="5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top w:val="single" w:sz="8" w:color="auto"/>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top w:val="single" w:sz="8" w:color="auto"/>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375,985</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4,999,999</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4,999,999</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1.74%</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0" w:type="dxa"/>
            <w:vAlign w:val="bottom"/>
            <w:tcBorders>
              <w:left w:val="single" w:sz="8" w:color="CCFFCC"/>
              <w:bottom w:val="single" w:sz="8" w:color="auto"/>
            </w:tcBorders>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9"/>
              </w:rPr>
              <w:t>JAMF</w:t>
            </w:r>
          </w:p>
        </w:tc>
        <w:tc>
          <w:tcPr>
            <w:tcW w:w="1600" w:type="dxa"/>
            <w:vAlign w:val="bottom"/>
            <w:tcBorders>
              <w:bottom w:val="single" w:sz="8" w:color="CCFFCC"/>
            </w:tcBorders>
            <w:gridSpan w:val="9"/>
            <w:shd w:val="clear" w:color="auto" w:fill="CCFFCC"/>
          </w:tcPr>
          <w:p>
            <w:pPr>
              <w:spacing w:after="0"/>
              <w:rPr>
                <w:sz w:val="11"/>
                <w:szCs w:val="11"/>
                <w:color w:val="auto"/>
              </w:rPr>
            </w:pPr>
          </w:p>
        </w:tc>
        <w:tc>
          <w:tcPr>
            <w:tcW w:w="5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9"/>
              </w:rPr>
              <w:t>Minneapolis, MN</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36,720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4,999,964</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4,999,964</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1.74%</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Technology Development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CFFCC"/>
            </w:tcBorders>
            <w:gridSpan w:val="10"/>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(1)(3)</w:t>
            </w:r>
          </w:p>
        </w:tc>
        <w:tc>
          <w:tcPr>
            <w:tcW w:w="5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6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3,000,000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3,000,000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1.04%</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Globally-focused Private School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CCFFCC"/>
            </w:tcBorders>
            <w:gridSpan w:val="10"/>
            <w:shd w:val="clear" w:color="auto" w:fill="CCFFCC"/>
          </w:tcPr>
          <w:p>
            <w:pPr>
              <w:ind w:left="20"/>
              <w:spacing w:after="0" w:line="149" w:lineRule="exact"/>
              <w:rPr>
                <w:sz w:val="20"/>
                <w:szCs w:val="20"/>
                <w:color w:val="auto"/>
              </w:rPr>
            </w:pPr>
            <w:r>
              <w:rPr>
                <w:rFonts w:ascii="Arial" w:cs="Arial" w:eastAsia="Arial" w:hAnsi="Arial"/>
                <w:sz w:val="14"/>
                <w:szCs w:val="14"/>
                <w:color w:val="auto"/>
              </w:rPr>
              <w:t>Common shares</w:t>
            </w:r>
          </w:p>
        </w:tc>
        <w:tc>
          <w:tcPr>
            <w:tcW w:w="5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229</w:t>
            </w:r>
          </w:p>
        </w:tc>
        <w:tc>
          <w:tcPr>
            <w:tcW w:w="80" w:type="dxa"/>
            <w:vAlign w:val="bottom"/>
            <w:shd w:val="clear" w:color="auto" w:fill="CCFFCC"/>
          </w:tcPr>
          <w:p>
            <w:pPr>
              <w:spacing w:after="0"/>
              <w:rPr>
                <w:sz w:val="12"/>
                <w:szCs w:val="12"/>
                <w:color w:val="auto"/>
              </w:rPr>
            </w:pPr>
          </w:p>
        </w:tc>
        <w:tc>
          <w:tcPr>
            <w:tcW w:w="8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1,531,734</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0.52%</w:t>
            </w: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4,531,734</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1.56%</w:t>
            </w:r>
          </w:p>
        </w:tc>
        <w:tc>
          <w:tcPr>
            <w:tcW w:w="0" w:type="dxa"/>
            <w:vAlign w:val="bottom"/>
          </w:tcPr>
          <w:p>
            <w:pPr>
              <w:spacing w:after="0"/>
              <w:rPr>
                <w:sz w:val="1"/>
                <w:szCs w:val="1"/>
                <w:color w:val="auto"/>
              </w:rPr>
            </w:pPr>
          </w:p>
        </w:tc>
      </w:tr>
      <w:tr>
        <w:trPr>
          <w:trHeight w:val="129"/>
        </w:trPr>
        <w:tc>
          <w:tcPr>
            <w:tcW w:w="2020" w:type="dxa"/>
            <w:vAlign w:val="bottom"/>
            <w:tcBorders>
              <w:left w:val="single" w:sz="8" w:color="CCFFCC"/>
            </w:tcBorders>
            <w:gridSpan w:val="10"/>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tcBorders>
              <w:top w:val="single" w:sz="8" w:color="auto"/>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80" w:type="dxa"/>
            <w:vAlign w:val="bottom"/>
            <w:tcBorders>
              <w:top w:val="single" w:sz="8" w:color="auto"/>
            </w:tcBorders>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540" w:type="dxa"/>
            <w:vAlign w:val="bottom"/>
            <w:tcBorders>
              <w:top w:val="single" w:sz="8" w:color="CCFFCC"/>
            </w:tcBorders>
            <w:gridSpan w:val="2"/>
          </w:tcPr>
          <w:p>
            <w:pPr>
              <w:spacing w:after="0"/>
              <w:rPr>
                <w:sz w:val="10"/>
                <w:szCs w:val="10"/>
                <w:color w:val="auto"/>
              </w:rPr>
            </w:pPr>
          </w:p>
        </w:tc>
        <w:tc>
          <w:tcPr>
            <w:tcW w:w="5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3"/>
              </w:rPr>
              <w:t>Stockholm, Sweden</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3,658</w:t>
            </w:r>
          </w:p>
        </w:tc>
        <w:tc>
          <w:tcPr>
            <w:tcW w:w="94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3,598,472</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4,443,409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1.54%</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Music Streaming Service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CCFFCC"/>
              <w:bottom w:val="single" w:sz="8" w:color="auto"/>
              <w:right w:val="single" w:sz="8" w:color="CCFFCC"/>
            </w:tcBorders>
            <w:gridSpan w:val="5"/>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0"/>
              </w:rPr>
              <w:t>Global Education</w:t>
            </w:r>
          </w:p>
        </w:tc>
        <w:tc>
          <w:tcPr>
            <w:tcW w:w="920" w:type="dxa"/>
            <w:vAlign w:val="bottom"/>
            <w:tcBorders>
              <w:bottom w:val="single" w:sz="8" w:color="CCFFCC"/>
            </w:tcBorders>
            <w:gridSpan w:val="5"/>
            <w:shd w:val="clear" w:color="auto" w:fill="CCFFCC"/>
          </w:tcPr>
          <w:p>
            <w:pPr>
              <w:spacing w:after="0"/>
              <w:rPr>
                <w:sz w:val="11"/>
                <w:szCs w:val="11"/>
                <w:color w:val="auto"/>
              </w:rPr>
            </w:pPr>
          </w:p>
        </w:tc>
        <w:tc>
          <w:tcPr>
            <w:tcW w:w="5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20" w:type="dxa"/>
            <w:vAlign w:val="bottom"/>
            <w:tcBorders>
              <w:left w:val="single" w:sz="8" w:color="CCFFCC"/>
            </w:tcBorders>
            <w:gridSpan w:val="10"/>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Learning (Holdings) 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5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gridSpan w:val="9"/>
          </w:tcPr>
          <w:p>
            <w:pPr>
              <w:ind w:left="20"/>
              <w:spacing w:after="0" w:line="123" w:lineRule="exact"/>
              <w:rPr>
                <w:sz w:val="20"/>
                <w:szCs w:val="20"/>
                <w:color w:val="auto"/>
              </w:rPr>
            </w:pPr>
            <w:r>
              <w:rPr>
                <w:rFonts w:ascii="Arial" w:cs="Arial" w:eastAsia="Arial" w:hAnsi="Arial"/>
                <w:sz w:val="14"/>
                <w:szCs w:val="14"/>
                <w:color w:val="auto"/>
                <w:w w:val="92"/>
              </w:rPr>
              <w:t>Preferred shares, Series A</w:t>
            </w:r>
          </w:p>
        </w:tc>
        <w:tc>
          <w:tcPr>
            <w:tcW w:w="460" w:type="dxa"/>
            <w:vAlign w:val="bottom"/>
            <w:tcBorders>
              <w:top w:val="single" w:sz="8" w:color="CCFFCC"/>
            </w:tcBorders>
          </w:tcPr>
          <w:p>
            <w:pPr>
              <w:spacing w:after="0"/>
              <w:rPr>
                <w:sz w:val="10"/>
                <w:szCs w:val="10"/>
                <w:color w:val="auto"/>
              </w:rPr>
            </w:pPr>
          </w:p>
        </w:tc>
        <w:tc>
          <w:tcPr>
            <w:tcW w:w="5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7"/>
              </w:rPr>
              <w:t>Hong Kong</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2,126,475</w:t>
            </w:r>
          </w:p>
        </w:tc>
        <w:tc>
          <w:tcPr>
            <w:tcW w:w="94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4,335,671</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4,338,009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1.51%</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Education Technology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CFFCC"/>
            </w:tcBorders>
            <w:gridSpan w:val="10"/>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(1)(5)</w:t>
            </w:r>
          </w:p>
        </w:tc>
        <w:tc>
          <w:tcPr>
            <w:tcW w:w="5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6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Scottsdale, AZ</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3,279,629</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2,019,687</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4,205,142</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1.46%</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Interactive Learning Platform</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CFFCC"/>
            </w:tcBorders>
            <w:gridSpan w:val="10"/>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Violin Memory, Inc.</w:t>
            </w:r>
            <w:r>
              <w:rPr>
                <w:rFonts w:ascii="Arial" w:cs="Arial" w:eastAsia="Arial" w:hAnsi="Arial"/>
                <w:sz w:val="20"/>
                <w:szCs w:val="20"/>
                <w:b w:val="1"/>
                <w:bCs w:val="1"/>
                <w:color w:val="auto"/>
                <w:vertAlign w:val="superscript"/>
              </w:rPr>
              <w:t>(9)</w:t>
            </w:r>
            <w:r>
              <w:rPr>
                <w:rFonts w:ascii="Arial" w:cs="Arial" w:eastAsia="Arial" w:hAnsi="Arial"/>
                <w:sz w:val="13"/>
                <w:szCs w:val="13"/>
                <w:b w:val="1"/>
                <w:bCs w:val="1"/>
                <w:color w:val="auto"/>
              </w:rPr>
              <w:t>**</w:t>
            </w:r>
          </w:p>
        </w:tc>
        <w:tc>
          <w:tcPr>
            <w:tcW w:w="5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6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240" w:type="dxa"/>
            <w:vAlign w:val="bottom"/>
            <w:tcBorders>
              <w:top w:val="single" w:sz="8" w:color="auto"/>
            </w:tcBorders>
            <w:gridSpan w:val="6"/>
          </w:tcPr>
          <w:p>
            <w:pPr>
              <w:ind w:left="20"/>
              <w:spacing w:after="0" w:line="123" w:lineRule="exact"/>
              <w:rPr>
                <w:sz w:val="20"/>
                <w:szCs w:val="20"/>
                <w:color w:val="auto"/>
              </w:rPr>
            </w:pPr>
            <w:r>
              <w:rPr>
                <w:rFonts w:ascii="Arial" w:cs="Arial" w:eastAsia="Arial" w:hAnsi="Arial"/>
                <w:sz w:val="14"/>
                <w:szCs w:val="14"/>
                <w:color w:val="auto"/>
              </w:rPr>
              <w:t>Common Shares</w:t>
            </w:r>
          </w:p>
        </w:tc>
        <w:tc>
          <w:tcPr>
            <w:tcW w:w="780" w:type="dxa"/>
            <w:vAlign w:val="bottom"/>
            <w:tcBorders>
              <w:top w:val="single" w:sz="8" w:color="CCFFCC"/>
            </w:tcBorders>
            <w:gridSpan w:val="4"/>
          </w:tcPr>
          <w:p>
            <w:pPr>
              <w:spacing w:after="0"/>
              <w:rPr>
                <w:sz w:val="10"/>
                <w:szCs w:val="10"/>
                <w:color w:val="auto"/>
              </w:rPr>
            </w:pPr>
          </w:p>
        </w:tc>
        <w:tc>
          <w:tcPr>
            <w:tcW w:w="5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7"/>
              </w:rPr>
              <w:t>Mountain View, CA</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1,247,498</w:t>
            </w:r>
          </w:p>
        </w:tc>
        <w:tc>
          <w:tcPr>
            <w:tcW w:w="94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14,819,618</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4,204,068</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1.46%</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Memory Flash</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20" w:type="dxa"/>
            <w:vAlign w:val="bottom"/>
            <w:tcBorders>
              <w:left w:val="single" w:sz="8" w:color="CCFFCC"/>
            </w:tcBorders>
            <w:gridSpan w:val="10"/>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Dataminr, Inc.</w:t>
            </w: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tcBorders>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904,977</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2,063,356</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2,934,840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1.02%</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Social Media Analytics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CCFFCC"/>
            </w:tcBorders>
            <w:gridSpan w:val="10"/>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5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301,369</w:t>
            </w:r>
          </w:p>
        </w:tc>
        <w:tc>
          <w:tcPr>
            <w:tcW w:w="80" w:type="dxa"/>
            <w:vAlign w:val="bottom"/>
            <w:shd w:val="clear" w:color="auto" w:fill="CCFFCC"/>
          </w:tcPr>
          <w:p>
            <w:pPr>
              <w:spacing w:after="0"/>
              <w:rPr>
                <w:sz w:val="12"/>
                <w:szCs w:val="12"/>
                <w:color w:val="auto"/>
              </w:rPr>
            </w:pPr>
          </w:p>
        </w:tc>
        <w:tc>
          <w:tcPr>
            <w:tcW w:w="8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1,100,909</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1,099,997</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0.38%</w:t>
            </w: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4,034,837</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1.40%</w:t>
            </w:r>
          </w:p>
        </w:tc>
        <w:tc>
          <w:tcPr>
            <w:tcW w:w="0" w:type="dxa"/>
            <w:vAlign w:val="bottom"/>
          </w:tcPr>
          <w:p>
            <w:pPr>
              <w:spacing w:after="0"/>
              <w:rPr>
                <w:sz w:val="1"/>
                <w:szCs w:val="1"/>
                <w:color w:val="auto"/>
              </w:rPr>
            </w:pPr>
          </w:p>
        </w:tc>
      </w:tr>
      <w:tr>
        <w:trPr>
          <w:trHeight w:val="129"/>
        </w:trPr>
        <w:tc>
          <w:tcPr>
            <w:tcW w:w="2020" w:type="dxa"/>
            <w:vAlign w:val="bottom"/>
            <w:tcBorders>
              <w:left w:val="single" w:sz="8" w:color="CCFFCC"/>
            </w:tcBorders>
            <w:gridSpan w:val="10"/>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Gilt Groupe, Inc.</w:t>
            </w: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tcBorders>
              <w:top w:val="single" w:sz="8" w:color="auto"/>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100" w:type="dxa"/>
            <w:vAlign w:val="bottom"/>
            <w:tcBorders>
              <w:top w:val="single" w:sz="8" w:color="auto"/>
            </w:tcBorders>
            <w:gridSpan w:val="5"/>
          </w:tcPr>
          <w:p>
            <w:pPr>
              <w:ind w:left="20"/>
              <w:spacing w:after="0" w:line="123" w:lineRule="exact"/>
              <w:rPr>
                <w:sz w:val="20"/>
                <w:szCs w:val="20"/>
                <w:color w:val="auto"/>
              </w:rPr>
            </w:pPr>
            <w:r>
              <w:rPr>
                <w:rFonts w:ascii="Arial" w:cs="Arial" w:eastAsia="Arial" w:hAnsi="Arial"/>
                <w:sz w:val="14"/>
                <w:szCs w:val="14"/>
                <w:color w:val="auto"/>
              </w:rPr>
              <w:t>Common shares</w:t>
            </w:r>
          </w:p>
        </w:tc>
        <w:tc>
          <w:tcPr>
            <w:tcW w:w="920" w:type="dxa"/>
            <w:vAlign w:val="bottom"/>
            <w:tcBorders>
              <w:top w:val="single" w:sz="8" w:color="CCFFCC"/>
            </w:tcBorders>
            <w:gridSpan w:val="5"/>
          </w:tcPr>
          <w:p>
            <w:pPr>
              <w:spacing w:after="0"/>
              <w:rPr>
                <w:sz w:val="10"/>
                <w:szCs w:val="10"/>
                <w:color w:val="auto"/>
              </w:rPr>
            </w:pPr>
          </w:p>
        </w:tc>
        <w:tc>
          <w:tcPr>
            <w:tcW w:w="5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248,600</w:t>
            </w:r>
          </w:p>
        </w:tc>
        <w:tc>
          <w:tcPr>
            <w:tcW w:w="94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6,594,433</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4,024,389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1.40%</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1"/>
              </w:rPr>
              <w:t>e-Commerce Flash Sales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CCFFCC"/>
              <w:bottom w:val="single" w:sz="8" w:color="auto"/>
              <w:right w:val="single" w:sz="8" w:color="CCFFCC"/>
            </w:tcBorders>
            <w:gridSpan w:val="5"/>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9"/>
              </w:rPr>
              <w:t>Parchment, Inc.</w:t>
            </w:r>
          </w:p>
        </w:tc>
        <w:tc>
          <w:tcPr>
            <w:tcW w:w="920" w:type="dxa"/>
            <w:vAlign w:val="bottom"/>
            <w:tcBorders>
              <w:bottom w:val="single" w:sz="8" w:color="CCFFCC"/>
            </w:tcBorders>
            <w:gridSpan w:val="5"/>
            <w:shd w:val="clear" w:color="auto" w:fill="CCFFCC"/>
          </w:tcPr>
          <w:p>
            <w:pPr>
              <w:spacing w:after="0"/>
              <w:rPr>
                <w:sz w:val="11"/>
                <w:szCs w:val="11"/>
                <w:color w:val="auto"/>
              </w:rPr>
            </w:pPr>
          </w:p>
        </w:tc>
        <w:tc>
          <w:tcPr>
            <w:tcW w:w="5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Scottsdale, AZ</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3,200,512</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4,000,862</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4,000,640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1.39%</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E-Transcript Exchange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CFFCC"/>
            </w:tcBorders>
            <w:gridSpan w:val="10"/>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Ozy Media, Inc.</w:t>
            </w:r>
            <w:r>
              <w:rPr>
                <w:rFonts w:ascii="Arial" w:cs="Arial" w:eastAsia="Arial" w:hAnsi="Arial"/>
                <w:sz w:val="20"/>
                <w:szCs w:val="20"/>
                <w:b w:val="1"/>
                <w:bCs w:val="1"/>
                <w:color w:val="auto"/>
                <w:vertAlign w:val="superscript"/>
              </w:rPr>
              <w:t>(1)</w:t>
            </w:r>
          </w:p>
        </w:tc>
        <w:tc>
          <w:tcPr>
            <w:tcW w:w="5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6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2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Mountain View,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1.090,909</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3,000,000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1.04%</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Media</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CCFFCC"/>
            </w:tcBorders>
            <w:gridSpan w:val="10"/>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5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FFCC"/>
          </w:tcPr>
          <w:p>
            <w:pPr>
              <w:spacing w:after="0"/>
              <w:rPr>
                <w:sz w:val="12"/>
                <w:szCs w:val="12"/>
                <w:color w:val="auto"/>
              </w:rPr>
            </w:pPr>
          </w:p>
        </w:tc>
        <w:tc>
          <w:tcPr>
            <w:tcW w:w="8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865,000</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0.30%</w:t>
            </w:r>
          </w:p>
        </w:tc>
        <w:tc>
          <w:tcPr>
            <w:tcW w:w="0" w:type="dxa"/>
            <w:vAlign w:val="bottom"/>
          </w:tcPr>
          <w:p>
            <w:pPr>
              <w:spacing w:after="0"/>
              <w:rPr>
                <w:sz w:val="1"/>
                <w:szCs w:val="1"/>
                <w:color w:val="auto"/>
              </w:rPr>
            </w:pPr>
          </w:p>
        </w:tc>
      </w:tr>
      <w:tr>
        <w:trPr>
          <w:trHeight w:val="20"/>
        </w:trPr>
        <w:tc>
          <w:tcPr>
            <w:tcW w:w="4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3,500,000</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3,865,000</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1.34%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-4064000</wp:posOffset>
            </wp:positionV>
            <wp:extent cx="5213985"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-2983865</wp:posOffset>
            </wp:positionV>
            <wp:extent cx="5213985" cy="111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-1191260</wp:posOffset>
            </wp:positionV>
            <wp:extent cx="5213985"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-4784725</wp:posOffset>
            </wp:positionV>
            <wp:extent cx="5213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7"/>
          </w:tcPr>
          <w:p>
            <w:pPr>
              <w:jc w:val="center"/>
              <w:ind w:left="227"/>
              <w:spacing w:after="0"/>
              <w:rPr>
                <w:sz w:val="20"/>
                <w:szCs w:val="20"/>
                <w:color w:val="auto"/>
              </w:rPr>
            </w:pPr>
            <w:r>
              <w:rPr>
                <w:rFonts w:ascii="Arial" w:cs="Arial" w:eastAsia="Arial" w:hAnsi="Arial"/>
                <w:sz w:val="18"/>
                <w:szCs w:val="18"/>
                <w:b w:val="1"/>
                <w:bCs w:val="1"/>
                <w:color w:val="auto"/>
                <w:w w:val="98"/>
              </w:rPr>
              <w:t>GSV CAPITAL CORP. AND SUBSIDIARIES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5"/>
                <w:szCs w:val="15"/>
                <w:color w:val="auto"/>
              </w:rPr>
            </w:pPr>
          </w:p>
        </w:tc>
        <w:tc>
          <w:tcPr>
            <w:tcW w:w="2940" w:type="dxa"/>
            <w:vAlign w:val="bottom"/>
            <w:gridSpan w:val="3"/>
          </w:tcPr>
          <w:p>
            <w:pPr>
              <w:jc w:val="center"/>
              <w:ind w:left="1287"/>
              <w:spacing w:after="0" w:line="181" w:lineRule="exact"/>
              <w:rPr>
                <w:sz w:val="20"/>
                <w:szCs w:val="20"/>
                <w:color w:val="auto"/>
              </w:rPr>
            </w:pPr>
            <w:r>
              <w:rPr>
                <w:rFonts w:ascii="Arial" w:cs="Arial" w:eastAsia="Arial" w:hAnsi="Arial"/>
                <w:sz w:val="18"/>
                <w:szCs w:val="18"/>
                <w:b w:val="1"/>
                <w:bCs w:val="1"/>
                <w:color w:val="auto"/>
                <w:w w:val="90"/>
              </w:rPr>
              <w:t>December 31, 2013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560" w:type="dxa"/>
            <w:vAlign w:val="bottom"/>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Totus Solutions, Inc.</w:t>
            </w:r>
            <w:r>
              <w:rPr>
                <w:rFonts w:ascii="Arial" w:cs="Arial" w:eastAsia="Arial" w:hAnsi="Arial"/>
                <w:sz w:val="19"/>
                <w:szCs w:val="19"/>
                <w:b w:val="1"/>
                <w:bCs w:val="1"/>
                <w:color w:val="auto"/>
                <w:vertAlign w:val="superscript"/>
              </w:rPr>
              <w:t>(1)</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Carrollton, TX</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11,307,348</w:t>
            </w:r>
          </w:p>
        </w:tc>
        <w:tc>
          <w:tcPr>
            <w:tcW w:w="2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2,840,391</w:t>
            </w:r>
          </w:p>
        </w:tc>
        <w:tc>
          <w:tcPr>
            <w:tcW w:w="140" w:type="dxa"/>
            <w:vAlign w:val="bottom"/>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576,675</w:t>
            </w: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LED Lighting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8,692,652</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2,183,582</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2,173,163</w:t>
            </w:r>
          </w:p>
        </w:tc>
        <w:tc>
          <w:tcPr>
            <w:tcW w:w="740" w:type="dxa"/>
            <w:vAlign w:val="bottom"/>
            <w:tcBorders>
              <w:left w:val="single" w:sz="8" w:color="CCFFCC"/>
            </w:tcBorders>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11.111,110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1,001,001</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FFCC"/>
          </w:tcPr>
          <w:p>
            <w:pPr>
              <w:spacing w:after="0"/>
              <w:rPr>
                <w:sz w:val="12"/>
                <w:szCs w:val="12"/>
                <w:color w:val="auto"/>
              </w:rPr>
            </w:pPr>
          </w:p>
        </w:tc>
        <w:tc>
          <w:tcPr>
            <w:tcW w:w="2540" w:type="dxa"/>
            <w:vAlign w:val="bottom"/>
            <w:gridSpan w:val="8"/>
            <w:shd w:val="clear" w:color="auto" w:fill="CCFFCC"/>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6,023,973</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3,750,839</w:t>
            </w:r>
          </w:p>
        </w:tc>
        <w:tc>
          <w:tcPr>
            <w:tcW w:w="740" w:type="dxa"/>
            <w:vAlign w:val="bottom"/>
            <w:tcBorders>
              <w:left w:val="single" w:sz="8" w:color="CCFFCC"/>
            </w:tcBorders>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9"/>
        </w:trPr>
        <w:tc>
          <w:tcPr>
            <w:tcW w:w="2560" w:type="dxa"/>
            <w:vAlign w:val="bottom"/>
            <w:tcBorders>
              <w:top w:val="single" w:sz="8" w:color="CCFFCC"/>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80" w:type="dxa"/>
            <w:vAlign w:val="bottom"/>
            <w:tcBorders>
              <w:top w:val="single" w:sz="8" w:color="CCFFCC"/>
            </w:tcBorders>
          </w:tcPr>
          <w:p>
            <w:pPr>
              <w:spacing w:after="0"/>
              <w:rPr>
                <w:sz w:val="14"/>
                <w:szCs w:val="14"/>
                <w:color w:val="auto"/>
              </w:rPr>
            </w:pPr>
          </w:p>
        </w:tc>
        <w:tc>
          <w:tcPr>
            <w:tcW w:w="20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7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8"/>
              </w:rPr>
              <w:t>Cambridge, MA</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1,728,724</w:t>
            </w: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3,193,444</w:t>
            </w:r>
          </w:p>
        </w:tc>
        <w:tc>
          <w:tcPr>
            <w:tcW w:w="140" w:type="dxa"/>
            <w:vAlign w:val="bottom"/>
            <w:tcBorders>
              <w:lef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3,114,120</w:t>
            </w:r>
          </w:p>
        </w:tc>
        <w:tc>
          <w:tcPr>
            <w:tcW w:w="740" w:type="dxa"/>
            <w:vAlign w:val="bottom"/>
            <w:tcBorders>
              <w:left w:val="single" w:sz="8" w:color="CCFFCC"/>
            </w:tcBorders>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0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1"/>
              </w:rPr>
              <w:t>Business Education</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Term Loan, 10%, 3/31/14***</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262,612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Term Loan, 10%, 3/31/14***</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241,239</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250,000</w:t>
            </w:r>
          </w:p>
        </w:tc>
        <w:tc>
          <w:tcPr>
            <w:tcW w:w="740" w:type="dxa"/>
            <w:vAlign w:val="bottom"/>
            <w:tcBorders>
              <w:left w:val="single" w:sz="8" w:color="CCFFCC"/>
            </w:tcBorders>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186,170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67,021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126,362</w:t>
            </w:r>
          </w:p>
        </w:tc>
        <w:tc>
          <w:tcPr>
            <w:tcW w:w="7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8"/>
          </w:tcPr>
          <w:p>
            <w:pPr>
              <w:ind w:left="180"/>
              <w:spacing w:after="0"/>
              <w:rPr>
                <w:sz w:val="20"/>
                <w:szCs w:val="20"/>
                <w:color w:val="auto"/>
              </w:rPr>
            </w:pPr>
            <w:r>
              <w:rPr>
                <w:rFonts w:ascii="Arial" w:cs="Arial" w:eastAsia="Arial" w:hAnsi="Arial"/>
                <w:sz w:val="14"/>
                <w:szCs w:val="14"/>
                <w:color w:val="auto"/>
              </w:rPr>
              <w:t>expire 3/22/2020</w:t>
            </w: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82,418</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9,901</w:t>
            </w:r>
          </w:p>
        </w:tc>
        <w:tc>
          <w:tcPr>
            <w:tcW w:w="14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2540" w:type="dxa"/>
            <w:vAlign w:val="bottom"/>
            <w:gridSpan w:val="8"/>
            <w:shd w:val="clear" w:color="auto" w:fill="CCFFCC"/>
          </w:tcPr>
          <w:p>
            <w:pPr>
              <w:ind w:left="180"/>
              <w:spacing w:after="0"/>
              <w:rPr>
                <w:sz w:val="20"/>
                <w:szCs w:val="20"/>
                <w:color w:val="auto"/>
              </w:rPr>
            </w:pPr>
            <w:r>
              <w:rPr>
                <w:rFonts w:ascii="Arial" w:cs="Arial" w:eastAsia="Arial" w:hAnsi="Arial"/>
                <w:sz w:val="14"/>
                <w:szCs w:val="14"/>
                <w:color w:val="auto"/>
              </w:rPr>
              <w:t>expire 10/09/2018</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82,418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9,799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8"/>
          </w:tcPr>
          <w:p>
            <w:pPr>
              <w:ind w:left="180"/>
              <w:spacing w:after="0"/>
              <w:rPr>
                <w:sz w:val="20"/>
                <w:szCs w:val="20"/>
                <w:color w:val="auto"/>
              </w:rPr>
            </w:pPr>
            <w:r>
              <w:rPr>
                <w:rFonts w:ascii="Arial" w:cs="Arial" w:eastAsia="Arial" w:hAnsi="Arial"/>
                <w:sz w:val="14"/>
                <w:szCs w:val="14"/>
                <w:color w:val="auto"/>
              </w:rPr>
              <w:t>expire 12/10/2018</w:t>
            </w: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FFCC"/>
          </w:tcPr>
          <w:p>
            <w:pPr>
              <w:spacing w:after="0"/>
              <w:rPr>
                <w:sz w:val="12"/>
                <w:szCs w:val="12"/>
                <w:color w:val="auto"/>
              </w:rPr>
            </w:pPr>
          </w:p>
        </w:tc>
        <w:tc>
          <w:tcPr>
            <w:tcW w:w="2540" w:type="dxa"/>
            <w:vAlign w:val="bottom"/>
            <w:gridSpan w:val="8"/>
            <w:shd w:val="clear" w:color="auto" w:fill="CCFFCC"/>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3,784,016</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3,740,482</w:t>
            </w:r>
          </w:p>
        </w:tc>
        <w:tc>
          <w:tcPr>
            <w:tcW w:w="740" w:type="dxa"/>
            <w:vAlign w:val="bottom"/>
            <w:tcBorders>
              <w:left w:val="single" w:sz="8" w:color="CCFFCC"/>
            </w:tcBorders>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29"/>
        </w:trPr>
        <w:tc>
          <w:tcPr>
            <w:tcW w:w="2560" w:type="dxa"/>
            <w:vAlign w:val="bottom"/>
            <w:tcBorders>
              <w:top w:val="single" w:sz="8" w:color="CCFFCC"/>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80" w:type="dxa"/>
            <w:vAlign w:val="bottom"/>
            <w:tcBorders>
              <w:top w:val="single" w:sz="8" w:color="CCFFCC"/>
            </w:tcBorders>
          </w:tcPr>
          <w:p>
            <w:pPr>
              <w:spacing w:after="0"/>
              <w:rPr>
                <w:sz w:val="11"/>
                <w:szCs w:val="11"/>
                <w:color w:val="auto"/>
              </w:rPr>
            </w:pPr>
          </w:p>
        </w:tc>
        <w:tc>
          <w:tcPr>
            <w:tcW w:w="208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78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4"/>
              </w:rPr>
              <w:t>Sunnyvale, CA</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201,589</w:t>
            </w: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3,855,601</w:t>
            </w:r>
          </w:p>
        </w:tc>
        <w:tc>
          <w:tcPr>
            <w:tcW w:w="140" w:type="dxa"/>
            <w:vAlign w:val="bottom"/>
            <w:tcBorders>
              <w:lef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3,731,264</w:t>
            </w:r>
          </w:p>
        </w:tc>
        <w:tc>
          <w:tcPr>
            <w:tcW w:w="740" w:type="dxa"/>
            <w:vAlign w:val="bottom"/>
            <w:tcBorders>
              <w:left w:val="single" w:sz="8" w:color="CCFFCC"/>
            </w:tcBorders>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0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Fuel Cell Energy</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Learnist Inc, (f/k/a Grockit, Inc.)</w:t>
            </w:r>
            <w:r>
              <w:rPr>
                <w:rFonts w:ascii="Arial" w:cs="Arial" w:eastAsia="Arial" w:hAnsi="Arial"/>
                <w:sz w:val="20"/>
                <w:szCs w:val="20"/>
                <w:b w:val="1"/>
                <w:bCs w:val="1"/>
                <w:color w:val="auto"/>
                <w:vertAlign w:val="superscript"/>
              </w:rPr>
              <w:t>(1)(11)</w:t>
            </w: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2,728,252</w:t>
            </w: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2,005,945</w:t>
            </w:r>
          </w:p>
        </w:tc>
        <w:tc>
          <w:tcPr>
            <w:tcW w:w="140" w:type="dxa"/>
            <w:vAlign w:val="bottom"/>
            <w:tcBorders>
              <w:lef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2,073,472</w:t>
            </w:r>
          </w:p>
        </w:tc>
        <w:tc>
          <w:tcPr>
            <w:tcW w:w="740" w:type="dxa"/>
            <w:vAlign w:val="bottom"/>
            <w:tcBorders>
              <w:left w:val="single" w:sz="8" w:color="CCFFCC"/>
            </w:tcBorders>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0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1"/>
              </w:rPr>
              <w:t>Online Test Preparation</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1,731,501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1,503,670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1,499,999</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FFCC"/>
          </w:tcPr>
          <w:p>
            <w:pPr>
              <w:spacing w:after="0"/>
              <w:rPr>
                <w:sz w:val="12"/>
                <w:szCs w:val="12"/>
                <w:color w:val="auto"/>
              </w:rPr>
            </w:pPr>
          </w:p>
        </w:tc>
        <w:tc>
          <w:tcPr>
            <w:tcW w:w="2540" w:type="dxa"/>
            <w:vAlign w:val="bottom"/>
            <w:gridSpan w:val="8"/>
            <w:shd w:val="clear" w:color="auto" w:fill="CCFFCC"/>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3,509,615</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3,573,471</w:t>
            </w:r>
          </w:p>
        </w:tc>
        <w:tc>
          <w:tcPr>
            <w:tcW w:w="740" w:type="dxa"/>
            <w:vAlign w:val="bottom"/>
            <w:tcBorders>
              <w:left w:val="single" w:sz="8" w:color="CCFFCC"/>
            </w:tcBorders>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9"/>
        </w:trPr>
        <w:tc>
          <w:tcPr>
            <w:tcW w:w="2560" w:type="dxa"/>
            <w:vAlign w:val="bottom"/>
            <w:tcBorders>
              <w:top w:val="single" w:sz="8" w:color="CCFFCC"/>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CUX, Inc. (d/b/a CorpU)</w:t>
            </w:r>
            <w:r>
              <w:rPr>
                <w:rFonts w:ascii="Arial" w:cs="Arial" w:eastAsia="Arial" w:hAnsi="Arial"/>
                <w:sz w:val="19"/>
                <w:szCs w:val="19"/>
                <w:b w:val="1"/>
                <w:bCs w:val="1"/>
                <w:color w:val="auto"/>
                <w:vertAlign w:val="superscript"/>
              </w:rPr>
              <w:t>(1)</w:t>
            </w:r>
          </w:p>
        </w:tc>
        <w:tc>
          <w:tcPr>
            <w:tcW w:w="80" w:type="dxa"/>
            <w:vAlign w:val="bottom"/>
            <w:tcBorders>
              <w:top w:val="single" w:sz="8" w:color="CCFFCC"/>
            </w:tcBorders>
          </w:tcPr>
          <w:p>
            <w:pPr>
              <w:spacing w:after="0"/>
              <w:rPr>
                <w:sz w:val="14"/>
                <w:szCs w:val="14"/>
                <w:color w:val="auto"/>
              </w:rPr>
            </w:pPr>
          </w:p>
        </w:tc>
        <w:tc>
          <w:tcPr>
            <w:tcW w:w="20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7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615,763</w:t>
            </w: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2,006,077</w:t>
            </w:r>
          </w:p>
        </w:tc>
        <w:tc>
          <w:tcPr>
            <w:tcW w:w="140" w:type="dxa"/>
            <w:vAlign w:val="bottom"/>
            <w:tcBorders>
              <w:lef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2,229,678</w:t>
            </w:r>
          </w:p>
        </w:tc>
        <w:tc>
          <w:tcPr>
            <w:tcW w:w="740" w:type="dxa"/>
            <w:vAlign w:val="bottom"/>
            <w:tcBorders>
              <w:left w:val="single" w:sz="8" w:color="CCFFCC"/>
            </w:tcBorders>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0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Corporate Education</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169,033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778,607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697,041</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30"/>
        </w:trPr>
        <w:tc>
          <w:tcPr>
            <w:tcW w:w="2560" w:type="dxa"/>
            <w:vAlign w:val="bottom"/>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16,903</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2540" w:type="dxa"/>
            <w:vAlign w:val="bottom"/>
            <w:tcBorders>
              <w:bottom w:val="single" w:sz="8" w:color="CCFFCC"/>
            </w:tcBorders>
            <w:gridSpan w:val="8"/>
            <w:shd w:val="clear" w:color="auto" w:fill="CCFFCC"/>
          </w:tcPr>
          <w:p>
            <w:pPr>
              <w:ind w:left="180"/>
              <w:spacing w:after="0"/>
              <w:rPr>
                <w:sz w:val="20"/>
                <w:szCs w:val="20"/>
                <w:color w:val="auto"/>
              </w:rPr>
            </w:pPr>
            <w:r>
              <w:rPr>
                <w:rFonts w:ascii="Arial" w:cs="Arial" w:eastAsia="Arial" w:hAnsi="Arial"/>
                <w:sz w:val="14"/>
                <w:szCs w:val="14"/>
                <w:color w:val="auto"/>
              </w:rPr>
              <w:t>expire 02/25/2018</w:t>
            </w:r>
          </w:p>
        </w:tc>
        <w:tc>
          <w:tcPr>
            <w:tcW w:w="8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2,784,684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2,926,719</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9"/>
        </w:trPr>
        <w:tc>
          <w:tcPr>
            <w:tcW w:w="2560" w:type="dxa"/>
            <w:vAlign w:val="bottom"/>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SharesPost, Inc.</w:t>
            </w:r>
            <w:r>
              <w:rPr>
                <w:rFonts w:ascii="Arial" w:cs="Arial" w:eastAsia="Arial" w:hAnsi="Arial"/>
                <w:sz w:val="19"/>
                <w:szCs w:val="19"/>
                <w:b w:val="1"/>
                <w:bCs w:val="1"/>
                <w:color w:val="auto"/>
                <w:vertAlign w:val="superscript"/>
              </w:rPr>
              <w:t>(6)</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6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7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San Bruno,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1,771,653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2,259,716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2,232,283</w:t>
            </w: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Online Marketplace Finance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770,934</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23,128</w:t>
            </w:r>
          </w:p>
        </w:tc>
        <w:tc>
          <w:tcPr>
            <w:tcW w:w="14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115,640</w:t>
            </w:r>
          </w:p>
        </w:tc>
        <w:tc>
          <w:tcPr>
            <w:tcW w:w="740" w:type="dxa"/>
            <w:vAlign w:val="bottom"/>
            <w:tcBorders>
              <w:left w:val="single" w:sz="8" w:color="CCFFCC"/>
            </w:tcBorders>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2540" w:type="dxa"/>
            <w:vAlign w:val="bottom"/>
            <w:tcBorders>
              <w:bottom w:val="single" w:sz="8" w:color="CCFFCC"/>
            </w:tcBorders>
            <w:gridSpan w:val="8"/>
            <w:shd w:val="clear" w:color="auto" w:fill="CCFFCC"/>
          </w:tcPr>
          <w:p>
            <w:pPr>
              <w:ind w:left="180"/>
              <w:spacing w:after="0"/>
              <w:rPr>
                <w:sz w:val="20"/>
                <w:szCs w:val="20"/>
                <w:color w:val="auto"/>
              </w:rPr>
            </w:pPr>
            <w:r>
              <w:rPr>
                <w:rFonts w:ascii="Arial" w:cs="Arial" w:eastAsia="Arial" w:hAnsi="Arial"/>
                <w:sz w:val="14"/>
                <w:szCs w:val="14"/>
                <w:color w:val="auto"/>
              </w:rPr>
              <w:t>expire 6/15/2018</w:t>
            </w:r>
          </w:p>
        </w:tc>
        <w:tc>
          <w:tcPr>
            <w:tcW w:w="8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2,347,923</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TrueCar,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0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Santa Monica,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377,358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2,014,863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2,299,997</w:t>
            </w: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Online Marketplace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9"/>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DreamBox Learning,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Bellevue, WA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7,159,221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1,502,362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1,503,436</w:t>
            </w: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Education Technology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3,579,610</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758,017</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751,718</w:t>
            </w:r>
          </w:p>
        </w:tc>
        <w:tc>
          <w:tcPr>
            <w:tcW w:w="740" w:type="dxa"/>
            <w:vAlign w:val="bottom"/>
            <w:tcBorders>
              <w:left w:val="single" w:sz="8" w:color="CCFFCC"/>
            </w:tcBorders>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0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2,255,154</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69"/>
        </w:trPr>
        <w:tc>
          <w:tcPr>
            <w:tcW w:w="2560" w:type="dxa"/>
            <w:vAlign w:val="bottom"/>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6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7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318,979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2,000,447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1,999,998</w:t>
            </w: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Knowledge Networks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49,505</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217,206</w:t>
            </w:r>
          </w:p>
        </w:tc>
        <w:tc>
          <w:tcPr>
            <w:tcW w:w="14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249,505</w:t>
            </w:r>
          </w:p>
        </w:tc>
        <w:tc>
          <w:tcPr>
            <w:tcW w:w="740" w:type="dxa"/>
            <w:vAlign w:val="bottom"/>
            <w:tcBorders>
              <w:left w:val="single" w:sz="8" w:color="CCFFCC"/>
            </w:tcBorders>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0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2,249,503</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-4578985</wp:posOffset>
            </wp:positionV>
            <wp:extent cx="521398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-2606675</wp:posOffset>
            </wp:positionV>
            <wp:extent cx="521398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-2005965</wp:posOffset>
            </wp:positionV>
            <wp:extent cx="5213985"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213985"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-5521960</wp:posOffset>
            </wp:positionV>
            <wp:extent cx="5213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7"/>
          </w:tcPr>
          <w:p>
            <w:pPr>
              <w:jc w:val="center"/>
              <w:ind w:left="226"/>
              <w:spacing w:after="0"/>
              <w:rPr>
                <w:sz w:val="20"/>
                <w:szCs w:val="20"/>
                <w:color w:val="auto"/>
              </w:rPr>
            </w:pPr>
            <w:r>
              <w:rPr>
                <w:rFonts w:ascii="Arial" w:cs="Arial" w:eastAsia="Arial" w:hAnsi="Arial"/>
                <w:sz w:val="18"/>
                <w:szCs w:val="18"/>
                <w:b w:val="1"/>
                <w:bCs w:val="1"/>
                <w:color w:val="auto"/>
                <w:w w:val="98"/>
              </w:rPr>
              <w:t>GSV CAPITAL CORP. AND SUBSIDIARIES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10"/>
          </w:tcPr>
          <w:p>
            <w:pPr>
              <w:jc w:val="center"/>
              <w:ind w:left="90"/>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5"/>
                <w:szCs w:val="15"/>
                <w:color w:val="auto"/>
              </w:rPr>
            </w:pPr>
          </w:p>
        </w:tc>
        <w:tc>
          <w:tcPr>
            <w:tcW w:w="2940" w:type="dxa"/>
            <w:vAlign w:val="bottom"/>
            <w:gridSpan w:val="3"/>
          </w:tcPr>
          <w:p>
            <w:pPr>
              <w:jc w:val="center"/>
              <w:ind w:left="1286"/>
              <w:spacing w:after="0" w:line="181" w:lineRule="exact"/>
              <w:rPr>
                <w:sz w:val="20"/>
                <w:szCs w:val="20"/>
                <w:color w:val="auto"/>
              </w:rPr>
            </w:pPr>
            <w:r>
              <w:rPr>
                <w:rFonts w:ascii="Arial" w:cs="Arial" w:eastAsia="Arial" w:hAnsi="Arial"/>
                <w:sz w:val="18"/>
                <w:szCs w:val="18"/>
                <w:b w:val="1"/>
                <w:bCs w:val="1"/>
                <w:color w:val="auto"/>
                <w:w w:val="90"/>
              </w:rPr>
              <w:t>December 31, 2013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560" w:type="dxa"/>
            <w:vAlign w:val="bottom"/>
            <w:tcBorders>
              <w:left w:val="single" w:sz="8" w:color="CCFFCC"/>
            </w:tcBorders>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Silver Spring Networks,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Redwood City,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102,028</w:t>
            </w:r>
          </w:p>
        </w:tc>
        <w:tc>
          <w:tcPr>
            <w:tcW w:w="2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5,145,271</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   2,142,588</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0.74%</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Smart Grid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9"/>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NestGSV, Inc.</w:t>
            </w:r>
            <w:r>
              <w:rPr>
                <w:rFonts w:ascii="Arial" w:cs="Arial" w:eastAsia="Arial" w:hAnsi="Arial"/>
                <w:sz w:val="20"/>
                <w:szCs w:val="20"/>
                <w:b w:val="1"/>
                <w:bCs w:val="1"/>
                <w:color w:val="auto"/>
                <w:vertAlign w:val="superscript"/>
              </w:rPr>
              <w:t>(1)</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Redwood City,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1,021,778</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1,188,137</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0.41%</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Incubator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450,000</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605,500</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594,068</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0.21%</w:t>
            </w: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1,627,278</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1,782,205</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0.62%</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ePals Inc.**</w:t>
            </w:r>
            <w:r>
              <w:rPr>
                <w:rFonts w:ascii="Arial" w:cs="Arial" w:eastAsia="Arial" w:hAnsi="Arial"/>
                <w:sz w:val="19"/>
                <w:szCs w:val="19"/>
                <w:b w:val="1"/>
                <w:bCs w:val="1"/>
                <w:color w:val="auto"/>
                <w:vertAlign w:val="superscript"/>
              </w:rPr>
              <w:t>(1)(10)</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Herndon, VA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33,333,333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2,444,759</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1,666,667</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0.58%</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w w:val="94"/>
              </w:rPr>
              <w:t>Common warrants, 0.075 CAD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11,111,111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33,333</w:t>
            </w:r>
          </w:p>
        </w:tc>
        <w:tc>
          <w:tcPr>
            <w:tcW w:w="740" w:type="dxa"/>
            <w:vAlign w:val="bottom"/>
            <w:tcBorders>
              <w:left w:val="single" w:sz="8" w:color="CCFFCC"/>
            </w:tcBorders>
            <w:gridSpan w:val="3"/>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0"/>
              </w:rPr>
              <w:t>0.01%</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bottom w:val="single" w:sz="8" w:color="CCFFCC"/>
            </w:tcBorders>
            <w:gridSpan w:val="9"/>
            <w:shd w:val="clear" w:color="auto" w:fill="CCFFCC"/>
          </w:tcPr>
          <w:p>
            <w:pPr>
              <w:ind w:left="200"/>
              <w:spacing w:after="0"/>
              <w:rPr>
                <w:sz w:val="20"/>
                <w:szCs w:val="20"/>
                <w:color w:val="auto"/>
              </w:rPr>
            </w:pPr>
            <w:r>
              <w:rPr>
                <w:rFonts w:ascii="Arial" w:cs="Arial" w:eastAsia="Arial" w:hAnsi="Arial"/>
                <w:sz w:val="14"/>
                <w:szCs w:val="14"/>
                <w:color w:val="auto"/>
              </w:rPr>
              <w:t>expire 4/30/2014</w:t>
            </w:r>
          </w:p>
        </w:tc>
        <w:tc>
          <w:tcPr>
            <w:tcW w:w="8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2,444,759</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1,700,000</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0.59%</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S3 Digital Corp. (d/b/a S3i)</w:t>
            </w:r>
            <w:r>
              <w:rPr>
                <w:rFonts w:ascii="Arial" w:cs="Arial" w:eastAsia="Arial" w:hAnsi="Arial"/>
                <w:sz w:val="19"/>
                <w:szCs w:val="19"/>
                <w:b w:val="1"/>
                <w:bCs w:val="1"/>
                <w:color w:val="auto"/>
                <w:vertAlign w:val="superscript"/>
              </w:rPr>
              <w:t>(1)</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Class A1</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1,033,452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989,058</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1,168,847</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0.41%</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Sports Analytics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31,354</w:t>
            </w: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150,000</w:t>
            </w:r>
          </w:p>
        </w:tc>
        <w:tc>
          <w:tcPr>
            <w:tcW w:w="740" w:type="dxa"/>
            <w:vAlign w:val="bottom"/>
            <w:tcBorders>
              <w:left w:val="single" w:sz="8" w:color="CCFFCC"/>
            </w:tcBorders>
            <w:gridSpan w:val="3"/>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0"/>
              </w:rPr>
              <w:t>0.05%</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tcBorders>
            <w:gridSpan w:val="9"/>
            <w:shd w:val="clear" w:color="auto" w:fill="CCFFCC"/>
          </w:tcPr>
          <w:p>
            <w:pPr>
              <w:ind w:left="200"/>
              <w:spacing w:after="0"/>
              <w:rPr>
                <w:sz w:val="20"/>
                <w:szCs w:val="20"/>
                <w:color w:val="auto"/>
              </w:rPr>
            </w:pPr>
            <w:r>
              <w:rPr>
                <w:rFonts w:ascii="Arial" w:cs="Arial" w:eastAsia="Arial" w:hAnsi="Arial"/>
                <w:sz w:val="14"/>
                <w:szCs w:val="14"/>
                <w:color w:val="auto"/>
              </w:rPr>
              <w:t>expire 11/21/2017</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80" w:type="dxa"/>
            <w:vAlign w:val="bottom"/>
            <w:tcBorders>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Term Loan, 12%, 09/30/15***</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261,030</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740" w:type="dxa"/>
            <w:vAlign w:val="bottom"/>
            <w:gridSpan w:val="3"/>
          </w:tcPr>
          <w:p>
            <w:pPr>
              <w:jc w:val="center"/>
              <w:ind w:left="108"/>
              <w:spacing w:after="0" w:line="149" w:lineRule="exact"/>
              <w:rPr>
                <w:sz w:val="20"/>
                <w:szCs w:val="20"/>
                <w:color w:val="auto"/>
              </w:rPr>
            </w:pPr>
            <w:r>
              <w:rPr>
                <w:rFonts w:ascii="Arial" w:cs="Arial" w:eastAsia="Arial" w:hAnsi="Arial"/>
                <w:sz w:val="14"/>
                <w:szCs w:val="14"/>
                <w:color w:val="auto"/>
                <w:w w:val="90"/>
              </w:rPr>
              <w:t>0.09%</w:t>
            </w: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9"/>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$1.166 strike price,</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160,806</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64,322</w:t>
            </w:r>
          </w:p>
        </w:tc>
        <w:tc>
          <w:tcPr>
            <w:tcW w:w="740" w:type="dxa"/>
            <w:vAlign w:val="bottom"/>
            <w:tcBorders>
              <w:left w:val="single" w:sz="8" w:color="CCFFCC"/>
            </w:tcBorders>
            <w:gridSpan w:val="3"/>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0"/>
              </w:rPr>
              <w:t>0.02%</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bottom w:val="single" w:sz="8" w:color="CCFFCC"/>
            </w:tcBorders>
            <w:gridSpan w:val="9"/>
            <w:shd w:val="clear" w:color="auto" w:fill="CCFFCC"/>
          </w:tcPr>
          <w:p>
            <w:pPr>
              <w:ind w:left="200"/>
              <w:spacing w:after="0"/>
              <w:rPr>
                <w:sz w:val="20"/>
                <w:szCs w:val="20"/>
                <w:color w:val="auto"/>
              </w:rPr>
            </w:pPr>
            <w:r>
              <w:rPr>
                <w:rFonts w:ascii="Arial" w:cs="Arial" w:eastAsia="Arial" w:hAnsi="Arial"/>
                <w:sz w:val="14"/>
                <w:szCs w:val="14"/>
                <w:color w:val="auto"/>
              </w:rPr>
              <w:t>expire 09/30/2020</w:t>
            </w:r>
          </w:p>
        </w:tc>
        <w:tc>
          <w:tcPr>
            <w:tcW w:w="8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1,281,442</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1,633,169</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0.57%</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9"/>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Dailybreak, Inc.</w:t>
            </w:r>
            <w:r>
              <w:rPr>
                <w:rFonts w:ascii="Arial" w:cs="Arial" w:eastAsia="Arial" w:hAnsi="Arial"/>
                <w:sz w:val="19"/>
                <w:szCs w:val="19"/>
                <w:b w:val="1"/>
                <w:bCs w:val="1"/>
                <w:color w:val="auto"/>
                <w:vertAlign w:val="superscript"/>
              </w:rPr>
              <w:t>(1)</w:t>
            </w: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9"/>
              </w:rPr>
              <w:t>Boston, MA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1,878,129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2,430,950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1,211,393</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0.42%</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Social Advertising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9"/>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Strategic Data Command, LLC</w:t>
            </w:r>
            <w:r>
              <w:rPr>
                <w:rFonts w:ascii="Arial" w:cs="Arial" w:eastAsia="Arial" w:hAnsi="Arial"/>
                <w:sz w:val="20"/>
                <w:szCs w:val="20"/>
                <w:b w:val="1"/>
                <w:bCs w:val="1"/>
                <w:color w:val="auto"/>
                <w:vertAlign w:val="superscript"/>
              </w:rPr>
              <w:t>(1)(7)</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Sunnyvale,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800,000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1,001,650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1,046,830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0.36%</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Software Development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9"/>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The rSmart Group, Inc.</w:t>
            </w:r>
            <w:r>
              <w:rPr>
                <w:rFonts w:ascii="Arial" w:cs="Arial" w:eastAsia="Arial" w:hAnsi="Arial"/>
                <w:sz w:val="20"/>
                <w:szCs w:val="20"/>
                <w:b w:val="1"/>
                <w:bCs w:val="1"/>
                <w:color w:val="auto"/>
                <w:vertAlign w:val="superscript"/>
              </w:rPr>
              <w:t>(1)</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Scottsdale, AZ</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1,201,923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1,267,240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857,302</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0.30%</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4"/>
              </w:rPr>
              <w:t>Higher Education Learning</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Platform</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9"/>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SinoLending Ltd.**</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Class A</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Shanghai, China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6,414,368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503,235</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577,293</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0.20%</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1"/>
              </w:rPr>
              <w:t>Chinese P2P Lending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CCFFCC"/>
            </w:tcBorders>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Class B</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2,333,108</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250,491</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247,163</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0.09%</w:t>
            </w:r>
          </w:p>
        </w:tc>
        <w:tc>
          <w:tcPr>
            <w:tcW w:w="0" w:type="dxa"/>
            <w:vAlign w:val="bottom"/>
          </w:tcPr>
          <w:p>
            <w:pPr>
              <w:spacing w:after="0"/>
              <w:rPr>
                <w:sz w:val="1"/>
                <w:szCs w:val="1"/>
                <w:color w:val="auto"/>
              </w:rPr>
            </w:pPr>
          </w:p>
        </w:tc>
      </w:tr>
      <w:tr>
        <w:trPr>
          <w:trHeight w:val="20"/>
        </w:trPr>
        <w:tc>
          <w:tcPr>
            <w:tcW w:w="600" w:type="dxa"/>
            <w:vAlign w:val="bottom"/>
            <w:tcBorders>
              <w:left w:val="single" w:sz="8" w:color="CCFFCC"/>
            </w:tcBorders>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753,726</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824,456</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-3121025</wp:posOffset>
            </wp:positionV>
            <wp:extent cx="5213985"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-2512060</wp:posOffset>
            </wp:positionV>
            <wp:extent cx="5213985" cy="1117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117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-4149725</wp:posOffset>
            </wp:positionV>
            <wp:extent cx="5213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3" w:name="page74"/>
    <w:bookmarkEnd w:id="7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gridSpan w:val="6"/>
          </w:tcPr>
          <w:p>
            <w:pPr>
              <w:jc w:val="center"/>
              <w:ind w:left="286"/>
              <w:spacing w:after="0"/>
              <w:rPr>
                <w:sz w:val="20"/>
                <w:szCs w:val="20"/>
                <w:color w:val="auto"/>
              </w:rPr>
            </w:pPr>
            <w:r>
              <w:rPr>
                <w:rFonts w:ascii="Arial" w:cs="Arial" w:eastAsia="Arial" w:hAnsi="Arial"/>
                <w:sz w:val="18"/>
                <w:szCs w:val="18"/>
                <w:b w:val="1"/>
                <w:bCs w:val="1"/>
                <w:color w:val="auto"/>
                <w:w w:val="98"/>
              </w:rPr>
              <w:t>GSV CAPITAL CORP. AND 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5"/>
                <w:szCs w:val="15"/>
                <w:color w:val="auto"/>
              </w:rPr>
            </w:pPr>
          </w:p>
        </w:tc>
        <w:tc>
          <w:tcPr>
            <w:tcW w:w="3180" w:type="dxa"/>
            <w:vAlign w:val="bottom"/>
            <w:gridSpan w:val="4"/>
          </w:tcPr>
          <w:p>
            <w:pPr>
              <w:jc w:val="center"/>
              <w:ind w:left="1126"/>
              <w:spacing w:after="0" w:line="181" w:lineRule="exact"/>
              <w:rPr>
                <w:sz w:val="20"/>
                <w:szCs w:val="20"/>
                <w:color w:val="auto"/>
              </w:rPr>
            </w:pPr>
            <w:r>
              <w:rPr>
                <w:rFonts w:ascii="Arial" w:cs="Arial" w:eastAsia="Arial" w:hAnsi="Arial"/>
                <w:sz w:val="18"/>
                <w:szCs w:val="18"/>
                <w:b w:val="1"/>
                <w:bCs w:val="1"/>
                <w:color w:val="auto"/>
                <w:w w:val="90"/>
              </w:rPr>
              <w:t>December 31, 2013</w:t>
            </w:r>
          </w:p>
        </w:tc>
        <w:tc>
          <w:tcPr>
            <w:tcW w:w="100" w:type="dxa"/>
            <w:vAlign w:val="bottom"/>
          </w:tcPr>
          <w:p>
            <w:pPr>
              <w:spacing w:after="0"/>
              <w:rPr>
                <w:sz w:val="15"/>
                <w:szCs w:val="15"/>
                <w:color w:val="auto"/>
              </w:rPr>
            </w:pP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40" w:type="dxa"/>
            <w:vAlign w:val="bottom"/>
          </w:tcPr>
          <w:p>
            <w:pPr>
              <w:spacing w:after="0"/>
              <w:rPr>
                <w:sz w:val="9"/>
                <w:szCs w:val="9"/>
                <w:color w:val="auto"/>
              </w:rPr>
            </w:pPr>
          </w:p>
        </w:tc>
        <w:tc>
          <w:tcPr>
            <w:tcW w:w="106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w w:val="98"/>
              </w:rPr>
              <w:t>Shares/Principal</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69"/>
        </w:trPr>
        <w:tc>
          <w:tcPr>
            <w:tcW w:w="2560" w:type="dxa"/>
            <w:vAlign w:val="bottom"/>
            <w:gridSpan w:val="8"/>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AlwaysOn, Inc.</w:t>
            </w:r>
            <w:r>
              <w:rPr>
                <w:rFonts w:ascii="Arial" w:cs="Arial" w:eastAsia="Arial" w:hAnsi="Arial"/>
                <w:sz w:val="19"/>
                <w:szCs w:val="19"/>
                <w:b w:val="1"/>
                <w:bCs w:val="1"/>
                <w:color w:val="auto"/>
                <w:vertAlign w:val="superscript"/>
              </w:rPr>
              <w:t>(1)</w:t>
            </w:r>
          </w:p>
        </w:tc>
        <w:tc>
          <w:tcPr>
            <w:tcW w:w="4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A-1</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3"/>
              </w:rPr>
              <w:t>Woodside,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3,152,417</w:t>
            </w: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624,783</w:t>
            </w:r>
          </w:p>
        </w:tc>
        <w:tc>
          <w:tcPr>
            <w:tcW w:w="20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600,000</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Media</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tcBorders>
              <w:right w:val="single" w:sz="8" w:color="CCFFCC"/>
            </w:tcBorders>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1,066,626</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1,027,391</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203,011</w:t>
            </w:r>
          </w:p>
        </w:tc>
        <w:tc>
          <w:tcPr>
            <w:tcW w:w="700" w:type="dxa"/>
            <w:vAlign w:val="bottom"/>
            <w:tcBorders>
              <w:left w:val="single" w:sz="8" w:color="CCFFCC"/>
            </w:tcBorders>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1,652,174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803,011</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29"/>
        </w:trPr>
        <w:tc>
          <w:tcPr>
            <w:tcW w:w="2560" w:type="dxa"/>
            <w:vAlign w:val="bottom"/>
            <w:gridSpan w:val="8"/>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793,152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782,189</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Smart Device Company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gridSpan w:val="8"/>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NestGSV Silicon Valley, LLC</w:t>
            </w:r>
            <w:r>
              <w:rPr>
                <w:rFonts w:ascii="Arial" w:cs="Arial" w:eastAsia="Arial" w:hAnsi="Arial"/>
                <w:sz w:val="20"/>
                <w:szCs w:val="20"/>
                <w:b w:val="1"/>
                <w:bCs w:val="1"/>
                <w:color w:val="auto"/>
                <w:vertAlign w:val="superscript"/>
              </w:rPr>
              <w:t>(1)(4)</w:t>
            </w:r>
          </w:p>
        </w:tc>
        <w:tc>
          <w:tcPr>
            <w:tcW w:w="4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membership interest</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Redwood City,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500,000</w:t>
            </w: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500,000</w:t>
            </w:r>
          </w:p>
        </w:tc>
        <w:tc>
          <w:tcPr>
            <w:tcW w:w="20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557,084</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Incubator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New Zoom, Inc</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1,250,000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260,476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308,660</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Retail Machines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Neuron Fuel, Inc.</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AAI</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88"/>
              </w:rPr>
              <w:t>San Jose,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262,530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264,941</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Computer Software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8"/>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The Echo Systems Corp.</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512,365</w:t>
            </w: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229,234</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2560" w:type="dxa"/>
            <w:vAlign w:val="bottom"/>
            <w:gridSpan w:val="8"/>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$0.20 strike price,</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jc w:val="right"/>
              <w:ind w:right="28"/>
              <w:spacing w:after="0" w:line="130" w:lineRule="exact"/>
              <w:rPr>
                <w:sz w:val="20"/>
                <w:szCs w:val="20"/>
                <w:color w:val="auto"/>
              </w:rPr>
            </w:pPr>
            <w:r>
              <w:rPr>
                <w:rFonts w:ascii="Arial" w:cs="Arial" w:eastAsia="Arial" w:hAnsi="Arial"/>
                <w:sz w:val="14"/>
                <w:szCs w:val="14"/>
                <w:color w:val="auto"/>
              </w:rPr>
              <w:t>68,359</w:t>
            </w: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75,988</w:t>
            </w: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FFCC"/>
            </w:tcBorders>
            <w:shd w:val="clear" w:color="auto" w:fill="CCFFCC"/>
          </w:tcPr>
          <w:p>
            <w:pPr>
              <w:spacing w:after="0"/>
              <w:rPr>
                <w:sz w:val="11"/>
                <w:szCs w:val="11"/>
                <w:color w:val="auto"/>
              </w:rPr>
            </w:pPr>
          </w:p>
        </w:tc>
        <w:tc>
          <w:tcPr>
            <w:tcW w:w="60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2540" w:type="dxa"/>
            <w:vAlign w:val="bottom"/>
            <w:tcBorders>
              <w:bottom w:val="single" w:sz="8" w:color="CCFFCC"/>
            </w:tcBorders>
            <w:gridSpan w:val="7"/>
            <w:shd w:val="clear" w:color="auto" w:fill="CCFFCC"/>
          </w:tcPr>
          <w:p>
            <w:pPr>
              <w:ind w:left="180"/>
              <w:spacing w:after="0"/>
              <w:rPr>
                <w:sz w:val="20"/>
                <w:szCs w:val="20"/>
                <w:color w:val="auto"/>
              </w:rPr>
            </w:pPr>
            <w:r>
              <w:rPr>
                <w:rFonts w:ascii="Arial" w:cs="Arial" w:eastAsia="Arial" w:hAnsi="Arial"/>
                <w:sz w:val="14"/>
                <w:szCs w:val="14"/>
                <w:color w:val="auto"/>
              </w:rPr>
              <w:t>expire 11/14/2016</w:t>
            </w:r>
          </w:p>
        </w:tc>
        <w:tc>
          <w:tcPr>
            <w:tcW w:w="4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440" w:type="dxa"/>
            <w:vAlign w:val="bottom"/>
            <w:tcBorders>
              <w:bottom w:val="single" w:sz="8" w:color="auto"/>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1,512,392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229,234</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29"/>
        </w:trPr>
        <w:tc>
          <w:tcPr>
            <w:tcW w:w="2560" w:type="dxa"/>
            <w:vAlign w:val="bottom"/>
            <w:gridSpan w:val="8"/>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Odesk Corporation</w:t>
            </w:r>
          </w:p>
        </w:tc>
        <w:tc>
          <w:tcPr>
            <w:tcW w:w="4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tcBorders>
              <w:right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Common Shares</w:t>
            </w:r>
          </w:p>
        </w:tc>
        <w:tc>
          <w:tcPr>
            <w:tcW w:w="4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Redwood City, CA</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30,000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183,269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184,077</w:t>
            </w:r>
          </w:p>
        </w:tc>
        <w:tc>
          <w:tcPr>
            <w:tcW w:w="7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Online Workplace Platform</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8"/>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5"/>
              </w:rPr>
              <w:t>279,709,118</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2"/>
              </w:rPr>
              <w:t>355,383,653</w:t>
            </w:r>
          </w:p>
        </w:tc>
        <w:tc>
          <w:tcPr>
            <w:tcW w:w="700" w:type="dxa"/>
            <w:vAlign w:val="bottom"/>
            <w:tcBorders>
              <w:left w:val="single" w:sz="8" w:color="CCFFCC"/>
            </w:tcBorders>
            <w:gridSpan w:val="3"/>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123.41%</w:t>
            </w:r>
          </w:p>
        </w:tc>
        <w:tc>
          <w:tcPr>
            <w:tcW w:w="0" w:type="dxa"/>
            <w:vAlign w:val="bottom"/>
          </w:tcPr>
          <w:p>
            <w:pPr>
              <w:spacing w:after="0"/>
              <w:rPr>
                <w:sz w:val="1"/>
                <w:szCs w:val="1"/>
                <w:color w:val="auto"/>
              </w:rPr>
            </w:pPr>
          </w:p>
        </w:tc>
      </w:tr>
      <w:tr>
        <w:trPr>
          <w:trHeight w:val="169"/>
        </w:trPr>
        <w:tc>
          <w:tcPr>
            <w:tcW w:w="2560" w:type="dxa"/>
            <w:vAlign w:val="bottom"/>
            <w:tcBorders>
              <w:top w:val="single" w:sz="8" w:color="CCFFCC"/>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U.S Treasury Strips</w:t>
            </w:r>
            <w:r>
              <w:rPr>
                <w:rFonts w:ascii="Arial" w:cs="Arial" w:eastAsia="Arial" w:hAnsi="Arial"/>
                <w:sz w:val="19"/>
                <w:szCs w:val="19"/>
                <w:b w:val="1"/>
                <w:bCs w:val="1"/>
                <w:color w:val="auto"/>
                <w:vertAlign w:val="superscript"/>
              </w:rPr>
              <w:t>(13)</w:t>
            </w:r>
          </w:p>
        </w:tc>
        <w:tc>
          <w:tcPr>
            <w:tcW w:w="40" w:type="dxa"/>
            <w:vAlign w:val="bottom"/>
            <w:tcBorders>
              <w:top w:val="single" w:sz="8" w:color="CCFFCC"/>
            </w:tcBorders>
          </w:tcPr>
          <w:p>
            <w:pPr>
              <w:spacing w:after="0"/>
              <w:rPr>
                <w:sz w:val="14"/>
                <w:szCs w:val="14"/>
                <w:color w:val="auto"/>
              </w:rPr>
            </w:pPr>
          </w:p>
        </w:tc>
        <w:tc>
          <w:tcPr>
            <w:tcW w:w="2080" w:type="dxa"/>
            <w:vAlign w:val="bottom"/>
            <w:tcBorders>
              <w:top w:val="single" w:sz="8" w:color="CCFFCC"/>
            </w:tcBorders>
          </w:tcPr>
          <w:p>
            <w:pPr>
              <w:spacing w:after="0"/>
              <w:rPr>
                <w:sz w:val="14"/>
                <w:szCs w:val="14"/>
                <w:color w:val="auto"/>
              </w:rPr>
            </w:pPr>
          </w:p>
        </w:tc>
        <w:tc>
          <w:tcPr>
            <w:tcW w:w="40" w:type="dxa"/>
            <w:vAlign w:val="bottom"/>
            <w:tcBorders>
              <w:top w:val="single" w:sz="8" w:color="CCFFCC"/>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82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shd w:val="clear" w:color="auto" w:fill="CCFFCC"/>
          </w:tcPr>
          <w:p>
            <w:pPr>
              <w:ind w:left="20"/>
              <w:spacing w:after="0" w:line="142" w:lineRule="exact"/>
              <w:rPr>
                <w:sz w:val="20"/>
                <w:szCs w:val="20"/>
                <w:color w:val="auto"/>
              </w:rPr>
            </w:pPr>
            <w:r>
              <w:rPr>
                <w:rFonts w:ascii="Arial" w:cs="Arial" w:eastAsia="Arial" w:hAnsi="Arial"/>
                <w:sz w:val="14"/>
                <w:szCs w:val="14"/>
                <w:color w:val="auto"/>
              </w:rPr>
              <w:t>United States Treasury Strip 02/15/2014</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28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1,791,000</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1,790,785</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1,790,839</w:t>
            </w:r>
          </w:p>
        </w:tc>
        <w:tc>
          <w:tcPr>
            <w:tcW w:w="700" w:type="dxa"/>
            <w:vAlign w:val="bottom"/>
            <w:tcBorders>
              <w:left w:val="single" w:sz="8" w:color="CCFFCC"/>
            </w:tcBorders>
            <w:gridSpan w:val="3"/>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49"/>
        </w:trPr>
        <w:tc>
          <w:tcPr>
            <w:tcW w:w="256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United States Treasury Strip 02/15/2015</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1,816,000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1,810,625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1,811,987</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560" w:type="dxa"/>
            <w:vAlign w:val="bottom"/>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United States Treasury Strip 02/15/2016</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28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1,834,000</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1,810,323</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1,816,540</w:t>
            </w:r>
          </w:p>
        </w:tc>
        <w:tc>
          <w:tcPr>
            <w:tcW w:w="700" w:type="dxa"/>
            <w:vAlign w:val="bottom"/>
            <w:tcBorders>
              <w:left w:val="single" w:sz="8" w:color="CCFFCC"/>
            </w:tcBorders>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56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United States Treasury Strip 08/15/2014</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1,813,000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1,811,187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1,812,094</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560" w:type="dxa"/>
            <w:vAlign w:val="bottom"/>
            <w:gridSpan w:val="8"/>
            <w:shd w:val="clear" w:color="auto" w:fill="CCFFCC"/>
          </w:tcPr>
          <w:p>
            <w:pPr>
              <w:ind w:left="20"/>
              <w:spacing w:after="0" w:line="149" w:lineRule="exact"/>
              <w:rPr>
                <w:sz w:val="20"/>
                <w:szCs w:val="20"/>
                <w:color w:val="auto"/>
              </w:rPr>
            </w:pPr>
            <w:r>
              <w:rPr>
                <w:rFonts w:ascii="Arial" w:cs="Arial" w:eastAsia="Arial" w:hAnsi="Arial"/>
                <w:sz w:val="14"/>
                <w:szCs w:val="14"/>
                <w:color w:val="auto"/>
              </w:rPr>
              <w:t>United States Treasury Strip 08/15/2015</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28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1,823,000</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1,811,205</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1,813,411</w:t>
            </w:r>
          </w:p>
        </w:tc>
        <w:tc>
          <w:tcPr>
            <w:tcW w:w="700" w:type="dxa"/>
            <w:vAlign w:val="bottom"/>
            <w:tcBorders>
              <w:left w:val="single" w:sz="8" w:color="CCFFCC"/>
            </w:tcBorders>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56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United States Treasury Strip 08/15/2016</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1,851,000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1,811,111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1,820,329</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FFCC"/>
          </w:tcPr>
          <w:p>
            <w:pPr>
              <w:spacing w:after="0"/>
              <w:rPr>
                <w:sz w:val="12"/>
                <w:szCs w:val="12"/>
                <w:color w:val="auto"/>
              </w:rPr>
            </w:pPr>
          </w:p>
        </w:tc>
        <w:tc>
          <w:tcPr>
            <w:tcW w:w="2540" w:type="dxa"/>
            <w:vAlign w:val="bottom"/>
            <w:gridSpan w:val="7"/>
            <w:shd w:val="clear" w:color="auto" w:fill="CCFFCC"/>
          </w:tcPr>
          <w:p>
            <w:pPr>
              <w:ind w:left="180"/>
              <w:spacing w:after="0" w:line="142"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10,845,236</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10,865,200</w:t>
            </w:r>
          </w:p>
        </w:tc>
        <w:tc>
          <w:tcPr>
            <w:tcW w:w="700" w:type="dxa"/>
            <w:vAlign w:val="bottom"/>
            <w:tcBorders>
              <w:left w:val="single" w:sz="8" w:color="CCFFCC"/>
            </w:tcBorders>
            <w:gridSpan w:val="3"/>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5"/>
              </w:rPr>
              <w:t>290,554,354</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366,248,853</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127.18%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-3258185</wp:posOffset>
            </wp:positionV>
            <wp:extent cx="524002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40020"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-1611630</wp:posOffset>
            </wp:positionV>
            <wp:extent cx="5240020"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40020"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-1114425</wp:posOffset>
            </wp:positionV>
            <wp:extent cx="524002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40020"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400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400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-4004310</wp:posOffset>
            </wp:positionV>
            <wp:extent cx="52400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319" w:lineRule="exact"/>
        <w:rPr>
          <w:sz w:val="20"/>
          <w:szCs w:val="20"/>
          <w:color w:val="auto"/>
        </w:rPr>
      </w:pPr>
    </w:p>
    <w:p>
      <w:pPr>
        <w:ind w:left="280" w:right="519" w:hanging="272"/>
        <w:spacing w:after="0" w:line="308" w:lineRule="auto"/>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39" w:hanging="272"/>
        <w:spacing w:after="0" w:line="259"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August 2, 2013, Control4 Corporation priced its initial public offering, selling 4,000,000 shares at a price of $16 per share. GSV Capital Corp.’s shares in Control4 are subject to a lock-up agreement which expires on January 29, 2014. At December 31, 2013, GSV Capital Corp. valued Control4 Corporation based on its December 31, 2013 closing price, adjusted for a discount due to lack of marketability of 4%.</w:t>
      </w:r>
    </w:p>
    <w:p>
      <w:pPr>
        <w:spacing w:after="0" w:line="78" w:lineRule="exact"/>
        <w:rPr>
          <w:rFonts w:ascii="Arial" w:cs="Arial" w:eastAsia="Arial" w:hAnsi="Arial"/>
          <w:sz w:val="18"/>
          <w:szCs w:val="18"/>
          <w:color w:val="auto"/>
        </w:rPr>
      </w:pPr>
    </w:p>
    <w:p>
      <w:pPr>
        <w:jc w:val="both"/>
        <w:ind w:left="280" w:right="519" w:hanging="272"/>
        <w:spacing w:after="0" w:line="259"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September 27, 2013, Violin Memory Inc. priced its initial public offering, selling 18,000,000 shares at a price of $9 per share. GSV Capital Corp.’s shares in Violin Memory Inc. are subject to a lock-up agreement which expires on March 26, 2014. At December 31, 2013, GSV Capital Corp. valued Violin Memory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(10)On October 22, 2013, ePals, Inc. priced its initial public offering, selling 40,267,333 shares at a price of CAD $0.075 per share. GSV Capital Corp.’s shares in ePals, Inc. are subject to a lock-up agreement which expires on February 23, 2014. At December 31, 2013, GSV Capital Corp. valued ePals, Inc., based on its December 31, 2013 closing price, adjusted for a discount due to lack of marketability of 8%.</w:t>
      </w:r>
    </w:p>
    <w:p>
      <w:pPr>
        <w:spacing w:after="0" w:line="79" w:lineRule="exact"/>
        <w:rPr>
          <w:sz w:val="20"/>
          <w:szCs w:val="20"/>
          <w:color w:val="auto"/>
        </w:rPr>
      </w:pPr>
    </w:p>
    <w:p>
      <w:pPr>
        <w:jc w:val="both"/>
        <w:ind w:left="300" w:right="539" w:hanging="296"/>
        <w:spacing w:after="0" w:line="259" w:lineRule="auto"/>
        <w:rPr>
          <w:sz w:val="20"/>
          <w:szCs w:val="20"/>
          <w:color w:val="auto"/>
        </w:rPr>
      </w:pPr>
      <w:r>
        <w:rPr>
          <w:rFonts w:ascii="Arial" w:cs="Arial" w:eastAsia="Arial" w:hAnsi="Arial"/>
          <w:sz w:val="18"/>
          <w:szCs w:val="18"/>
          <w:color w:val="auto"/>
        </w:rPr>
        <w:t>(11)On November 6, 2013, Twitter, Inc. priced its initial public offering, selling 70,000,000 shares at a price of $26 per share. GSV Capital Corp.’s shares in Twitter, Inc. are subject to a lock-up agreement which expires on May 5, 2014. At December 31, 2013, GSV Capital Corp. valued Twitter,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(12)On November 12, 2013, Chegg, Inc. priced its initial public offering, selling 14,400,000 shares at a price of $12.50 per share. GSV Capital Corp.’s shares in Chegg, Inc. are subject to a lock-up agreement which expires on May 11, 2014. At December 31, 2013, GSV Capital Corp. valued Chegg, Inc., based on its December 31, 2013 closing price, adjusted for a discount due to lack of marketability of 15%.</w:t>
      </w:r>
    </w:p>
    <w:p>
      <w:pPr>
        <w:spacing w:after="0" w:line="79" w:lineRule="exact"/>
        <w:rPr>
          <w:sz w:val="20"/>
          <w:szCs w:val="20"/>
          <w:color w:val="auto"/>
        </w:rPr>
      </w:pPr>
    </w:p>
    <w:p>
      <w:pPr>
        <w:jc w:val="both"/>
        <w:ind w:left="320" w:right="519" w:hanging="312"/>
        <w:spacing w:after="0" w:line="286"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December 31, 2013.</w:t>
      </w:r>
    </w:p>
    <w:p>
      <w:pPr>
        <w:spacing w:after="0" w:line="200" w:lineRule="exact"/>
        <w:rPr>
          <w:sz w:val="20"/>
          <w:szCs w:val="20"/>
          <w:color w:val="auto"/>
        </w:rPr>
      </w:pPr>
    </w:p>
    <w:p>
      <w:pPr>
        <w:spacing w:after="0" w:line="29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6"/>
          </w:tcPr>
          <w:p>
            <w:pPr>
              <w:jc w:val="center"/>
              <w:ind w:left="226"/>
              <w:spacing w:after="0"/>
              <w:rPr>
                <w:sz w:val="20"/>
                <w:szCs w:val="20"/>
                <w:color w:val="auto"/>
              </w:rPr>
            </w:pPr>
            <w:r>
              <w:rPr>
                <w:rFonts w:ascii="Arial" w:cs="Arial" w:eastAsia="Arial" w:hAnsi="Arial"/>
                <w:sz w:val="18"/>
                <w:szCs w:val="18"/>
                <w:b w:val="1"/>
                <w:bCs w:val="1"/>
                <w:color w:val="auto"/>
                <w:w w:val="98"/>
              </w:rPr>
              <w:t>GSV CAPITAL CORP. AND SUBSIDIARIES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7"/>
          </w:tcPr>
          <w:p>
            <w:pPr>
              <w:jc w:val="center"/>
              <w:ind w:right="468"/>
              <w:spacing w:after="0"/>
              <w:rPr>
                <w:sz w:val="20"/>
                <w:szCs w:val="20"/>
                <w:color w:val="auto"/>
              </w:rPr>
            </w:pPr>
            <w:r>
              <w:rPr>
                <w:rFonts w:ascii="Arial" w:cs="Arial" w:eastAsia="Arial" w:hAnsi="Arial"/>
                <w:sz w:val="18"/>
                <w:szCs w:val="18"/>
                <w:b w:val="1"/>
                <w:bCs w:val="1"/>
                <w:color w:val="auto"/>
              </w:rPr>
              <w:t>CONSOLIDATED SCHEDULE OF INVESTMENTS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5"/>
                <w:szCs w:val="15"/>
                <w:color w:val="auto"/>
              </w:rPr>
            </w:pPr>
          </w:p>
        </w:tc>
        <w:tc>
          <w:tcPr>
            <w:tcW w:w="2940" w:type="dxa"/>
            <w:vAlign w:val="bottom"/>
            <w:gridSpan w:val="3"/>
          </w:tcPr>
          <w:p>
            <w:pPr>
              <w:jc w:val="center"/>
              <w:ind w:left="1286"/>
              <w:spacing w:after="0" w:line="181" w:lineRule="exact"/>
              <w:rPr>
                <w:sz w:val="20"/>
                <w:szCs w:val="20"/>
                <w:color w:val="auto"/>
              </w:rPr>
            </w:pPr>
            <w:r>
              <w:rPr>
                <w:rFonts w:ascii="Arial" w:cs="Arial" w:eastAsia="Arial" w:hAnsi="Arial"/>
                <w:sz w:val="18"/>
                <w:szCs w:val="18"/>
                <w:b w:val="1"/>
                <w:bCs w:val="1"/>
                <w:color w:val="auto"/>
                <w:w w:val="90"/>
              </w:rPr>
              <w:t>December 31, 2012</w:t>
            </w:r>
          </w:p>
        </w:tc>
        <w:tc>
          <w:tcPr>
            <w:tcW w:w="80" w:type="dxa"/>
            <w:vAlign w:val="bottom"/>
          </w:tcPr>
          <w:p>
            <w:pPr>
              <w:spacing w:after="0"/>
              <w:rPr>
                <w:sz w:val="15"/>
                <w:szCs w:val="15"/>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1,835,600</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  31,755,821</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w w:val="95"/>
              </w:rPr>
              <w:t>$  34,876,400</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Communication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65,000</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1,235,290</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1,235,000</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32,991,111</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36,111,400</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 Class A</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8"/>
              </w:rPr>
              <w:t>Palo Alto,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7,145,690</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20,051,479</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20,150,846</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Cyber Security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G</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326,797</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1,008,968</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921,568</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21,060,447</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21,072,414</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Violin Memory,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Mountain View,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800,000</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4,800,798</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4,800,000</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Flash Memory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1,666,666</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10,018,045</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9,999,996</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14,818,843</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14,799,996</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760,000</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8,641,153</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8,360,000</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Online Storage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552,486</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5,015,333</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6,077,346</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13,656,486</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14,437,346</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Santa Clara,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1,274,193</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10,012,543</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10,193,544</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Textbook Rental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4,008,654</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4,000,000</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14,021,197</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14,193,544</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3"/>
        </w:trPr>
        <w:tc>
          <w:tcPr>
            <w:tcW w:w="2560" w:type="dxa"/>
            <w:vAlign w:val="bottom"/>
            <w:gridSpan w:val="9"/>
            <w:shd w:val="clear" w:color="auto" w:fill="CCFFCC"/>
          </w:tcPr>
          <w:p>
            <w:pPr>
              <w:ind w:left="20"/>
              <w:spacing w:after="0" w:line="183" w:lineRule="exact"/>
              <w:rPr>
                <w:sz w:val="20"/>
                <w:szCs w:val="20"/>
                <w:color w:val="auto"/>
              </w:rPr>
            </w:pPr>
            <w:r>
              <w:rPr>
                <w:rFonts w:ascii="Arial" w:cs="Arial" w:eastAsia="Arial" w:hAnsi="Arial"/>
                <w:sz w:val="13"/>
                <w:szCs w:val="13"/>
                <w:b w:val="1"/>
                <w:bCs w:val="1"/>
                <w:color w:val="auto"/>
              </w:rPr>
              <w:t>Avenues World Holdings LLC</w:t>
            </w:r>
            <w:r>
              <w:rPr>
                <w:rFonts w:ascii="Arial" w:cs="Arial" w:eastAsia="Arial" w:hAnsi="Arial"/>
                <w:sz w:val="21"/>
                <w:szCs w:val="21"/>
                <w:b w:val="1"/>
                <w:bCs w:val="1"/>
                <w:color w:val="auto"/>
                <w:vertAlign w:val="superscript"/>
              </w:rPr>
              <w:t>(5)</w:t>
            </w: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tcBorders>
              <w:top w:val="single" w:sz="8" w:color="auto"/>
            </w:tcBorders>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840" w:type="dxa"/>
            <w:vAlign w:val="bottom"/>
            <w:tcBorders>
              <w:top w:val="single" w:sz="8" w:color="auto"/>
            </w:tcBorders>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42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shares, Class A-1</w:t>
            </w:r>
          </w:p>
        </w:tc>
        <w:tc>
          <w:tcPr>
            <w:tcW w:w="80" w:type="dxa"/>
            <w:vAlign w:val="bottom"/>
          </w:tcPr>
          <w:p>
            <w:pPr>
              <w:spacing w:after="0"/>
              <w:rPr>
                <w:sz w:val="11"/>
                <w:szCs w:val="11"/>
                <w:color w:val="auto"/>
              </w:rPr>
            </w:pPr>
          </w:p>
        </w:tc>
        <w:tc>
          <w:tcPr>
            <w:tcW w:w="2080" w:type="dxa"/>
            <w:vAlign w:val="bottom"/>
          </w:tcPr>
          <w:p>
            <w:pPr>
              <w:jc w:val="center"/>
              <w:spacing w:after="0" w:line="130"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10,025,123</w:t>
            </w:r>
          </w:p>
        </w:tc>
        <w:tc>
          <w:tcPr>
            <w:tcW w:w="14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10,000,000</w:t>
            </w:r>
          </w:p>
        </w:tc>
        <w:tc>
          <w:tcPr>
            <w:tcW w:w="74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Globally-focused Private School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9"/>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Milpitas,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4,576,659</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10,016,559</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10,000,000</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Solar Power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9"/>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2U, Inc. (f/k/a 2tor,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Landover, MD</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1,151,802</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8,757,599</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8,730,659</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167,431</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1,273,125</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1,269,127</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10,030,724</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9,999,786</w:t>
            </w:r>
          </w:p>
        </w:tc>
        <w:tc>
          <w:tcPr>
            <w:tcW w:w="7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29"/>
        </w:trPr>
        <w:tc>
          <w:tcPr>
            <w:tcW w:w="2560" w:type="dxa"/>
            <w:vAlign w:val="bottom"/>
            <w:gridSpan w:val="9"/>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Kno, Inc.</w:t>
            </w: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Santa Clara,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440,313</w:t>
            </w: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2,262,006</w:t>
            </w: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2,249,999</w:t>
            </w:r>
          </w:p>
        </w:tc>
        <w:tc>
          <w:tcPr>
            <w:tcW w:w="74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Digital Textbooks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9"/>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C-1</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7,510,334</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7,500,000</w:t>
            </w:r>
          </w:p>
        </w:tc>
        <w:tc>
          <w:tcPr>
            <w:tcW w:w="74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5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214,681</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178,850</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FFCC"/>
          </w:tcPr>
          <w:p>
            <w:pPr>
              <w:spacing w:after="0"/>
              <w:rPr>
                <w:sz w:val="12"/>
                <w:szCs w:val="12"/>
                <w:color w:val="auto"/>
              </w:rPr>
            </w:pPr>
          </w:p>
        </w:tc>
        <w:tc>
          <w:tcPr>
            <w:tcW w:w="2540" w:type="dxa"/>
            <w:vAlign w:val="bottom"/>
            <w:gridSpan w:val="8"/>
            <w:shd w:val="clear" w:color="auto" w:fill="CCFFCC"/>
          </w:tcPr>
          <w:p>
            <w:pPr>
              <w:ind w:left="180"/>
              <w:spacing w:after="0" w:line="142"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9,987,021</w:t>
            </w:r>
          </w:p>
        </w:tc>
        <w:tc>
          <w:tcPr>
            <w:tcW w:w="14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9,928,849</w:t>
            </w:r>
          </w:p>
        </w:tc>
        <w:tc>
          <w:tcPr>
            <w:tcW w:w="740" w:type="dxa"/>
            <w:vAlign w:val="bottom"/>
            <w:tcBorders>
              <w:left w:val="single" w:sz="8" w:color="CCFFCC"/>
            </w:tcBorders>
            <w:gridSpan w:val="3"/>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69"/>
        </w:trPr>
        <w:tc>
          <w:tcPr>
            <w:tcW w:w="2560" w:type="dxa"/>
            <w:vAlign w:val="bottom"/>
            <w:tcBorders>
              <w:top w:val="single" w:sz="8" w:color="CCFFCC"/>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Facebook, Inc.</w:t>
            </w:r>
            <w:r>
              <w:rPr>
                <w:rFonts w:ascii="Arial" w:cs="Arial" w:eastAsia="Arial" w:hAnsi="Arial"/>
                <w:sz w:val="19"/>
                <w:szCs w:val="19"/>
                <w:b w:val="1"/>
                <w:bCs w:val="1"/>
                <w:color w:val="auto"/>
                <w:vertAlign w:val="superscript"/>
              </w:rPr>
              <w:t>(3)(10)</w:t>
            </w:r>
          </w:p>
        </w:tc>
        <w:tc>
          <w:tcPr>
            <w:tcW w:w="80" w:type="dxa"/>
            <w:vAlign w:val="bottom"/>
            <w:tcBorders>
              <w:top w:val="single" w:sz="8" w:color="CCFFCC"/>
            </w:tcBorders>
          </w:tcPr>
          <w:p>
            <w:pPr>
              <w:spacing w:after="0"/>
              <w:rPr>
                <w:sz w:val="14"/>
                <w:szCs w:val="14"/>
                <w:color w:val="auto"/>
              </w:rPr>
            </w:pPr>
          </w:p>
        </w:tc>
        <w:tc>
          <w:tcPr>
            <w:tcW w:w="20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78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Common shares, Class B</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7"/>
              </w:rPr>
              <w:t>Menlo Park, CA</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350,000</w:t>
            </w:r>
          </w:p>
        </w:tc>
        <w:tc>
          <w:tcPr>
            <w:tcW w:w="9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10,472,294</w:t>
            </w:r>
          </w:p>
        </w:tc>
        <w:tc>
          <w:tcPr>
            <w:tcW w:w="140" w:type="dxa"/>
            <w:vAlign w:val="bottom"/>
            <w:tcBorders>
              <w:left w:val="single" w:sz="8" w:color="CCFFCC"/>
            </w:tcBorders>
            <w:shd w:val="clear" w:color="auto" w:fill="CCFFCC"/>
          </w:tcPr>
          <w:p>
            <w:pPr>
              <w:spacing w:after="0"/>
              <w:rPr>
                <w:sz w:val="10"/>
                <w:szCs w:val="10"/>
                <w:color w:val="auto"/>
              </w:rPr>
            </w:pPr>
          </w:p>
        </w:tc>
        <w:tc>
          <w:tcPr>
            <w:tcW w:w="8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9,317,000</w:t>
            </w:r>
          </w:p>
        </w:tc>
        <w:tc>
          <w:tcPr>
            <w:tcW w:w="740" w:type="dxa"/>
            <w:vAlign w:val="bottom"/>
            <w:tcBorders>
              <w:left w:val="single" w:sz="8" w:color="CCFFCC"/>
            </w:tcBorders>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160" w:type="dxa"/>
            <w:vAlign w:val="bottom"/>
            <w:tcBorders>
              <w:right w:val="single" w:sz="8" w:color="CCFFCC"/>
            </w:tcBorders>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6"/>
              </w:rPr>
              <w:t>Social Networking</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Control4 Corporation</w:t>
            </w:r>
            <w:r>
              <w:rPr>
                <w:rFonts w:ascii="Arial" w:cs="Arial" w:eastAsia="Arial" w:hAnsi="Arial"/>
                <w:sz w:val="20"/>
                <w:szCs w:val="20"/>
                <w:b w:val="1"/>
                <w:bCs w:val="1"/>
                <w:color w:val="auto"/>
                <w:vertAlign w:val="superscript"/>
              </w:rPr>
              <w:t>(14)</w:t>
            </w: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9"/>
            <w:shd w:val="clear" w:color="auto" w:fill="CCFFCC"/>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FFCC"/>
          </w:tcPr>
          <w:p>
            <w:pPr>
              <w:spacing w:after="0"/>
              <w:rPr>
                <w:sz w:val="10"/>
                <w:szCs w:val="10"/>
                <w:color w:val="auto"/>
              </w:rPr>
            </w:pPr>
          </w:p>
        </w:tc>
        <w:tc>
          <w:tcPr>
            <w:tcW w:w="20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5"/>
              </w:rPr>
              <w:t>Salt Lake City, UT</w:t>
            </w:r>
          </w:p>
        </w:tc>
        <w:tc>
          <w:tcPr>
            <w:tcW w:w="8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782,821</w:t>
            </w:r>
          </w:p>
        </w:tc>
        <w:tc>
          <w:tcPr>
            <w:tcW w:w="9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7,011,025</w:t>
            </w:r>
          </w:p>
        </w:tc>
        <w:tc>
          <w:tcPr>
            <w:tcW w:w="140" w:type="dxa"/>
            <w:vAlign w:val="bottom"/>
            <w:tcBorders>
              <w:left w:val="single" w:sz="8" w:color="CCFFCC"/>
            </w:tcBorders>
            <w:shd w:val="clear" w:color="auto" w:fill="CCFFCC"/>
          </w:tcPr>
          <w:p>
            <w:pPr>
              <w:spacing w:after="0"/>
              <w:rPr>
                <w:sz w:val="10"/>
                <w:szCs w:val="10"/>
                <w:color w:val="auto"/>
              </w:rPr>
            </w:pPr>
          </w:p>
        </w:tc>
        <w:tc>
          <w:tcPr>
            <w:tcW w:w="84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7,123,667</w:t>
            </w:r>
          </w:p>
        </w:tc>
        <w:tc>
          <w:tcPr>
            <w:tcW w:w="740" w:type="dxa"/>
            <w:vAlign w:val="bottom"/>
            <w:tcBorders>
              <w:left w:val="single" w:sz="8" w:color="CCFFCC"/>
            </w:tcBorders>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160" w:type="dxa"/>
            <w:vAlign w:val="bottom"/>
            <w:tcBorders>
              <w:right w:val="single" w:sz="8" w:color="CCFFCC"/>
            </w:tcBorders>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6"/>
              </w:rPr>
              <w:t>Home Automation</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-4347210</wp:posOffset>
            </wp:positionV>
            <wp:extent cx="5213985" cy="111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-3858260</wp:posOffset>
            </wp:positionV>
            <wp:extent cx="5213985" cy="111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-3369945</wp:posOffset>
            </wp:positionV>
            <wp:extent cx="5213985" cy="111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-2880995</wp:posOffset>
            </wp:positionV>
            <wp:extent cx="5213985" cy="1117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-2392045</wp:posOffset>
            </wp:positionV>
            <wp:extent cx="5213985" cy="1117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-1311275</wp:posOffset>
            </wp:positionV>
            <wp:extent cx="5213985" cy="111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-5067935</wp:posOffset>
            </wp:positionV>
            <wp:extent cx="5213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7"/>
          </w:tcPr>
          <w:p>
            <w:pPr>
              <w:jc w:val="center"/>
              <w:ind w:left="227"/>
              <w:spacing w:after="0"/>
              <w:rPr>
                <w:sz w:val="20"/>
                <w:szCs w:val="20"/>
                <w:color w:val="auto"/>
              </w:rPr>
            </w:pPr>
            <w:r>
              <w:rPr>
                <w:rFonts w:ascii="Arial" w:cs="Arial" w:eastAsia="Arial" w:hAnsi="Arial"/>
                <w:sz w:val="18"/>
                <w:szCs w:val="18"/>
                <w:b w:val="1"/>
                <w:bCs w:val="1"/>
                <w:color w:val="auto"/>
                <w:w w:val="98"/>
              </w:rPr>
              <w:t>GSV CAPITAL CORP. AND SUBSIDIARIES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gridSpan w:val="10"/>
          </w:tcPr>
          <w:p>
            <w:pPr>
              <w:jc w:val="center"/>
              <w:ind w:right="8"/>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3"/>
          </w:tcPr>
          <w:p>
            <w:pPr>
              <w:jc w:val="center"/>
              <w:ind w:left="1287"/>
              <w:spacing w:after="0" w:line="181" w:lineRule="exact"/>
              <w:rPr>
                <w:sz w:val="20"/>
                <w:szCs w:val="20"/>
                <w:color w:val="auto"/>
              </w:rPr>
            </w:pPr>
            <w:r>
              <w:rPr>
                <w:rFonts w:ascii="Arial" w:cs="Arial" w:eastAsia="Arial" w:hAnsi="Arial"/>
                <w:sz w:val="18"/>
                <w:szCs w:val="18"/>
                <w:b w:val="1"/>
                <w:bCs w:val="1"/>
                <w:color w:val="auto"/>
                <w:w w:val="90"/>
              </w:rPr>
              <w:t>December 31, 2012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20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80" w:type="dxa"/>
            <w:vAlign w:val="bottom"/>
          </w:tcPr>
          <w:p>
            <w:pPr>
              <w:spacing w:after="0"/>
              <w:rPr>
                <w:sz w:val="9"/>
                <w:szCs w:val="9"/>
                <w:color w:val="auto"/>
              </w:rPr>
            </w:pPr>
          </w:p>
        </w:tc>
        <w:tc>
          <w:tcPr>
            <w:tcW w:w="780" w:type="dxa"/>
            <w:vAlign w:val="bottom"/>
          </w:tcPr>
          <w:p>
            <w:pPr>
              <w:jc w:val="right"/>
              <w:ind w:right="11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200" w:type="dxa"/>
            <w:vAlign w:val="bottom"/>
            <w:tcBorders>
              <w:left w:val="single" w:sz="8" w:color="CCFFCC"/>
            </w:tcBorders>
            <w:gridSpan w:val="11"/>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Totus Solutions, Inc.</w:t>
            </w:r>
            <w:r>
              <w:rPr>
                <w:rFonts w:ascii="Arial" w:cs="Arial" w:eastAsia="Arial" w:hAnsi="Arial"/>
                <w:sz w:val="19"/>
                <w:szCs w:val="19"/>
                <w:b w:val="1"/>
                <w:bCs w:val="1"/>
                <w:color w:val="auto"/>
                <w:vertAlign w:val="superscript"/>
              </w:rPr>
              <w:t>(2)</w:t>
            </w:r>
          </w:p>
        </w:tc>
        <w:tc>
          <w:tcPr>
            <w:tcW w:w="3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80" w:type="dxa"/>
            <w:vAlign w:val="bottom"/>
            <w:tcBorders>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top w:val="single" w:sz="8" w:color="auto"/>
            </w:tcBorders>
            <w:gridSpan w:val="5"/>
          </w:tcPr>
          <w:p>
            <w:pPr>
              <w:ind w:left="20"/>
              <w:spacing w:after="0" w:line="123" w:lineRule="exact"/>
              <w:rPr>
                <w:sz w:val="20"/>
                <w:szCs w:val="20"/>
                <w:color w:val="auto"/>
              </w:rPr>
            </w:pPr>
            <w:r>
              <w:rPr>
                <w:rFonts w:ascii="Arial" w:cs="Arial" w:eastAsia="Arial" w:hAnsi="Arial"/>
                <w:sz w:val="14"/>
                <w:szCs w:val="14"/>
                <w:color w:val="auto"/>
              </w:rPr>
              <w:t>Common shares</w:t>
            </w:r>
          </w:p>
        </w:tc>
        <w:tc>
          <w:tcPr>
            <w:tcW w:w="940" w:type="dxa"/>
            <w:vAlign w:val="bottom"/>
            <w:tcBorders>
              <w:top w:val="single" w:sz="8" w:color="CCFFCC"/>
            </w:tcBorders>
            <w:gridSpan w:val="6"/>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7"/>
              </w:rPr>
              <w:t>Carrollton, TX</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20,000,000</w:t>
            </w:r>
          </w:p>
        </w:tc>
        <w:tc>
          <w:tcPr>
            <w:tcW w:w="260" w:type="dxa"/>
            <w:vAlign w:val="bottom"/>
            <w:tcBorders>
              <w:top w:val="single" w:sz="8" w:color="CCFFCC"/>
            </w:tcBorders>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5,023,748</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   5,000,000</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1.98%</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LED Lighting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20" w:type="dxa"/>
            <w:vAlign w:val="bottom"/>
            <w:tcBorders>
              <w:left w:val="single" w:sz="8" w:color="CCFFCC"/>
            </w:tcBorders>
            <w:gridSpan w:val="14"/>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Learnist Inc, (f/k/a Grockit, Inc.)</w:t>
            </w:r>
            <w:r>
              <w:rPr>
                <w:rFonts w:ascii="Arial" w:cs="Arial" w:eastAsia="Arial" w:hAnsi="Arial"/>
                <w:sz w:val="20"/>
                <w:szCs w:val="20"/>
                <w:b w:val="1"/>
                <w:bCs w:val="1"/>
                <w:color w:val="auto"/>
                <w:vertAlign w:val="superscript"/>
              </w:rPr>
              <w:t>(2)(13)</w:t>
            </w: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40" w:type="dxa"/>
            <w:vAlign w:val="bottom"/>
            <w:tcBorders>
              <w:top w:val="single" w:sz="8" w:color="auto"/>
            </w:tcBorders>
            <w:gridSpan w:val="10"/>
          </w:tcPr>
          <w:p>
            <w:pPr>
              <w:ind w:left="20"/>
              <w:spacing w:after="0" w:line="123" w:lineRule="exact"/>
              <w:rPr>
                <w:sz w:val="20"/>
                <w:szCs w:val="20"/>
                <w:color w:val="auto"/>
              </w:rPr>
            </w:pPr>
            <w:r>
              <w:rPr>
                <w:rFonts w:ascii="Arial" w:cs="Arial" w:eastAsia="Arial" w:hAnsi="Arial"/>
                <w:sz w:val="14"/>
                <w:szCs w:val="14"/>
                <w:color w:val="auto"/>
              </w:rPr>
              <w:t>Preferred shares, Series D</w:t>
            </w:r>
          </w:p>
        </w:tc>
        <w:tc>
          <w:tcPr>
            <w:tcW w:w="160" w:type="dxa"/>
            <w:vAlign w:val="bottom"/>
            <w:tcBorders>
              <w:top w:val="single" w:sz="8" w:color="CCFFCC"/>
            </w:tcBorders>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2,728,252</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2,005,945</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2,373,579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0.94%</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1"/>
              </w:rPr>
              <w:t>Online Test Preparation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CCFFCC"/>
            </w:tcBorders>
            <w:gridSpan w:val="11"/>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3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1,731,501</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1,503,670</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1,506,406</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0.60%</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gridSpan w:val="11"/>
          </w:tcPr>
          <w:p>
            <w:pPr>
              <w:ind w:left="200"/>
              <w:spacing w:after="0" w:line="142" w:lineRule="exact"/>
              <w:rPr>
                <w:sz w:val="20"/>
                <w:szCs w:val="20"/>
                <w:color w:val="auto"/>
              </w:rPr>
            </w:pPr>
            <w:r>
              <w:rPr>
                <w:rFonts w:ascii="Arial" w:cs="Arial" w:eastAsia="Arial" w:hAnsi="Arial"/>
                <w:sz w:val="14"/>
                <w:szCs w:val="14"/>
                <w:color w:val="auto"/>
              </w:rPr>
              <w:t>Total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3,509,615</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3,879,985</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1.54%</w:t>
            </w:r>
          </w:p>
        </w:tc>
        <w:tc>
          <w:tcPr>
            <w:tcW w:w="0" w:type="dxa"/>
            <w:vAlign w:val="bottom"/>
          </w:tcPr>
          <w:p>
            <w:pPr>
              <w:spacing w:after="0"/>
              <w:rPr>
                <w:sz w:val="1"/>
                <w:szCs w:val="1"/>
                <w:color w:val="auto"/>
              </w:rPr>
            </w:pPr>
          </w:p>
        </w:tc>
      </w:tr>
      <w:tr>
        <w:trPr>
          <w:trHeight w:val="129"/>
        </w:trPr>
        <w:tc>
          <w:tcPr>
            <w:tcW w:w="1040" w:type="dxa"/>
            <w:vAlign w:val="bottom"/>
            <w:tcBorders>
              <w:left w:val="single" w:sz="8" w:color="CCFFCC"/>
              <w:bottom w:val="single" w:sz="8" w:color="auto"/>
            </w:tcBorders>
            <w:gridSpan w:val="3"/>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w w:val="96"/>
              </w:rPr>
              <w:t>SugarCRM, Inc.</w:t>
            </w:r>
          </w:p>
        </w:tc>
        <w:tc>
          <w:tcPr>
            <w:tcW w:w="1160" w:type="dxa"/>
            <w:vAlign w:val="bottom"/>
            <w:tcBorders>
              <w:bottom w:val="single" w:sz="8" w:color="CCFFCC"/>
            </w:tcBorders>
            <w:gridSpan w:val="8"/>
            <w:shd w:val="clear" w:color="auto" w:fill="CCFFCC"/>
          </w:tcPr>
          <w:p>
            <w:pPr>
              <w:spacing w:after="0"/>
              <w:rPr>
                <w:sz w:val="11"/>
                <w:szCs w:val="11"/>
                <w:color w:val="auto"/>
              </w:rPr>
            </w:pPr>
          </w:p>
        </w:tc>
        <w:tc>
          <w:tcPr>
            <w:tcW w:w="3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top w:val="single" w:sz="8" w:color="auto"/>
              <w:bottom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top w:val="single" w:sz="8" w:color="auto"/>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Common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Cupertino,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1,086,047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3,813,378</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3,801,165</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1.50%</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Customer Relationship Manager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CCFFCC"/>
            </w:tcBorders>
            <w:gridSpan w:val="11"/>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Gilt Groupe, Inc.</w:t>
            </w:r>
          </w:p>
        </w:tc>
        <w:tc>
          <w:tcPr>
            <w:tcW w:w="3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10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Common shares</w:t>
            </w:r>
          </w:p>
        </w:tc>
        <w:tc>
          <w:tcPr>
            <w:tcW w:w="1100" w:type="dxa"/>
            <w:vAlign w:val="bottom"/>
            <w:tcBorders>
              <w:top w:val="single" w:sz="8" w:color="CCFFCC"/>
            </w:tcBorders>
            <w:gridSpan w:val="7"/>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248,600</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6,594,346</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3,637,329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1.44%</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1"/>
              </w:rPr>
              <w:t>e-Commerce Flash Sales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11"/>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Spotify Technology S.A.</w:t>
            </w:r>
            <w:r>
              <w:rPr>
                <w:rFonts w:ascii="Arial" w:cs="Arial" w:eastAsia="Arial" w:hAnsi="Arial"/>
                <w:sz w:val="20"/>
                <w:szCs w:val="20"/>
                <w:b w:val="1"/>
                <w:bCs w:val="1"/>
                <w:color w:val="auto"/>
                <w:vertAlign w:val="superscript"/>
              </w:rPr>
              <w:t>(10)</w:t>
            </w:r>
          </w:p>
        </w:tc>
        <w:tc>
          <w:tcPr>
            <w:tcW w:w="3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480" w:type="dxa"/>
            <w:vAlign w:val="bottom"/>
            <w:tcBorders>
              <w:top w:val="single" w:sz="8" w:color="auto"/>
            </w:tcBorders>
            <w:gridSpan w:val="7"/>
          </w:tcPr>
          <w:p>
            <w:pPr>
              <w:ind w:left="20"/>
              <w:spacing w:after="0" w:line="123" w:lineRule="exact"/>
              <w:rPr>
                <w:sz w:val="20"/>
                <w:szCs w:val="20"/>
                <w:color w:val="auto"/>
              </w:rPr>
            </w:pPr>
            <w:r>
              <w:rPr>
                <w:rFonts w:ascii="Arial" w:cs="Arial" w:eastAsia="Arial" w:hAnsi="Arial"/>
                <w:sz w:val="14"/>
                <w:szCs w:val="14"/>
                <w:color w:val="auto"/>
              </w:rPr>
              <w:t>Common shares</w:t>
            </w:r>
          </w:p>
        </w:tc>
        <w:tc>
          <w:tcPr>
            <w:tcW w:w="720" w:type="dxa"/>
            <w:vAlign w:val="bottom"/>
            <w:tcBorders>
              <w:top w:val="single" w:sz="8" w:color="CCFFCC"/>
            </w:tcBorders>
            <w:gridSpan w:val="4"/>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3"/>
              </w:rPr>
              <w:t>Stockholm, Sweden</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3,658</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3,598,472</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3,589,669</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1.42%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Music Streaming Service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CCFFCC"/>
              <w:bottom w:val="single" w:sz="8" w:color="auto"/>
            </w:tcBorders>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0"/>
              </w:rPr>
              <w:t>ZocDoc Inc.</w:t>
            </w:r>
          </w:p>
        </w:tc>
        <w:tc>
          <w:tcPr>
            <w:tcW w:w="1440" w:type="dxa"/>
            <w:vAlign w:val="bottom"/>
            <w:tcBorders>
              <w:bottom w:val="single" w:sz="8" w:color="CCFFCC"/>
            </w:tcBorders>
            <w:gridSpan w:val="10"/>
            <w:shd w:val="clear" w:color="auto" w:fill="CCFFCC"/>
          </w:tcPr>
          <w:p>
            <w:pPr>
              <w:spacing w:after="0"/>
              <w:rPr>
                <w:sz w:val="11"/>
                <w:szCs w:val="11"/>
                <w:color w:val="auto"/>
              </w:rPr>
            </w:pPr>
          </w:p>
        </w:tc>
        <w:tc>
          <w:tcPr>
            <w:tcW w:w="3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68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3,563,178</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3,500,000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1.38%</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Online Medical Scheduling</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CCFFCC"/>
            </w:tcBorders>
            <w:gridSpan w:val="11"/>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Bloom Energy Corporation</w:t>
            </w:r>
          </w:p>
        </w:tc>
        <w:tc>
          <w:tcPr>
            <w:tcW w:w="3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500" w:type="dxa"/>
            <w:vAlign w:val="bottom"/>
            <w:tcBorders>
              <w:top w:val="single" w:sz="8" w:color="CCFFCC"/>
            </w:tcBorders>
            <w:gridSpan w:val="2"/>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4"/>
              </w:rPr>
              <w:t>Sunnyvale, CA</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201,589</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3,855,601</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3,225,424</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1.28%</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Fuel Cell Energy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CCFFCC"/>
              <w:bottom w:val="single" w:sz="8" w:color="auto"/>
              <w:right w:val="single" w:sz="8" w:color="CCFFCC"/>
            </w:tcBorders>
            <w:gridSpan w:val="4"/>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0"/>
              </w:rPr>
              <w:t>Global Education</w:t>
            </w:r>
          </w:p>
        </w:tc>
        <w:tc>
          <w:tcPr>
            <w:tcW w:w="1100" w:type="dxa"/>
            <w:vAlign w:val="bottom"/>
            <w:tcBorders>
              <w:bottom w:val="single" w:sz="8" w:color="CCFFCC"/>
            </w:tcBorders>
            <w:gridSpan w:val="7"/>
            <w:shd w:val="clear" w:color="auto" w:fill="CCFFCC"/>
          </w:tcPr>
          <w:p>
            <w:pPr>
              <w:spacing w:after="0"/>
              <w:rPr>
                <w:sz w:val="11"/>
                <w:szCs w:val="11"/>
                <w:color w:val="auto"/>
              </w:rPr>
            </w:pPr>
          </w:p>
        </w:tc>
        <w:tc>
          <w:tcPr>
            <w:tcW w:w="3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68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CCFFCC"/>
            </w:tcBorders>
            <w:gridSpan w:val="11"/>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Learning (Holdings) Ltd.</w:t>
            </w:r>
            <w:r>
              <w:rPr>
                <w:rFonts w:ascii="Arial" w:cs="Arial" w:eastAsia="Arial" w:hAnsi="Arial"/>
                <w:sz w:val="19"/>
                <w:szCs w:val="19"/>
                <w:b w:val="1"/>
                <w:bCs w:val="1"/>
                <w:color w:val="auto"/>
                <w:vertAlign w:val="superscript"/>
              </w:rPr>
              <w:t>(2)(10)</w:t>
            </w:r>
          </w:p>
        </w:tc>
        <w:tc>
          <w:tcPr>
            <w:tcW w:w="3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80" w:type="dxa"/>
            <w:vAlign w:val="bottom"/>
            <w:tcBorders>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gridSpan w:val="8"/>
          </w:tcPr>
          <w:p>
            <w:pPr>
              <w:ind w:left="20"/>
              <w:spacing w:after="0" w:line="123" w:lineRule="exact"/>
              <w:rPr>
                <w:sz w:val="20"/>
                <w:szCs w:val="20"/>
                <w:color w:val="auto"/>
              </w:rPr>
            </w:pPr>
            <w:r>
              <w:rPr>
                <w:rFonts w:ascii="Arial" w:cs="Arial" w:eastAsia="Arial" w:hAnsi="Arial"/>
                <w:sz w:val="14"/>
                <w:szCs w:val="14"/>
                <w:color w:val="auto"/>
                <w:w w:val="92"/>
              </w:rPr>
              <w:t>Preferred shares, Series A</w:t>
            </w:r>
          </w:p>
        </w:tc>
        <w:tc>
          <w:tcPr>
            <w:tcW w:w="640" w:type="dxa"/>
            <w:vAlign w:val="bottom"/>
            <w:tcBorders>
              <w:top w:val="single" w:sz="8" w:color="CCFFCC"/>
            </w:tcBorders>
            <w:gridSpan w:val="3"/>
          </w:tcPr>
          <w:p>
            <w:pPr>
              <w:spacing w:after="0"/>
              <w:rPr>
                <w:sz w:val="10"/>
                <w:szCs w:val="10"/>
                <w:color w:val="auto"/>
              </w:rPr>
            </w:pPr>
          </w:p>
        </w:tc>
        <w:tc>
          <w:tcPr>
            <w:tcW w:w="36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7"/>
              </w:rPr>
              <w:t>Hong Kong</w:t>
            </w:r>
          </w:p>
        </w:tc>
        <w:tc>
          <w:tcPr>
            <w:tcW w:w="86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1,472,175</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2,999,998</w:t>
            </w:r>
          </w:p>
        </w:tc>
        <w:tc>
          <w:tcPr>
            <w:tcW w:w="120" w:type="dxa"/>
            <w:vAlign w:val="bottom"/>
            <w:tcBorders>
              <w:top w:val="single" w:sz="8" w:color="CCFFCC"/>
            </w:tcBorders>
          </w:tcPr>
          <w:p>
            <w:pPr>
              <w:spacing w:after="0"/>
              <w:rPr>
                <w:sz w:val="10"/>
                <w:szCs w:val="10"/>
                <w:color w:val="auto"/>
              </w:rPr>
            </w:pPr>
          </w:p>
        </w:tc>
        <w:tc>
          <w:tcPr>
            <w:tcW w:w="84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3,003,237</w:t>
            </w:r>
          </w:p>
        </w:tc>
        <w:tc>
          <w:tcPr>
            <w:tcW w:w="740" w:type="dxa"/>
            <w:vAlign w:val="bottom"/>
            <w:tcBorders>
              <w:top w:val="single" w:sz="8" w:color="CCFFCC"/>
            </w:tcBorders>
            <w:gridSpan w:val="3"/>
          </w:tcPr>
          <w:p>
            <w:pPr>
              <w:jc w:val="center"/>
              <w:ind w:left="108"/>
              <w:spacing w:after="0" w:line="123" w:lineRule="exact"/>
              <w:rPr>
                <w:sz w:val="20"/>
                <w:szCs w:val="20"/>
                <w:color w:val="auto"/>
              </w:rPr>
            </w:pPr>
            <w:r>
              <w:rPr>
                <w:rFonts w:ascii="Arial" w:cs="Arial" w:eastAsia="Arial" w:hAnsi="Arial"/>
                <w:sz w:val="14"/>
                <w:szCs w:val="14"/>
                <w:color w:val="auto"/>
                <w:w w:val="90"/>
              </w:rPr>
              <w:t>1.19%</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Education Technology</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CCFFCC"/>
              <w:bottom w:val="single" w:sz="8" w:color="auto"/>
            </w:tcBorders>
            <w:gridSpan w:val="2"/>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92"/>
              </w:rPr>
              <w:t>Parchment, Inc.</w:t>
            </w:r>
          </w:p>
        </w:tc>
        <w:tc>
          <w:tcPr>
            <w:tcW w:w="1200" w:type="dxa"/>
            <w:vAlign w:val="bottom"/>
            <w:tcBorders>
              <w:bottom w:val="single" w:sz="8" w:color="CCFFCC"/>
            </w:tcBorders>
            <w:gridSpan w:val="9"/>
            <w:shd w:val="clear" w:color="auto" w:fill="CCFFCC"/>
          </w:tcPr>
          <w:p>
            <w:pPr>
              <w:spacing w:after="0"/>
              <w:rPr>
                <w:sz w:val="11"/>
                <w:szCs w:val="11"/>
                <w:color w:val="auto"/>
              </w:rPr>
            </w:pPr>
          </w:p>
        </w:tc>
        <w:tc>
          <w:tcPr>
            <w:tcW w:w="3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68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Scottsdale, AZ</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2,400,384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3,000,480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1.19%</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E-Transcript Exchange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11"/>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(2)(6)</w:t>
            </w:r>
          </w:p>
        </w:tc>
        <w:tc>
          <w:tcPr>
            <w:tcW w:w="3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rPr>
              <w:t>New York, NY</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3,000,000</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1.19%</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Globally-focused Private School</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11"/>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(2)(7)</w:t>
            </w:r>
          </w:p>
        </w:tc>
        <w:tc>
          <w:tcPr>
            <w:tcW w:w="3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Scottsdale, AZ</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3,279,629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2,019,687</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2,545,812</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1.01%</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Interactive Learning Platform</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CCFFCC"/>
              <w:bottom w:val="single" w:sz="8" w:color="auto"/>
            </w:tcBorders>
            <w:gridSpan w:val="2"/>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w w:val="88"/>
              </w:rPr>
              <w:t>SharesPost, Inc.</w:t>
            </w:r>
          </w:p>
        </w:tc>
        <w:tc>
          <w:tcPr>
            <w:tcW w:w="1200" w:type="dxa"/>
            <w:vAlign w:val="bottom"/>
            <w:tcBorders>
              <w:bottom w:val="single" w:sz="8" w:color="CCFFCC"/>
            </w:tcBorders>
            <w:gridSpan w:val="9"/>
            <w:shd w:val="clear" w:color="auto" w:fill="CCFFCC"/>
          </w:tcPr>
          <w:p>
            <w:pPr>
              <w:spacing w:after="0"/>
              <w:rPr>
                <w:sz w:val="11"/>
                <w:szCs w:val="11"/>
                <w:color w:val="auto"/>
              </w:rPr>
            </w:pPr>
          </w:p>
        </w:tc>
        <w:tc>
          <w:tcPr>
            <w:tcW w:w="3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0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680" w:type="dxa"/>
            <w:vAlign w:val="bottom"/>
            <w:tcBorders>
              <w:bottom w:val="single" w:sz="8" w:color="CCFFCC"/>
              <w:right w:val="single" w:sz="8" w:color="CCFFCC"/>
            </w:tcBorders>
            <w:shd w:val="clear" w:color="auto" w:fill="CCFFCC"/>
          </w:tcPr>
          <w:p>
            <w:pPr>
              <w:spacing w:after="0"/>
              <w:rPr>
                <w:sz w:val="11"/>
                <w:szCs w:val="11"/>
                <w:color w:val="auto"/>
              </w:rPr>
            </w:pPr>
          </w:p>
        </w:tc>
        <w:tc>
          <w:tcPr>
            <w:tcW w:w="120" w:type="dxa"/>
            <w:vAlign w:val="bottom"/>
            <w:tcBorders>
              <w:left w:val="single" w:sz="8" w:color="CCFFCC"/>
              <w:bottom w:val="single" w:sz="8" w:color="CCFFCC"/>
            </w:tcBorders>
            <w:shd w:val="clear" w:color="auto" w:fill="CCFFCC"/>
          </w:tcPr>
          <w:p>
            <w:pPr>
              <w:spacing w:after="0"/>
              <w:rPr>
                <w:sz w:val="11"/>
                <w:szCs w:val="11"/>
                <w:color w:val="auto"/>
              </w:rPr>
            </w:pPr>
          </w:p>
        </w:tc>
        <w:tc>
          <w:tcPr>
            <w:tcW w:w="84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San Bruno,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1,771,653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2,257,984</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2,249,999</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0.89%</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Online Marketplace (Finance)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tcBorders>
              <w:left w:val="single" w:sz="8" w:color="CCFFCC"/>
            </w:tcBorders>
            <w:gridSpan w:val="11"/>
            <w:shd w:val="clear" w:color="auto" w:fill="CCFFCC"/>
          </w:tcPr>
          <w:p>
            <w:pPr>
              <w:ind w:left="20"/>
              <w:spacing w:after="0" w:line="130" w:lineRule="exact"/>
              <w:rPr>
                <w:sz w:val="20"/>
                <w:szCs w:val="20"/>
                <w:color w:val="auto"/>
              </w:rPr>
            </w:pPr>
            <w:r>
              <w:rPr>
                <w:rFonts w:ascii="Arial" w:cs="Arial" w:eastAsia="Arial" w:hAnsi="Arial"/>
                <w:sz w:val="14"/>
                <w:szCs w:val="14"/>
                <w:color w:val="auto"/>
                <w:w w:val="92"/>
              </w:rPr>
              <w:t>Common warrants, $0.13 strike price,</w:t>
            </w:r>
          </w:p>
        </w:tc>
        <w:tc>
          <w:tcPr>
            <w:tcW w:w="3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770,934</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23,128</w:t>
            </w:r>
          </w:p>
        </w:tc>
        <w:tc>
          <w:tcPr>
            <w:tcW w:w="12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123,349</w:t>
            </w:r>
          </w:p>
        </w:tc>
        <w:tc>
          <w:tcPr>
            <w:tcW w:w="740" w:type="dxa"/>
            <w:vAlign w:val="bottom"/>
            <w:tcBorders>
              <w:left w:val="single" w:sz="8" w:color="CCFFCC"/>
            </w:tcBorders>
            <w:gridSpan w:val="3"/>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0"/>
              </w:rPr>
              <w:t>0.05%</w:t>
            </w:r>
          </w:p>
        </w:tc>
        <w:tc>
          <w:tcPr>
            <w:tcW w:w="0" w:type="dxa"/>
            <w:vAlign w:val="bottom"/>
          </w:tcPr>
          <w:p>
            <w:pPr>
              <w:spacing w:after="0"/>
              <w:rPr>
                <w:sz w:val="1"/>
                <w:szCs w:val="1"/>
                <w:color w:val="auto"/>
              </w:rPr>
            </w:pPr>
          </w:p>
        </w:tc>
      </w:tr>
      <w:tr>
        <w:trPr>
          <w:trHeight w:val="167"/>
        </w:trPr>
        <w:tc>
          <w:tcPr>
            <w:tcW w:w="2200" w:type="dxa"/>
            <w:vAlign w:val="bottom"/>
            <w:tcBorders>
              <w:left w:val="single" w:sz="8" w:color="CCFFCC"/>
              <w:bottom w:val="single" w:sz="8" w:color="CCFFCC"/>
            </w:tcBorders>
            <w:gridSpan w:val="11"/>
            <w:shd w:val="clear" w:color="auto" w:fill="CCFFCC"/>
          </w:tcPr>
          <w:p>
            <w:pPr>
              <w:ind w:left="200"/>
              <w:spacing w:after="0"/>
              <w:rPr>
                <w:sz w:val="20"/>
                <w:szCs w:val="20"/>
                <w:color w:val="auto"/>
              </w:rPr>
            </w:pPr>
            <w:r>
              <w:rPr>
                <w:rFonts w:ascii="Arial" w:cs="Arial" w:eastAsia="Arial" w:hAnsi="Arial"/>
                <w:sz w:val="14"/>
                <w:szCs w:val="14"/>
                <w:color w:val="auto"/>
              </w:rPr>
              <w:t>expire 6/15/2018</w:t>
            </w:r>
          </w:p>
        </w:tc>
        <w:tc>
          <w:tcPr>
            <w:tcW w:w="3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11"/>
          </w:tcPr>
          <w:p>
            <w:pPr>
              <w:ind w:left="200"/>
              <w:spacing w:after="0" w:line="142" w:lineRule="exact"/>
              <w:rPr>
                <w:sz w:val="20"/>
                <w:szCs w:val="20"/>
                <w:color w:val="auto"/>
              </w:rPr>
            </w:pPr>
            <w:r>
              <w:rPr>
                <w:rFonts w:ascii="Arial" w:cs="Arial" w:eastAsia="Arial" w:hAnsi="Arial"/>
                <w:sz w:val="14"/>
                <w:szCs w:val="14"/>
                <w:color w:val="auto"/>
              </w:rPr>
              <w:t>Total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2,281,112</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2,373,348</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0.94%</w:t>
            </w:r>
          </w:p>
        </w:tc>
        <w:tc>
          <w:tcPr>
            <w:tcW w:w="0" w:type="dxa"/>
            <w:vAlign w:val="bottom"/>
          </w:tcPr>
          <w:p>
            <w:pPr>
              <w:spacing w:after="0"/>
              <w:rPr>
                <w:sz w:val="1"/>
                <w:szCs w:val="1"/>
                <w:color w:val="auto"/>
              </w:rPr>
            </w:pPr>
          </w:p>
        </w:tc>
      </w:tr>
      <w:tr>
        <w:trPr>
          <w:trHeight w:val="169"/>
        </w:trPr>
        <w:tc>
          <w:tcPr>
            <w:tcW w:w="2200" w:type="dxa"/>
            <w:vAlign w:val="bottom"/>
            <w:tcBorders>
              <w:left w:val="single" w:sz="8" w:color="CCFFCC"/>
            </w:tcBorders>
            <w:gridSpan w:val="11"/>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(2)</w:t>
            </w:r>
          </w:p>
        </w:tc>
        <w:tc>
          <w:tcPr>
            <w:tcW w:w="3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right w:val="single" w:sz="8" w:color="CCFFCC"/>
            </w:tcBorders>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49,505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217,206</w:t>
            </w:r>
          </w:p>
        </w:tc>
        <w:tc>
          <w:tcPr>
            <w:tcW w:w="12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310,396</w:t>
            </w:r>
          </w:p>
        </w:tc>
        <w:tc>
          <w:tcPr>
            <w:tcW w:w="740" w:type="dxa"/>
            <w:vAlign w:val="bottom"/>
            <w:gridSpan w:val="3"/>
          </w:tcPr>
          <w:p>
            <w:pPr>
              <w:jc w:val="center"/>
              <w:ind w:left="108"/>
              <w:spacing w:after="0" w:line="123" w:lineRule="exact"/>
              <w:rPr>
                <w:sz w:val="20"/>
                <w:szCs w:val="20"/>
                <w:color w:val="auto"/>
              </w:rPr>
            </w:pPr>
            <w:r>
              <w:rPr>
                <w:rFonts w:ascii="Arial" w:cs="Arial" w:eastAsia="Arial" w:hAnsi="Arial"/>
                <w:sz w:val="14"/>
                <w:szCs w:val="14"/>
                <w:color w:val="auto"/>
                <w:w w:val="90"/>
              </w:rPr>
              <w:t>0.12%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Knowledge Networks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CCFFCC"/>
            </w:tcBorders>
            <w:gridSpan w:val="11"/>
            <w:shd w:val="clear" w:color="auto" w:fill="CCFFCC"/>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3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318,979</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1,999,998</w:t>
            </w:r>
          </w:p>
        </w:tc>
        <w:tc>
          <w:tcPr>
            <w:tcW w:w="120" w:type="dxa"/>
            <w:vAlign w:val="bottom"/>
            <w:tcBorders>
              <w:left w:val="single" w:sz="8" w:color="CCFFCC"/>
            </w:tcBorders>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1,999,998</w:t>
            </w:r>
          </w:p>
        </w:tc>
        <w:tc>
          <w:tcPr>
            <w:tcW w:w="740" w:type="dxa"/>
            <w:vAlign w:val="bottom"/>
            <w:tcBorders>
              <w:left w:val="single" w:sz="8" w:color="CCFFCC"/>
            </w:tcBorders>
            <w:gridSpan w:val="3"/>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0.79%</w:t>
            </w:r>
          </w:p>
        </w:tc>
        <w:tc>
          <w:tcPr>
            <w:tcW w:w="0" w:type="dxa"/>
            <w:vAlign w:val="bottom"/>
          </w:tcPr>
          <w:p>
            <w:pPr>
              <w:spacing w:after="0"/>
              <w:rPr>
                <w:sz w:val="1"/>
                <w:szCs w:val="1"/>
                <w:color w:val="auto"/>
              </w:rPr>
            </w:pPr>
          </w:p>
        </w:tc>
      </w:tr>
      <w:tr>
        <w:trPr>
          <w:trHeight w:val="20"/>
        </w:trPr>
        <w:tc>
          <w:tcPr>
            <w:tcW w:w="7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gridSpan w:val="11"/>
          </w:tcPr>
          <w:p>
            <w:pPr>
              <w:ind w:left="200"/>
              <w:spacing w:after="0" w:line="142" w:lineRule="exact"/>
              <w:rPr>
                <w:sz w:val="20"/>
                <w:szCs w:val="20"/>
                <w:color w:val="auto"/>
              </w:rPr>
            </w:pPr>
            <w:r>
              <w:rPr>
                <w:rFonts w:ascii="Arial" w:cs="Arial" w:eastAsia="Arial" w:hAnsi="Arial"/>
                <w:sz w:val="14"/>
                <w:szCs w:val="14"/>
                <w:color w:val="auto"/>
              </w:rPr>
              <w:t>Total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2,217,204</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2,310,394</w:t>
            </w:r>
          </w:p>
        </w:tc>
        <w:tc>
          <w:tcPr>
            <w:tcW w:w="740" w:type="dxa"/>
            <w:vAlign w:val="bottom"/>
            <w:gridSpan w:val="3"/>
          </w:tcPr>
          <w:p>
            <w:pPr>
              <w:jc w:val="center"/>
              <w:ind w:left="108"/>
              <w:spacing w:after="0" w:line="142" w:lineRule="exact"/>
              <w:rPr>
                <w:sz w:val="20"/>
                <w:szCs w:val="20"/>
                <w:color w:val="auto"/>
              </w:rPr>
            </w:pPr>
            <w:r>
              <w:rPr>
                <w:rFonts w:ascii="Arial" w:cs="Arial" w:eastAsia="Arial" w:hAnsi="Arial"/>
                <w:sz w:val="14"/>
                <w:szCs w:val="14"/>
                <w:color w:val="auto"/>
                <w:w w:val="90"/>
              </w:rPr>
              <w:t>0.91%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-3952875</wp:posOffset>
            </wp:positionV>
            <wp:extent cx="5213985" cy="1117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-5007610</wp:posOffset>
            </wp:positionV>
            <wp:extent cx="52139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gridSpan w:val="8"/>
          </w:tcPr>
          <w:p>
            <w:pPr>
              <w:jc w:val="center"/>
              <w:ind w:left="247"/>
              <w:spacing w:after="0"/>
              <w:rPr>
                <w:sz w:val="20"/>
                <w:szCs w:val="20"/>
                <w:color w:val="auto"/>
              </w:rPr>
            </w:pPr>
            <w:r>
              <w:rPr>
                <w:rFonts w:ascii="Arial" w:cs="Arial" w:eastAsia="Arial" w:hAnsi="Arial"/>
                <w:sz w:val="18"/>
                <w:szCs w:val="18"/>
                <w:b w:val="1"/>
                <w:bCs w:val="1"/>
                <w:color w:val="auto"/>
                <w:w w:val="98"/>
              </w:rPr>
              <w:t>GSV CAPITAL CORP. AND SUBSIDIARIES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jc w:val="center"/>
              <w:ind w:left="170"/>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5"/>
                <w:szCs w:val="15"/>
                <w:color w:val="auto"/>
              </w:rPr>
            </w:pPr>
          </w:p>
        </w:tc>
        <w:tc>
          <w:tcPr>
            <w:tcW w:w="2960" w:type="dxa"/>
            <w:vAlign w:val="bottom"/>
            <w:gridSpan w:val="3"/>
          </w:tcPr>
          <w:p>
            <w:pPr>
              <w:jc w:val="center"/>
              <w:ind w:left="1307"/>
              <w:spacing w:after="0" w:line="181" w:lineRule="exact"/>
              <w:rPr>
                <w:sz w:val="20"/>
                <w:szCs w:val="20"/>
                <w:color w:val="auto"/>
              </w:rPr>
            </w:pPr>
            <w:r>
              <w:rPr>
                <w:rFonts w:ascii="Arial" w:cs="Arial" w:eastAsia="Arial" w:hAnsi="Arial"/>
                <w:sz w:val="18"/>
                <w:szCs w:val="18"/>
                <w:b w:val="1"/>
                <w:bCs w:val="1"/>
                <w:color w:val="auto"/>
                <w:w w:val="90"/>
              </w:rPr>
              <w:t>December 31, 2012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56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60" w:type="dxa"/>
            <w:vAlign w:val="bottom"/>
          </w:tcPr>
          <w:p>
            <w:pPr>
              <w:spacing w:after="0"/>
              <w:rPr>
                <w:sz w:val="9"/>
                <w:szCs w:val="9"/>
                <w:color w:val="auto"/>
              </w:rPr>
            </w:pPr>
          </w:p>
        </w:tc>
        <w:tc>
          <w:tcPr>
            <w:tcW w:w="820" w:type="dxa"/>
            <w:vAlign w:val="bottom"/>
          </w:tcPr>
          <w:p>
            <w:pPr>
              <w:jc w:val="right"/>
              <w:ind w:right="133"/>
              <w:spacing w:after="0" w:line="11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6"/>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(2)</w:t>
            </w:r>
          </w:p>
        </w:tc>
        <w:tc>
          <w:tcPr>
            <w:tcW w:w="6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80" w:type="dxa"/>
            <w:vAlign w:val="bottom"/>
            <w:tcBorders>
              <w:right w:val="single" w:sz="8" w:color="CCFFCC"/>
            </w:tcBorders>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C</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Cambridge, MA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1,196,809</w:t>
            </w:r>
          </w:p>
        </w:tc>
        <w:tc>
          <w:tcPr>
            <w:tcW w:w="2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2,250,001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   2,250,001</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Business Education</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6"/>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Starfish Holdings, Inc. (d/b/a</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00" w:type="dxa"/>
            <w:vAlign w:val="bottom"/>
            <w:tcBorders>
              <w:top w:val="single" w:sz="8" w:color="auto"/>
              <w:left w:val="single" w:sz="8" w:color="CCFFCC"/>
            </w:tcBorders>
            <w:gridSpan w:val="5"/>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YourOffers)</w:t>
            </w:r>
            <w:r>
              <w:rPr>
                <w:rFonts w:ascii="Arial" w:cs="Arial" w:eastAsia="Arial" w:hAnsi="Arial"/>
                <w:sz w:val="19"/>
                <w:szCs w:val="19"/>
                <w:b w:val="1"/>
                <w:bCs w:val="1"/>
                <w:color w:val="auto"/>
                <w:vertAlign w:val="superscript"/>
              </w:rPr>
              <w:t>(2)(12)</w:t>
            </w:r>
          </w:p>
        </w:tc>
        <w:tc>
          <w:tcPr>
            <w:tcW w:w="76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208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82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80" w:type="dxa"/>
            <w:vAlign w:val="bottom"/>
            <w:tcBorders>
              <w:top w:val="single" w:sz="8" w:color="CCFFCC"/>
              <w:right w:val="single" w:sz="8" w:color="CCFFCC"/>
            </w:tcBorders>
            <w:shd w:val="clear" w:color="auto" w:fill="CCFFCC"/>
          </w:tcPr>
          <w:p>
            <w:pPr>
              <w:spacing w:after="0"/>
              <w:rPr>
                <w:sz w:val="14"/>
                <w:szCs w:val="14"/>
                <w:color w:val="auto"/>
              </w:rPr>
            </w:pPr>
          </w:p>
        </w:tc>
        <w:tc>
          <w:tcPr>
            <w:tcW w:w="4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84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38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9"/>
              </w:rPr>
              <w:t>Beverly Hills, CA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43,878,894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2,012,103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2,193,945</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Marketing Platform</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6"/>
            <w:shd w:val="clear" w:color="auto" w:fill="CCFFCC"/>
          </w:tcPr>
          <w:p>
            <w:pPr>
              <w:ind w:left="20"/>
              <w:spacing w:after="0" w:line="130" w:lineRule="exact"/>
              <w:rPr>
                <w:sz w:val="20"/>
                <w:szCs w:val="20"/>
                <w:color w:val="auto"/>
              </w:rPr>
            </w:pPr>
            <w:r>
              <w:rPr>
                <w:rFonts w:ascii="Arial" w:cs="Arial" w:eastAsia="Arial" w:hAnsi="Arial"/>
                <w:sz w:val="14"/>
                <w:szCs w:val="14"/>
                <w:color w:val="auto"/>
                <w:w w:val="98"/>
              </w:rPr>
              <w:t>Common warrants, $0.00001 strike price,</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144,800,351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0" w:type="dxa"/>
            <w:vAlign w:val="bottom"/>
            <w:gridSpan w:val="3"/>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bottom w:val="single" w:sz="8" w:color="CCFFCC"/>
            </w:tcBorders>
            <w:gridSpan w:val="6"/>
            <w:shd w:val="clear" w:color="auto" w:fill="CCFFCC"/>
          </w:tcPr>
          <w:p>
            <w:pPr>
              <w:ind w:left="200"/>
              <w:spacing w:after="0"/>
              <w:rPr>
                <w:sz w:val="20"/>
                <w:szCs w:val="20"/>
                <w:color w:val="auto"/>
              </w:rPr>
            </w:pPr>
            <w:r>
              <w:rPr>
                <w:rFonts w:ascii="Arial" w:cs="Arial" w:eastAsia="Arial" w:hAnsi="Arial"/>
                <w:sz w:val="14"/>
                <w:szCs w:val="14"/>
                <w:color w:val="auto"/>
              </w:rPr>
              <w:t>expire 11/13/2019</w:t>
            </w:r>
          </w:p>
        </w:tc>
        <w:tc>
          <w:tcPr>
            <w:tcW w:w="6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2,012,103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2,193,945</w:t>
            </w: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29"/>
        </w:trPr>
        <w:tc>
          <w:tcPr>
            <w:tcW w:w="2560" w:type="dxa"/>
            <w:vAlign w:val="bottom"/>
            <w:tcBorders>
              <w:left w:val="single" w:sz="8" w:color="CCFFCC"/>
            </w:tcBorders>
            <w:gridSpan w:val="6"/>
            <w:shd w:val="clear" w:color="auto" w:fill="CCFFCC"/>
          </w:tcPr>
          <w:p>
            <w:pPr>
              <w:ind w:left="20"/>
              <w:spacing w:after="0" w:line="129" w:lineRule="exact"/>
              <w:rPr>
                <w:sz w:val="20"/>
                <w:szCs w:val="20"/>
                <w:color w:val="auto"/>
              </w:rPr>
            </w:pPr>
            <w:r>
              <w:rPr>
                <w:rFonts w:ascii="Arial" w:cs="Arial" w:eastAsia="Arial" w:hAnsi="Arial"/>
                <w:sz w:val="14"/>
                <w:szCs w:val="14"/>
                <w:b w:val="1"/>
                <w:bCs w:val="1"/>
                <w:color w:val="auto"/>
              </w:rPr>
              <w:t>TrueCar, Inc.</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680" w:type="dxa"/>
            <w:vAlign w:val="bottom"/>
            <w:tcBorders>
              <w:top w:val="single" w:sz="8" w:color="auto"/>
              <w:righ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3"/>
              </w:rPr>
              <w:t>Santa Monica, CA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377,358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2,014,863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2,011,318</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Online Marketplace (Cars)</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6"/>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Dataminr, Inc.</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New York, NY</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904,977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2,060,602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1,999,999</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Social Media Analytics</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6"/>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(2)</w:t>
            </w: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89"/>
              </w:rPr>
              <w:t>Preferred shares, Series C</w:t>
            </w:r>
          </w:p>
        </w:tc>
        <w:tc>
          <w:tcPr>
            <w:tcW w:w="1020" w:type="dxa"/>
            <w:vAlign w:val="bottom"/>
            <w:tcBorders>
              <w:top w:val="single" w:sz="8" w:color="CCFFCC"/>
            </w:tcBorders>
            <w:gridSpan w:val="4"/>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8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246,305</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jc w:val="right"/>
              <w:spacing w:after="0" w:line="123" w:lineRule="exact"/>
              <w:rPr>
                <w:sz w:val="20"/>
                <w:szCs w:val="20"/>
                <w:color w:val="auto"/>
              </w:rPr>
            </w:pPr>
            <w:r>
              <w:rPr>
                <w:rFonts w:ascii="Arial" w:cs="Arial" w:eastAsia="Arial" w:hAnsi="Arial"/>
                <w:sz w:val="14"/>
                <w:szCs w:val="14"/>
                <w:color w:val="auto"/>
              </w:rPr>
              <w:t>2,006,077</w:t>
            </w:r>
          </w:p>
        </w:tc>
        <w:tc>
          <w:tcPr>
            <w:tcW w:w="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900" w:type="dxa"/>
            <w:vAlign w:val="bottom"/>
            <w:tcBorders>
              <w:top w:val="single" w:sz="8" w:color="CCFFCC"/>
            </w:tcBorders>
            <w:gridSpan w:val="2"/>
          </w:tcPr>
          <w:p>
            <w:pPr>
              <w:jc w:val="right"/>
              <w:ind w:right="60"/>
              <w:spacing w:after="0" w:line="123" w:lineRule="exact"/>
              <w:rPr>
                <w:sz w:val="20"/>
                <w:szCs w:val="20"/>
                <w:color w:val="auto"/>
              </w:rPr>
            </w:pPr>
            <w:r>
              <w:rPr>
                <w:rFonts w:ascii="Arial" w:cs="Arial" w:eastAsia="Arial" w:hAnsi="Arial"/>
                <w:sz w:val="14"/>
                <w:szCs w:val="14"/>
                <w:color w:val="auto"/>
              </w:rPr>
              <w:t>1,999,997</w:t>
            </w:r>
          </w:p>
        </w:tc>
        <w:tc>
          <w:tcPr>
            <w:tcW w:w="680" w:type="dxa"/>
            <w:vAlign w:val="bottom"/>
            <w:tcBorders>
              <w:top w:val="single" w:sz="8" w:color="CCFFCC"/>
            </w:tcBorders>
            <w:gridSpan w:val="3"/>
          </w:tcPr>
          <w:p>
            <w:pPr>
              <w:jc w:val="right"/>
              <w:ind w:right="100"/>
              <w:spacing w:after="0" w:line="123"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6"/>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Dailybreak, Inc.</w:t>
            </w:r>
            <w:r>
              <w:rPr>
                <w:rFonts w:ascii="Arial" w:cs="Arial" w:eastAsia="Arial" w:hAnsi="Arial"/>
                <w:sz w:val="20"/>
                <w:szCs w:val="20"/>
                <w:b w:val="1"/>
                <w:bCs w:val="1"/>
                <w:color w:val="auto"/>
                <w:vertAlign w:val="superscript"/>
              </w:rPr>
              <w:t>(2)</w:t>
            </w: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A-1</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Boston, MA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1,545,181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1,993,283</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Social Advertising</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6"/>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Silver Spring Networks, Inc.</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tcBorders>
              <w:top w:val="single" w:sz="8" w:color="auto"/>
            </w:tcBorders>
            <w:gridSpan w:val="4"/>
          </w:tcPr>
          <w:p>
            <w:pPr>
              <w:ind w:left="20"/>
              <w:spacing w:after="0" w:line="164" w:lineRule="exact"/>
              <w:rPr>
                <w:sz w:val="20"/>
                <w:szCs w:val="20"/>
                <w:color w:val="auto"/>
              </w:rPr>
            </w:pPr>
            <w:r>
              <w:rPr>
                <w:rFonts w:ascii="Arial" w:cs="Arial" w:eastAsia="Arial" w:hAnsi="Arial"/>
                <w:sz w:val="12"/>
                <w:szCs w:val="12"/>
                <w:color w:val="auto"/>
              </w:rPr>
              <w:t>Common shares</w:t>
            </w:r>
            <w:r>
              <w:rPr>
                <w:rFonts w:ascii="Arial" w:cs="Arial" w:eastAsia="Arial" w:hAnsi="Arial"/>
                <w:sz w:val="18"/>
                <w:szCs w:val="18"/>
                <w:color w:val="auto"/>
                <w:vertAlign w:val="superscript"/>
              </w:rPr>
              <w:t>(11)</w:t>
            </w:r>
          </w:p>
        </w:tc>
        <w:tc>
          <w:tcPr>
            <w:tcW w:w="800" w:type="dxa"/>
            <w:vAlign w:val="bottom"/>
            <w:tcBorders>
              <w:top w:val="single" w:sz="8" w:color="CCFFCC"/>
            </w:tcBorders>
            <w:gridSpan w:val="2"/>
          </w:tcPr>
          <w:p>
            <w:pPr>
              <w:spacing w:after="0"/>
              <w:rPr>
                <w:sz w:val="14"/>
                <w:szCs w:val="14"/>
                <w:color w:val="auto"/>
              </w:rPr>
            </w:pPr>
          </w:p>
        </w:tc>
        <w:tc>
          <w:tcPr>
            <w:tcW w:w="60" w:type="dxa"/>
            <w:vAlign w:val="bottom"/>
            <w:tcBorders>
              <w:top w:val="single" w:sz="8" w:color="CCFFCC"/>
            </w:tcBorders>
          </w:tcPr>
          <w:p>
            <w:pPr>
              <w:spacing w:after="0"/>
              <w:rPr>
                <w:sz w:val="14"/>
                <w:szCs w:val="14"/>
                <w:color w:val="auto"/>
              </w:rPr>
            </w:pPr>
          </w:p>
        </w:tc>
        <w:tc>
          <w:tcPr>
            <w:tcW w:w="2080" w:type="dxa"/>
            <w:vAlign w:val="bottom"/>
            <w:tcBorders>
              <w:top w:val="single" w:sz="8" w:color="CCFFCC"/>
            </w:tcBorders>
          </w:tcPr>
          <w:p>
            <w:pPr>
              <w:jc w:val="center"/>
              <w:spacing w:after="0"/>
              <w:rPr>
                <w:sz w:val="20"/>
                <w:szCs w:val="20"/>
                <w:color w:val="auto"/>
              </w:rPr>
            </w:pPr>
            <w:r>
              <w:rPr>
                <w:rFonts w:ascii="Arial" w:cs="Arial" w:eastAsia="Arial" w:hAnsi="Arial"/>
                <w:sz w:val="14"/>
                <w:szCs w:val="14"/>
                <w:color w:val="auto"/>
                <w:w w:val="96"/>
              </w:rPr>
              <w:t>Redwood City, CA</w:t>
            </w:r>
          </w:p>
        </w:tc>
        <w:tc>
          <w:tcPr>
            <w:tcW w:w="880" w:type="dxa"/>
            <w:vAlign w:val="bottom"/>
            <w:tcBorders>
              <w:top w:val="single" w:sz="8" w:color="CCFFCC"/>
            </w:tcBorders>
            <w:gridSpan w:val="2"/>
          </w:tcPr>
          <w:p>
            <w:pPr>
              <w:jc w:val="right"/>
              <w:spacing w:after="0"/>
              <w:rPr>
                <w:sz w:val="20"/>
                <w:szCs w:val="20"/>
                <w:color w:val="auto"/>
              </w:rPr>
            </w:pPr>
            <w:r>
              <w:rPr>
                <w:rFonts w:ascii="Arial" w:cs="Arial" w:eastAsia="Arial" w:hAnsi="Arial"/>
                <w:sz w:val="14"/>
                <w:szCs w:val="14"/>
                <w:color w:val="auto"/>
              </w:rPr>
              <w:t>510,143</w:t>
            </w:r>
          </w:p>
        </w:tc>
        <w:tc>
          <w:tcPr>
            <w:tcW w:w="8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680" w:type="dxa"/>
            <w:vAlign w:val="bottom"/>
            <w:tcBorders>
              <w:top w:val="single" w:sz="8" w:color="CCFFCC"/>
            </w:tcBorders>
          </w:tcPr>
          <w:p>
            <w:pPr>
              <w:jc w:val="right"/>
              <w:spacing w:after="0"/>
              <w:rPr>
                <w:sz w:val="20"/>
                <w:szCs w:val="20"/>
                <w:color w:val="auto"/>
              </w:rPr>
            </w:pPr>
            <w:r>
              <w:rPr>
                <w:rFonts w:ascii="Arial" w:cs="Arial" w:eastAsia="Arial" w:hAnsi="Arial"/>
                <w:sz w:val="14"/>
                <w:szCs w:val="14"/>
                <w:color w:val="auto"/>
              </w:rPr>
              <w:t>5,145,271</w:t>
            </w:r>
          </w:p>
        </w:tc>
        <w:tc>
          <w:tcPr>
            <w:tcW w:w="4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900" w:type="dxa"/>
            <w:vAlign w:val="bottom"/>
            <w:tcBorders>
              <w:top w:val="single" w:sz="8" w:color="CCFFCC"/>
            </w:tcBorders>
            <w:gridSpan w:val="2"/>
          </w:tcPr>
          <w:p>
            <w:pPr>
              <w:jc w:val="right"/>
              <w:ind w:right="60"/>
              <w:spacing w:after="0"/>
              <w:rPr>
                <w:sz w:val="20"/>
                <w:szCs w:val="20"/>
                <w:color w:val="auto"/>
              </w:rPr>
            </w:pPr>
            <w:r>
              <w:rPr>
                <w:rFonts w:ascii="Arial" w:cs="Arial" w:eastAsia="Arial" w:hAnsi="Arial"/>
                <w:sz w:val="14"/>
                <w:szCs w:val="14"/>
                <w:color w:val="auto"/>
              </w:rPr>
              <w:t>1,976,804</w:t>
            </w:r>
          </w:p>
        </w:tc>
        <w:tc>
          <w:tcPr>
            <w:tcW w:w="680" w:type="dxa"/>
            <w:vAlign w:val="bottom"/>
            <w:tcBorders>
              <w:top w:val="single" w:sz="8" w:color="CCFFCC"/>
            </w:tcBorders>
            <w:gridSpan w:val="3"/>
          </w:tcPr>
          <w:p>
            <w:pPr>
              <w:jc w:val="right"/>
              <w:ind w:right="100"/>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Smart Grid</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6"/>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The Echo System Corp.</w:t>
            </w:r>
            <w:r>
              <w:rPr>
                <w:rFonts w:ascii="Arial" w:cs="Arial" w:eastAsia="Arial" w:hAnsi="Arial"/>
                <w:sz w:val="20"/>
                <w:szCs w:val="20"/>
                <w:b w:val="1"/>
                <w:bCs w:val="1"/>
                <w:color w:val="auto"/>
                <w:vertAlign w:val="superscript"/>
              </w:rPr>
              <w:t>(2)</w:t>
            </w: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New York, NY</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512,365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1,436,404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1,639,568</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Social Analytics</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6"/>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$0.20 strike price,</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68,359</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75,988</w:t>
            </w:r>
          </w:p>
        </w:tc>
        <w:tc>
          <w:tcPr>
            <w:tcW w:w="8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68,359</w:t>
            </w:r>
          </w:p>
        </w:tc>
        <w:tc>
          <w:tcPr>
            <w:tcW w:w="68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bottom w:val="single" w:sz="8" w:color="CCFFCC"/>
            </w:tcBorders>
            <w:gridSpan w:val="6"/>
            <w:shd w:val="clear" w:color="auto" w:fill="CCFFCC"/>
          </w:tcPr>
          <w:p>
            <w:pPr>
              <w:ind w:left="200"/>
              <w:spacing w:after="0"/>
              <w:rPr>
                <w:sz w:val="20"/>
                <w:szCs w:val="20"/>
                <w:color w:val="auto"/>
              </w:rPr>
            </w:pPr>
            <w:r>
              <w:rPr>
                <w:rFonts w:ascii="Arial" w:cs="Arial" w:eastAsia="Arial" w:hAnsi="Arial"/>
                <w:sz w:val="14"/>
                <w:szCs w:val="14"/>
                <w:color w:val="auto"/>
              </w:rPr>
              <w:t>expire 11/14/2016</w:t>
            </w:r>
          </w:p>
        </w:tc>
        <w:tc>
          <w:tcPr>
            <w:tcW w:w="6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1,512,392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1,707,927</w:t>
            </w: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69"/>
        </w:trPr>
        <w:tc>
          <w:tcPr>
            <w:tcW w:w="2560" w:type="dxa"/>
            <w:vAlign w:val="bottom"/>
            <w:tcBorders>
              <w:left w:val="single" w:sz="8" w:color="CCFFCC"/>
            </w:tcBorders>
            <w:gridSpan w:val="6"/>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AltEgo, LLC</w:t>
            </w:r>
            <w:r>
              <w:rPr>
                <w:rFonts w:ascii="Arial" w:cs="Arial" w:eastAsia="Arial" w:hAnsi="Arial"/>
                <w:sz w:val="19"/>
                <w:szCs w:val="19"/>
                <w:b w:val="1"/>
                <w:bCs w:val="1"/>
                <w:color w:val="auto"/>
                <w:vertAlign w:val="superscript"/>
              </w:rPr>
              <w:t>(2)(8)</w:t>
            </w:r>
          </w:p>
        </w:tc>
        <w:tc>
          <w:tcPr>
            <w:tcW w:w="6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right w:val="single" w:sz="8" w:color="CCFFCC"/>
            </w:tcBorders>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3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B-2</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3"/>
              </w:rPr>
              <w:t>Santa Monica, CA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1,400,000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1,420,406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1,400,000</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3"/>
              </w:rPr>
              <w:t>Social Media Customer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8"/>
              </w:rPr>
              <w:t>Acquisition Platform</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6"/>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Zynga, Inc.</w:t>
            </w:r>
            <w:r>
              <w:rPr>
                <w:rFonts w:ascii="Arial" w:cs="Arial" w:eastAsia="Arial" w:hAnsi="Arial"/>
                <w:sz w:val="20"/>
                <w:szCs w:val="20"/>
                <w:b w:val="1"/>
                <w:bCs w:val="1"/>
                <w:color w:val="auto"/>
                <w:vertAlign w:val="superscript"/>
              </w:rPr>
              <w:t>(10)</w:t>
            </w: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CCFFCC"/>
            </w:tcBorders>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533,333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3,003,462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1,258,666</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Gaming</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CCFFCC"/>
            </w:tcBorders>
            <w:gridSpan w:val="6"/>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Scottsdale, AZ</w:t>
            </w: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1,201,923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1,266,940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1,250,000</w:t>
            </w:r>
          </w:p>
        </w:tc>
        <w:tc>
          <w:tcPr>
            <w:tcW w:w="68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5"/>
              </w:rPr>
              <w:t>Higher Education Learning</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Platform</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CCFFCC"/>
            </w:tcBorders>
            <w:gridSpan w:val="6"/>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S3 Digital Corp. (d/b/a S3i)</w:t>
            </w:r>
            <w:r>
              <w:rPr>
                <w:rFonts w:ascii="Arial" w:cs="Arial" w:eastAsia="Arial" w:hAnsi="Arial"/>
                <w:sz w:val="20"/>
                <w:szCs w:val="20"/>
                <w:b w:val="1"/>
                <w:bCs w:val="1"/>
                <w:color w:val="auto"/>
                <w:vertAlign w:val="superscript"/>
              </w:rPr>
              <w:t>(2)</w:t>
            </w: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6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w w:val="97"/>
              </w:rPr>
              <w:t>Preferred shares, Class A1</w:t>
            </w:r>
          </w:p>
        </w:tc>
        <w:tc>
          <w:tcPr>
            <w:tcW w:w="880" w:type="dxa"/>
            <w:vAlign w:val="bottom"/>
            <w:tcBorders>
              <w:top w:val="single" w:sz="8" w:color="CCFFCC"/>
            </w:tcBorders>
            <w:gridSpan w:val="3"/>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2080" w:type="dxa"/>
            <w:vAlign w:val="bottom"/>
            <w:tcBorders>
              <w:top w:val="single" w:sz="8" w:color="CCFFCC"/>
            </w:tcBorders>
          </w:tcPr>
          <w:p>
            <w:pPr>
              <w:jc w:val="center"/>
              <w:spacing w:after="0" w:line="123" w:lineRule="exact"/>
              <w:rPr>
                <w:sz w:val="20"/>
                <w:szCs w:val="20"/>
                <w:color w:val="auto"/>
              </w:rPr>
            </w:pPr>
            <w:r>
              <w:rPr>
                <w:rFonts w:ascii="Arial" w:cs="Arial" w:eastAsia="Arial" w:hAnsi="Arial"/>
                <w:sz w:val="14"/>
                <w:szCs w:val="14"/>
                <w:color w:val="auto"/>
                <w:w w:val="97"/>
              </w:rPr>
              <w:t>New York, NY</w:t>
            </w:r>
          </w:p>
        </w:tc>
        <w:tc>
          <w:tcPr>
            <w:tcW w:w="880" w:type="dxa"/>
            <w:vAlign w:val="bottom"/>
            <w:tcBorders>
              <w:top w:val="single" w:sz="8" w:color="CCFFCC"/>
            </w:tcBorders>
            <w:gridSpan w:val="2"/>
          </w:tcPr>
          <w:p>
            <w:pPr>
              <w:jc w:val="right"/>
              <w:spacing w:after="0" w:line="123" w:lineRule="exact"/>
              <w:rPr>
                <w:sz w:val="20"/>
                <w:szCs w:val="20"/>
                <w:color w:val="auto"/>
              </w:rPr>
            </w:pPr>
            <w:r>
              <w:rPr>
                <w:rFonts w:ascii="Arial" w:cs="Arial" w:eastAsia="Arial" w:hAnsi="Arial"/>
                <w:sz w:val="14"/>
                <w:szCs w:val="14"/>
                <w:color w:val="auto"/>
              </w:rPr>
              <w:t>1,033,452</w:t>
            </w:r>
          </w:p>
        </w:tc>
        <w:tc>
          <w:tcPr>
            <w:tcW w:w="8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720" w:type="dxa"/>
            <w:vAlign w:val="bottom"/>
            <w:tcBorders>
              <w:top w:val="single" w:sz="8" w:color="CCFFCC"/>
            </w:tcBorders>
            <w:gridSpan w:val="2"/>
          </w:tcPr>
          <w:p>
            <w:pPr>
              <w:jc w:val="right"/>
              <w:ind w:right="40"/>
              <w:spacing w:after="0" w:line="123" w:lineRule="exact"/>
              <w:rPr>
                <w:sz w:val="20"/>
                <w:szCs w:val="20"/>
                <w:color w:val="auto"/>
              </w:rPr>
            </w:pPr>
            <w:r>
              <w:rPr>
                <w:rFonts w:ascii="Arial" w:cs="Arial" w:eastAsia="Arial" w:hAnsi="Arial"/>
                <w:sz w:val="14"/>
                <w:szCs w:val="14"/>
                <w:color w:val="auto"/>
              </w:rPr>
              <w:t>989,058</w:t>
            </w:r>
          </w:p>
        </w:tc>
        <w:tc>
          <w:tcPr>
            <w:tcW w:w="80" w:type="dxa"/>
            <w:vAlign w:val="bottom"/>
            <w:tcBorders>
              <w:top w:val="single" w:sz="8" w:color="CCFFCC"/>
            </w:tcBorders>
          </w:tcPr>
          <w:p>
            <w:pPr>
              <w:spacing w:after="0"/>
              <w:rPr>
                <w:sz w:val="10"/>
                <w:szCs w:val="10"/>
                <w:color w:val="auto"/>
              </w:rPr>
            </w:pPr>
          </w:p>
        </w:tc>
        <w:tc>
          <w:tcPr>
            <w:tcW w:w="900" w:type="dxa"/>
            <w:vAlign w:val="bottom"/>
            <w:tcBorders>
              <w:top w:val="single" w:sz="8" w:color="CCFFCC"/>
            </w:tcBorders>
            <w:gridSpan w:val="2"/>
          </w:tcPr>
          <w:p>
            <w:pPr>
              <w:jc w:val="right"/>
              <w:ind w:right="60"/>
              <w:spacing w:after="0" w:line="123" w:lineRule="exact"/>
              <w:rPr>
                <w:sz w:val="20"/>
                <w:szCs w:val="20"/>
                <w:color w:val="auto"/>
              </w:rPr>
            </w:pPr>
            <w:r>
              <w:rPr>
                <w:rFonts w:ascii="Arial" w:cs="Arial" w:eastAsia="Arial" w:hAnsi="Arial"/>
                <w:sz w:val="14"/>
                <w:szCs w:val="14"/>
                <w:color w:val="auto"/>
              </w:rPr>
              <w:t>1,033,452</w:t>
            </w:r>
          </w:p>
        </w:tc>
        <w:tc>
          <w:tcPr>
            <w:tcW w:w="680" w:type="dxa"/>
            <w:vAlign w:val="bottom"/>
            <w:tcBorders>
              <w:top w:val="single" w:sz="8" w:color="CCFFCC"/>
            </w:tcBorders>
            <w:gridSpan w:val="3"/>
          </w:tcPr>
          <w:p>
            <w:pPr>
              <w:jc w:val="right"/>
              <w:ind w:right="100"/>
              <w:spacing w:after="0" w:line="123"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6"/>
              </w:rPr>
              <w:t>Sport Analytics</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CCFFCC"/>
            </w:tcBorders>
            <w:gridSpan w:val="6"/>
            <w:shd w:val="clear" w:color="auto" w:fill="CCFFCC"/>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31,354</w:t>
            </w:r>
          </w:p>
        </w:tc>
        <w:tc>
          <w:tcPr>
            <w:tcW w:w="8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31,354</w:t>
            </w:r>
          </w:p>
        </w:tc>
        <w:tc>
          <w:tcPr>
            <w:tcW w:w="68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2560" w:type="dxa"/>
            <w:vAlign w:val="bottom"/>
            <w:tcBorders>
              <w:left w:val="single" w:sz="8" w:color="CCFFCC"/>
              <w:bottom w:val="single" w:sz="8" w:color="CCFFCC"/>
            </w:tcBorders>
            <w:gridSpan w:val="6"/>
            <w:shd w:val="clear" w:color="auto" w:fill="CCFFCC"/>
          </w:tcPr>
          <w:p>
            <w:pPr>
              <w:ind w:left="200"/>
              <w:spacing w:after="0"/>
              <w:rPr>
                <w:sz w:val="20"/>
                <w:szCs w:val="20"/>
                <w:color w:val="auto"/>
              </w:rPr>
            </w:pPr>
            <w:r>
              <w:rPr>
                <w:rFonts w:ascii="Arial" w:cs="Arial" w:eastAsia="Arial" w:hAnsi="Arial"/>
                <w:sz w:val="14"/>
                <w:szCs w:val="14"/>
                <w:color w:val="auto"/>
              </w:rPr>
              <w:t>expire 11/21/2017</w:t>
            </w:r>
          </w:p>
        </w:tc>
        <w:tc>
          <w:tcPr>
            <w:tcW w:w="6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right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380" w:type="dxa"/>
            <w:vAlign w:val="bottom"/>
            <w:tcBorders>
              <w:bottom w:val="single" w:sz="8" w:color="auto"/>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1,020,412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1,064,806</w:t>
            </w: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-3909695</wp:posOffset>
            </wp:positionV>
            <wp:extent cx="5213985" cy="1117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-1809115</wp:posOffset>
            </wp:positionV>
            <wp:extent cx="5213985" cy="111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-5153660</wp:posOffset>
            </wp:positionV>
            <wp:extent cx="5213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5"/>
          </w:tcPr>
          <w:p>
            <w:pPr>
              <w:jc w:val="center"/>
              <w:ind w:left="327"/>
              <w:spacing w:after="0"/>
              <w:rPr>
                <w:sz w:val="20"/>
                <w:szCs w:val="20"/>
                <w:color w:val="auto"/>
              </w:rPr>
            </w:pPr>
            <w:r>
              <w:rPr>
                <w:rFonts w:ascii="Arial" w:cs="Arial" w:eastAsia="Arial" w:hAnsi="Arial"/>
                <w:sz w:val="18"/>
                <w:szCs w:val="18"/>
                <w:b w:val="1"/>
                <w:bCs w:val="1"/>
                <w:color w:val="auto"/>
                <w:w w:val="98"/>
              </w:rPr>
              <w:t>GSV CAPITAL CORP. AND SUBSIDIARIES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10"/>
          </w:tcPr>
          <w:p>
            <w:pPr>
              <w:jc w:val="center"/>
              <w:ind w:right="28"/>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3"/>
          </w:tcPr>
          <w:p>
            <w:pPr>
              <w:jc w:val="center"/>
              <w:ind w:left="1167"/>
              <w:spacing w:after="0" w:line="181" w:lineRule="exact"/>
              <w:rPr>
                <w:sz w:val="20"/>
                <w:szCs w:val="20"/>
                <w:color w:val="auto"/>
              </w:rPr>
            </w:pPr>
            <w:r>
              <w:rPr>
                <w:rFonts w:ascii="Arial" w:cs="Arial" w:eastAsia="Arial" w:hAnsi="Arial"/>
                <w:sz w:val="18"/>
                <w:szCs w:val="18"/>
                <w:b w:val="1"/>
                <w:bCs w:val="1"/>
                <w:color w:val="auto"/>
                <w:w w:val="90"/>
              </w:rPr>
              <w:t>December 31, 2012</w:t>
            </w:r>
          </w:p>
        </w:tc>
        <w:tc>
          <w:tcPr>
            <w:tcW w:w="100" w:type="dxa"/>
            <w:vAlign w:val="bottom"/>
          </w:tcPr>
          <w:p>
            <w:pPr>
              <w:spacing w:after="0"/>
              <w:rPr>
                <w:sz w:val="15"/>
                <w:szCs w:val="15"/>
                <w:color w:val="auto"/>
              </w:rPr>
            </w:pP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2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Headquarters/Industry</w:t>
            </w:r>
          </w:p>
        </w:tc>
        <w:tc>
          <w:tcPr>
            <w:tcW w:w="4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99"/>
              </w:rPr>
              <w:t>Shares/Capital</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right"/>
              <w:ind w:right="51"/>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200" w:type="dxa"/>
            <w:vAlign w:val="bottom"/>
            <w:tcBorders>
              <w:left w:val="single" w:sz="8" w:color="CCFFCC"/>
            </w:tcBorders>
            <w:gridSpan w:val="7"/>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NestGSV, Inc.</w:t>
            </w:r>
            <w:r>
              <w:rPr>
                <w:rFonts w:ascii="Arial" w:cs="Arial" w:eastAsia="Arial" w:hAnsi="Arial"/>
                <w:sz w:val="19"/>
                <w:szCs w:val="19"/>
                <w:b w:val="1"/>
                <w:bCs w:val="1"/>
                <w:color w:val="auto"/>
                <w:vertAlign w:val="superscript"/>
              </w:rPr>
              <w:t>(2)</w:t>
            </w:r>
          </w:p>
        </w:tc>
        <w:tc>
          <w:tcPr>
            <w:tcW w:w="8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9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Redwood City,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1,000,000</w:t>
            </w: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1,021,778</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   1,000,000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Incubator</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CCFFCC"/>
            </w:tcBorders>
            <w:gridSpan w:val="7"/>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DreamBox Learning, Inc.</w:t>
            </w:r>
          </w:p>
        </w:tc>
        <w:tc>
          <w:tcPr>
            <w:tcW w:w="8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Bellevue, WA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3,579,610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758,017</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751,718</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Education Technology</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SinoLending Ltd.</w:t>
            </w:r>
            <w:r>
              <w:rPr>
                <w:rFonts w:ascii="Arial" w:cs="Arial" w:eastAsia="Arial" w:hAnsi="Arial"/>
                <w:sz w:val="20"/>
                <w:szCs w:val="20"/>
                <w:b w:val="1"/>
                <w:bCs w:val="1"/>
                <w:color w:val="auto"/>
                <w:vertAlign w:val="superscript"/>
              </w:rPr>
              <w:t>(2)(10)</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Class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0"/>
              </w:rPr>
              <w:t>Shanghai, China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6,414,368</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501,998</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500,321</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1"/>
              </w:rPr>
              <w:t>Chinese P2P Lending</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CCFFCC"/>
            </w:tcBorders>
            <w:gridSpan w:val="7"/>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Seed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7"/>
              </w:rPr>
              <w:t>Mountain View,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500,000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500,000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Media</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NestGSV Silicon Valley, LLC</w:t>
            </w:r>
            <w:r>
              <w:rPr>
                <w:rFonts w:ascii="Arial" w:cs="Arial" w:eastAsia="Arial" w:hAnsi="Arial"/>
                <w:sz w:val="20"/>
                <w:szCs w:val="20"/>
                <w:b w:val="1"/>
                <w:bCs w:val="1"/>
                <w:color w:val="auto"/>
                <w:vertAlign w:val="superscript"/>
              </w:rPr>
              <w:t>(2)(9)</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Common membership interest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6"/>
              </w:rPr>
              <w:t>Redwood City,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500,000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500,000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Incubator</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Groupon, Inc.</w:t>
            </w:r>
            <w:r>
              <w:rPr>
                <w:rFonts w:ascii="Arial" w:cs="Arial" w:eastAsia="Arial" w:hAnsi="Arial"/>
                <w:sz w:val="20"/>
                <w:szCs w:val="20"/>
                <w:b w:val="1"/>
                <w:bCs w:val="1"/>
                <w:color w:val="auto"/>
                <w:vertAlign w:val="superscript"/>
              </w:rPr>
              <w:t>(4)(10)</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5"/>
              </w:rPr>
              <w:t>Chicago, IL</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80,000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2,128,774</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388,800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Online Deals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(2)</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3"/>
              </w:rPr>
              <w:t>Woodside,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1,027,391</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298,655</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Social Media</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Borders>
              <w:left w:val="single" w:sz="8" w:color="CCFFCC"/>
            </w:tcBorders>
            <w:gridSpan w:val="11"/>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NewZoom, Inc. (d/b/a ZoomSystems)</w:t>
            </w:r>
          </w:p>
        </w:tc>
        <w:tc>
          <w:tcPr>
            <w:tcW w:w="40" w:type="dxa"/>
            <w:vAlign w:val="bottom"/>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San Francisco,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1,250,000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260,476</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250,000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Smart e-tail (Retail)</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CCFFCC"/>
            </w:tcBorders>
            <w:gridSpan w:val="7"/>
            <w:shd w:val="clear" w:color="auto" w:fill="CCFFCC"/>
          </w:tcPr>
          <w:p>
            <w:pPr>
              <w:ind w:left="20"/>
              <w:spacing w:after="0" w:line="135" w:lineRule="exact"/>
              <w:rPr>
                <w:sz w:val="20"/>
                <w:szCs w:val="20"/>
                <w:color w:val="auto"/>
              </w:rPr>
            </w:pPr>
            <w:r>
              <w:rPr>
                <w:rFonts w:ascii="Arial" w:cs="Arial" w:eastAsia="Arial" w:hAnsi="Arial"/>
                <w:sz w:val="14"/>
                <w:szCs w:val="14"/>
                <w:b w:val="1"/>
                <w:bCs w:val="1"/>
                <w:color w:val="auto"/>
              </w:rPr>
              <w:t>Neuron Fuel, Inc.</w:t>
            </w:r>
          </w:p>
        </w:tc>
        <w:tc>
          <w:tcPr>
            <w:tcW w:w="8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tcBorders>
              <w:left w:val="single" w:sz="8" w:color="CCFFCC"/>
            </w:tcBorders>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AAI</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1"/>
              </w:rPr>
              <w:t>San Jose,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262,530</w:t>
            </w: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250,000</w:t>
            </w:r>
          </w:p>
        </w:tc>
        <w:tc>
          <w:tcPr>
            <w:tcW w:w="72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Computer Software</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Serious Energy, Inc.</w:t>
            </w:r>
            <w:r>
              <w:rPr>
                <w:rFonts w:ascii="Arial" w:cs="Arial" w:eastAsia="Arial" w:hAnsi="Arial"/>
                <w:sz w:val="20"/>
                <w:szCs w:val="20"/>
                <w:b w:val="1"/>
                <w:bCs w:val="1"/>
                <w:color w:val="auto"/>
                <w:vertAlign w:val="superscript"/>
              </w:rPr>
              <w:t>(10)</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4"/>
              </w:rPr>
              <w:t>Sunnyvale, CA</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178,095</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739,130</w:t>
            </w:r>
          </w:p>
        </w:tc>
        <w:tc>
          <w:tcPr>
            <w:tcW w:w="10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Green Materials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CCFFCC"/>
            </w:tcBorders>
            <w:gridSpan w:val="7"/>
            <w:shd w:val="clear" w:color="auto" w:fill="CCFFCC"/>
          </w:tcPr>
          <w:p>
            <w:pPr>
              <w:ind w:left="20"/>
              <w:spacing w:after="0" w:line="176" w:lineRule="exact"/>
              <w:rPr>
                <w:sz w:val="20"/>
                <w:szCs w:val="20"/>
                <w:color w:val="auto"/>
              </w:rPr>
            </w:pPr>
            <w:r>
              <w:rPr>
                <w:rFonts w:ascii="Arial" w:cs="Arial" w:eastAsia="Arial" w:hAnsi="Arial"/>
                <w:sz w:val="13"/>
                <w:szCs w:val="13"/>
                <w:b w:val="1"/>
                <w:bCs w:val="1"/>
                <w:color w:val="auto"/>
              </w:rPr>
              <w:t>Top Hat 430, Inc.</w:t>
            </w:r>
            <w:r>
              <w:rPr>
                <w:rFonts w:ascii="Arial" w:cs="Arial" w:eastAsia="Arial" w:hAnsi="Arial"/>
                <w:sz w:val="20"/>
                <w:szCs w:val="20"/>
                <w:b w:val="1"/>
                <w:bCs w:val="1"/>
                <w:color w:val="auto"/>
                <w:vertAlign w:val="superscript"/>
              </w:rPr>
              <w:t>(2)(10)</w:t>
            </w:r>
          </w:p>
        </w:tc>
        <w:tc>
          <w:tcPr>
            <w:tcW w:w="8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98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tcBorders>
              <w:lef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jc w:val="center"/>
              <w:spacing w:after="0" w:line="123" w:lineRule="exact"/>
              <w:rPr>
                <w:sz w:val="20"/>
                <w:szCs w:val="20"/>
                <w:color w:val="auto"/>
              </w:rPr>
            </w:pPr>
            <w:r>
              <w:rPr>
                <w:rFonts w:ascii="Arial" w:cs="Arial" w:eastAsia="Arial" w:hAnsi="Arial"/>
                <w:sz w:val="14"/>
                <w:szCs w:val="14"/>
                <w:color w:val="auto"/>
                <w:w w:val="92"/>
              </w:rPr>
              <w:t>Shakopee, MN</w:t>
            </w:r>
          </w:p>
        </w:tc>
        <w:tc>
          <w:tcPr>
            <w:tcW w:w="102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rPr>
              <w:t>1,844,444</w:t>
            </w:r>
          </w:p>
        </w:tc>
        <w:tc>
          <w:tcPr>
            <w:tcW w:w="10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4,167,943</w:t>
            </w:r>
          </w:p>
        </w:tc>
        <w:tc>
          <w:tcPr>
            <w:tcW w:w="10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Jewelry Retailing Technology</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tcBorders>
              <w:left w:val="single" w:sz="8" w:color="CCFFCC"/>
            </w:tcBorders>
            <w:gridSpan w:val="7"/>
            <w:shd w:val="clear" w:color="auto" w:fill="CCFFCC"/>
          </w:tcPr>
          <w:p>
            <w:pPr>
              <w:ind w:left="20"/>
              <w:spacing w:after="0" w:line="130" w:lineRule="exact"/>
              <w:rPr>
                <w:sz w:val="20"/>
                <w:szCs w:val="20"/>
                <w:color w:val="auto"/>
              </w:rPr>
            </w:pPr>
            <w:r>
              <w:rPr>
                <w:rFonts w:ascii="Arial" w:cs="Arial" w:eastAsia="Arial" w:hAnsi="Arial"/>
                <w:sz w:val="14"/>
                <w:szCs w:val="14"/>
                <w:color w:val="auto"/>
                <w:w w:val="92"/>
              </w:rPr>
              <w:t>Preferred warrants, $2.25 strike price,</w:t>
            </w:r>
          </w:p>
        </w:tc>
        <w:tc>
          <w:tcPr>
            <w:tcW w:w="8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1020" w:type="dxa"/>
            <w:vAlign w:val="bottom"/>
            <w:tcBorders>
              <w:right w:val="single" w:sz="8" w:color="CCFFCC"/>
            </w:tcBorders>
            <w:gridSpan w:val="2"/>
            <w:shd w:val="clear" w:color="auto" w:fill="CCFFCC"/>
          </w:tcPr>
          <w:p>
            <w:pPr>
              <w:jc w:val="right"/>
              <w:ind w:right="51"/>
              <w:spacing w:after="0" w:line="130" w:lineRule="exact"/>
              <w:rPr>
                <w:sz w:val="20"/>
                <w:szCs w:val="20"/>
                <w:color w:val="auto"/>
              </w:rPr>
            </w:pPr>
            <w:r>
              <w:rPr>
                <w:rFonts w:ascii="Arial" w:cs="Arial" w:eastAsia="Arial" w:hAnsi="Arial"/>
                <w:sz w:val="14"/>
                <w:szCs w:val="14"/>
                <w:color w:val="auto"/>
              </w:rPr>
              <w:t>13,333</w:t>
            </w: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FFCC"/>
            </w:tcBorders>
            <w:shd w:val="clear" w:color="auto" w:fill="CCFFCC"/>
          </w:tcPr>
          <w:p>
            <w:pPr>
              <w:spacing w:after="0"/>
              <w:rPr>
                <w:sz w:val="11"/>
                <w:szCs w:val="11"/>
                <w:color w:val="auto"/>
              </w:rPr>
            </w:pPr>
          </w:p>
        </w:tc>
        <w:tc>
          <w:tcPr>
            <w:tcW w:w="8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FFCC"/>
            </w:tcBorders>
            <w:shd w:val="clear" w:color="auto" w:fill="CCFFCC"/>
          </w:tcPr>
          <w:p>
            <w:pPr>
              <w:spacing w:after="0"/>
              <w:rPr>
                <w:sz w:val="11"/>
                <w:szCs w:val="11"/>
                <w:color w:val="auto"/>
              </w:rPr>
            </w:pPr>
          </w:p>
        </w:tc>
        <w:tc>
          <w:tcPr>
            <w:tcW w:w="6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200" w:type="dxa"/>
            <w:vAlign w:val="bottom"/>
            <w:tcBorders>
              <w:left w:val="single" w:sz="8" w:color="CCFFCC"/>
              <w:bottom w:val="single" w:sz="8" w:color="CCFFCC"/>
            </w:tcBorders>
            <w:gridSpan w:val="7"/>
            <w:shd w:val="clear" w:color="auto" w:fill="CCFFCC"/>
          </w:tcPr>
          <w:p>
            <w:pPr>
              <w:ind w:left="200"/>
              <w:spacing w:after="0"/>
              <w:rPr>
                <w:sz w:val="20"/>
                <w:szCs w:val="20"/>
                <w:color w:val="auto"/>
              </w:rPr>
            </w:pPr>
            <w:r>
              <w:rPr>
                <w:rFonts w:ascii="Arial" w:cs="Arial" w:eastAsia="Arial" w:hAnsi="Arial"/>
                <w:sz w:val="14"/>
                <w:szCs w:val="14"/>
                <w:color w:val="auto"/>
              </w:rPr>
              <w:t>expire 11/2/2017</w:t>
            </w:r>
          </w:p>
        </w:tc>
        <w:tc>
          <w:tcPr>
            <w:tcW w:w="80" w:type="dxa"/>
            <w:vAlign w:val="bottom"/>
            <w:tcBorders>
              <w:bottom w:val="single" w:sz="8" w:color="CCFFCC"/>
            </w:tcBorders>
            <w:shd w:val="clear" w:color="auto" w:fill="CCFFCC"/>
          </w:tcPr>
          <w:p>
            <w:pPr>
              <w:spacing w:after="0"/>
              <w:rPr>
                <w:sz w:val="14"/>
                <w:szCs w:val="14"/>
                <w:color w:val="auto"/>
              </w:rPr>
            </w:pPr>
          </w:p>
        </w:tc>
        <w:tc>
          <w:tcPr>
            <w:tcW w:w="2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208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98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spacing w:after="0"/>
              <w:rPr>
                <w:sz w:val="14"/>
                <w:szCs w:val="14"/>
                <w:color w:val="auto"/>
              </w:rPr>
            </w:pPr>
          </w:p>
        </w:tc>
        <w:tc>
          <w:tcPr>
            <w:tcW w:w="120" w:type="dxa"/>
            <w:vAlign w:val="bottom"/>
            <w:tcBorders>
              <w:left w:val="single" w:sz="8" w:color="CCFFCC"/>
              <w:bottom w:val="single" w:sz="8" w:color="CCFFCC"/>
            </w:tcBorders>
            <w:shd w:val="clear" w:color="auto" w:fill="CCFFCC"/>
          </w:tcPr>
          <w:p>
            <w:pPr>
              <w:spacing w:after="0"/>
              <w:rPr>
                <w:sz w:val="14"/>
                <w:szCs w:val="14"/>
                <w:color w:val="auto"/>
              </w:rPr>
            </w:pPr>
          </w:p>
        </w:tc>
        <w:tc>
          <w:tcPr>
            <w:tcW w:w="420" w:type="dxa"/>
            <w:vAlign w:val="bottom"/>
            <w:tcBorders>
              <w:bottom w:val="single" w:sz="8" w:color="auto"/>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4,167,943</w:t>
            </w: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Borders>
              <w:left w:val="single" w:sz="8" w:color="CCFFCC"/>
            </w:tcBorders>
            <w:gridSpan w:val="7"/>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9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2"/>
              </w:rPr>
              <w:t>237,147,735</w:t>
            </w:r>
          </w:p>
        </w:tc>
        <w:tc>
          <w:tcPr>
            <w:tcW w:w="940" w:type="dxa"/>
            <w:vAlign w:val="bottom"/>
            <w:tcBorders>
              <w:left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225,397,085</w:t>
            </w:r>
          </w:p>
        </w:tc>
        <w:tc>
          <w:tcPr>
            <w:tcW w:w="720" w:type="dxa"/>
            <w:vAlign w:val="bottom"/>
            <w:tcBorders>
              <w:left w:val="single" w:sz="8" w:color="CCFFCC"/>
            </w:tcBorders>
            <w:gridSpan w:val="3"/>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89.23%</w:t>
            </w:r>
          </w:p>
        </w:tc>
        <w:tc>
          <w:tcPr>
            <w:tcW w:w="0" w:type="dxa"/>
            <w:vAlign w:val="bottom"/>
          </w:tcPr>
          <w:p>
            <w:pPr>
              <w:spacing w:after="0"/>
              <w:rPr>
                <w:sz w:val="1"/>
                <w:szCs w:val="1"/>
                <w:color w:val="auto"/>
              </w:rPr>
            </w:pPr>
          </w:p>
        </w:tc>
      </w:tr>
      <w:tr>
        <w:trPr>
          <w:trHeight w:val="20"/>
        </w:trPr>
        <w:tc>
          <w:tcPr>
            <w:tcW w:w="88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111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-4038600</wp:posOffset>
            </wp:positionV>
            <wp:extent cx="5213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5"/>
          </w:tcPr>
          <w:p>
            <w:pPr>
              <w:jc w:val="center"/>
              <w:ind w:left="318"/>
              <w:spacing w:after="0"/>
              <w:rPr>
                <w:sz w:val="20"/>
                <w:szCs w:val="20"/>
                <w:color w:val="auto"/>
              </w:rPr>
            </w:pPr>
            <w:r>
              <w:rPr>
                <w:rFonts w:ascii="Arial" w:cs="Arial" w:eastAsia="Arial" w:hAnsi="Arial"/>
                <w:sz w:val="18"/>
                <w:szCs w:val="18"/>
                <w:b w:val="1"/>
                <w:bCs w:val="1"/>
                <w:color w:val="auto"/>
                <w:w w:val="98"/>
              </w:rPr>
              <w:t>GSV CAPITAL CORP. AND 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8"/>
              </w:rPr>
              <w:t>CONSOLIDATED SCHEDULE OF INVESTMENTS – (continued)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3"/>
          </w:tcPr>
          <w:p>
            <w:pPr>
              <w:jc w:val="center"/>
              <w:ind w:left="1158"/>
              <w:spacing w:after="0" w:line="181" w:lineRule="exact"/>
              <w:rPr>
                <w:sz w:val="20"/>
                <w:szCs w:val="20"/>
                <w:color w:val="auto"/>
              </w:rPr>
            </w:pPr>
            <w:r>
              <w:rPr>
                <w:rFonts w:ascii="Arial" w:cs="Arial" w:eastAsia="Arial" w:hAnsi="Arial"/>
                <w:sz w:val="18"/>
                <w:szCs w:val="18"/>
                <w:b w:val="1"/>
                <w:bCs w:val="1"/>
                <w:color w:val="auto"/>
                <w:w w:val="90"/>
              </w:rPr>
              <w:t>December 31, 2012</w:t>
            </w:r>
          </w:p>
        </w:tc>
        <w:tc>
          <w:tcPr>
            <w:tcW w:w="100" w:type="dxa"/>
            <w:vAlign w:val="bottom"/>
          </w:tcPr>
          <w:p>
            <w:pPr>
              <w:spacing w:after="0"/>
              <w:rPr>
                <w:sz w:val="15"/>
                <w:szCs w:val="15"/>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2"/>
        </w:trPr>
        <w:tc>
          <w:tcPr>
            <w:tcW w:w="20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tcPr>
          <w:p>
            <w:pPr>
              <w:ind w:left="320"/>
              <w:spacing w:after="0" w:line="113" w:lineRule="exact"/>
              <w:rPr>
                <w:sz w:val="20"/>
                <w:szCs w:val="20"/>
                <w:color w:val="auto"/>
              </w:rPr>
            </w:pPr>
            <w:r>
              <w:rPr>
                <w:rFonts w:ascii="Arial" w:cs="Arial" w:eastAsia="Arial" w:hAnsi="Arial"/>
                <w:sz w:val="13"/>
                <w:szCs w:val="13"/>
                <w:b w:val="1"/>
                <w:bCs w:val="1"/>
                <w:color w:val="auto"/>
              </w:rPr>
              <w:t>Headquarters/Industry</w:t>
            </w:r>
          </w:p>
        </w:tc>
        <w:tc>
          <w:tcPr>
            <w:tcW w:w="4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99"/>
              </w:rPr>
              <w:t>Shares/Capital</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right"/>
              <w:ind w:right="51"/>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080" w:type="dxa"/>
            <w:vAlign w:val="bottom"/>
            <w:tcBorders>
              <w:left w:val="single" w:sz="8" w:color="CCFFCC"/>
            </w:tcBorders>
            <w:gridSpan w:val="3"/>
            <w:shd w:val="clear" w:color="auto" w:fill="CCFFCC"/>
          </w:tcPr>
          <w:p>
            <w:pPr>
              <w:ind w:left="20"/>
              <w:spacing w:after="0" w:line="169" w:lineRule="exact"/>
              <w:rPr>
                <w:sz w:val="20"/>
                <w:szCs w:val="20"/>
                <w:color w:val="auto"/>
              </w:rPr>
            </w:pPr>
            <w:r>
              <w:rPr>
                <w:rFonts w:ascii="Arial" w:cs="Arial" w:eastAsia="Arial" w:hAnsi="Arial"/>
                <w:sz w:val="12"/>
                <w:szCs w:val="12"/>
                <w:b w:val="1"/>
                <w:bCs w:val="1"/>
                <w:color w:val="auto"/>
              </w:rPr>
              <w:t>Money Market Funds</w:t>
            </w:r>
            <w:r>
              <w:rPr>
                <w:rFonts w:ascii="Arial" w:cs="Arial" w:eastAsia="Arial" w:hAnsi="Arial"/>
                <w:sz w:val="19"/>
                <w:szCs w:val="19"/>
                <w:b w:val="1"/>
                <w:bCs w:val="1"/>
                <w:color w:val="auto"/>
                <w:vertAlign w:val="superscript"/>
              </w:rPr>
              <w:t>(1)</w:t>
            </w:r>
          </w:p>
        </w:tc>
        <w:tc>
          <w:tcPr>
            <w:tcW w:w="4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9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Fidelity Institutional Money Market Funds</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CCFFCC"/>
            </w:tcBorders>
            <w:gridSpan w:val="3"/>
            <w:shd w:val="clear" w:color="auto" w:fill="CCFFCC"/>
          </w:tcPr>
          <w:p>
            <w:pPr>
              <w:ind w:left="200"/>
              <w:spacing w:after="0" w:line="149" w:lineRule="exact"/>
              <w:rPr>
                <w:sz w:val="20"/>
                <w:szCs w:val="20"/>
                <w:color w:val="auto"/>
              </w:rPr>
            </w:pPr>
            <w:r>
              <w:rPr>
                <w:rFonts w:ascii="Arial" w:cs="Arial" w:eastAsia="Arial" w:hAnsi="Arial"/>
                <w:sz w:val="14"/>
                <w:szCs w:val="14"/>
                <w:color w:val="auto"/>
              </w:rPr>
              <w:t>Money Market Portfolio</w:t>
            </w:r>
          </w:p>
        </w:tc>
        <w:tc>
          <w:tcPr>
            <w:tcW w:w="4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1020" w:type="dxa"/>
            <w:vAlign w:val="bottom"/>
            <w:tcBorders>
              <w:right w:val="single" w:sz="8" w:color="CCFFCC"/>
            </w:tcBorders>
            <w:gridSpan w:val="2"/>
            <w:shd w:val="clear" w:color="auto" w:fill="CCFFCC"/>
          </w:tcPr>
          <w:p>
            <w:pPr>
              <w:jc w:val="right"/>
              <w:ind w:right="51"/>
              <w:spacing w:after="0" w:line="149" w:lineRule="exact"/>
              <w:rPr>
                <w:sz w:val="20"/>
                <w:szCs w:val="20"/>
                <w:color w:val="auto"/>
              </w:rPr>
            </w:pPr>
            <w:r>
              <w:rPr>
                <w:rFonts w:ascii="Arial" w:cs="Arial" w:eastAsia="Arial" w:hAnsi="Arial"/>
                <w:sz w:val="14"/>
                <w:szCs w:val="14"/>
                <w:color w:val="auto"/>
              </w:rPr>
              <w:t>8,000,000</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8,000,000</w:t>
            </w:r>
          </w:p>
        </w:tc>
        <w:tc>
          <w:tcPr>
            <w:tcW w:w="200" w:type="dxa"/>
            <w:vAlign w:val="bottom"/>
            <w:tcBorders>
              <w:left w:val="single" w:sz="8" w:color="CCFFCC"/>
            </w:tcBorders>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Borders>
              <w:left w:val="single" w:sz="8" w:color="CCFFCC"/>
            </w:tcBorders>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Prime Money Market Portfolio</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left w:val="single" w:sz="8" w:color="CCFFCC"/>
            </w:tcBorders>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rPr>
              <w:t>Total Money Market Funds</w:t>
            </w:r>
          </w:p>
        </w:tc>
        <w:tc>
          <w:tcPr>
            <w:tcW w:w="4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9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16,000,000</w:t>
            </w:r>
          </w:p>
        </w:tc>
        <w:tc>
          <w:tcPr>
            <w:tcW w:w="100" w:type="dxa"/>
            <w:vAlign w:val="bottom"/>
            <w:tcBorders>
              <w:lef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16,000,000</w:t>
            </w:r>
          </w:p>
        </w:tc>
        <w:tc>
          <w:tcPr>
            <w:tcW w:w="720" w:type="dxa"/>
            <w:vAlign w:val="bottom"/>
            <w:tcBorders>
              <w:left w:val="single" w:sz="8" w:color="CCFFCC"/>
            </w:tcBorders>
            <w:gridSpan w:val="3"/>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0"/>
        </w:trPr>
        <w:tc>
          <w:tcPr>
            <w:tcW w:w="1000" w:type="dxa"/>
            <w:vAlign w:val="bottom"/>
            <w:tcBorders>
              <w:left w:val="single" w:sz="8" w:color="CCFFCC"/>
            </w:tcBorders>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253,147,735</w:t>
            </w: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241,397,085</w:t>
            </w:r>
          </w:p>
        </w:tc>
        <w:tc>
          <w:tcPr>
            <w:tcW w:w="72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95.57%</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-1165860</wp:posOffset>
            </wp:positionV>
            <wp:extent cx="5213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hanging="27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May 17, 2012, Facebook, Inc. priced its initial public offering, selling 421,233,615 shares at a price of $38.00 per share. GSV Capital Corp.’s shares in Facebook, Inc. are subject to a lock-up agreement that expired on November 14, 2012. At December 31, 2012, GSV Capital Corp. valued Facebook based on its December 31, 2012 closing price.</w:t>
      </w:r>
    </w:p>
    <w:p>
      <w:pPr>
        <w:spacing w:after="0" w:line="57" w:lineRule="exact"/>
        <w:rPr>
          <w:rFonts w:ascii="Arial" w:cs="Arial" w:eastAsia="Arial" w:hAnsi="Arial"/>
          <w:sz w:val="17"/>
          <w:szCs w:val="17"/>
          <w:color w:val="auto"/>
        </w:rPr>
      </w:pPr>
    </w:p>
    <w:p>
      <w:pPr>
        <w:jc w:val="both"/>
        <w:ind w:left="300" w:right="519" w:hanging="272"/>
        <w:spacing w:after="0" w:line="286" w:lineRule="auto"/>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November 8, 2011, Groupon, Inc. priced its initial public offering, selling 35,000,000 shares at a price of $20.00 per share. GSV Capital Corp.’s shares in Groupon, Inc. are subject to a lock-up agreement that expired on June 1, 2012. At December 31, 2012, GSV Capital Corp. valued Groupon, Inc. based on its December 31, 2012 closing price.</w:t>
      </w:r>
    </w:p>
    <w:p>
      <w:pPr>
        <w:spacing w:after="0" w:line="57" w:lineRule="exact"/>
        <w:rPr>
          <w:rFonts w:ascii="Arial" w:cs="Arial" w:eastAsia="Arial" w:hAnsi="Arial"/>
          <w:sz w:val="17"/>
          <w:szCs w:val="17"/>
          <w:color w:val="auto"/>
        </w:rPr>
      </w:pPr>
    </w:p>
    <w:p>
      <w:pPr>
        <w:ind w:left="300" w:right="519" w:hanging="272"/>
        <w:spacing w:after="0" w:line="277"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GSV Capital Corp.’s investment in Avenues GlobalHoldings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sz w:val="20"/>
          <w:szCs w:val="20"/>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GSV Capital Corp.’s investment in AltEgo, LLC is held through its wholly-owned subsidiary GSVC AE Holdings, Inc.</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jc w:val="both"/>
        <w:ind w:left="340" w:right="519" w:hanging="312"/>
        <w:spacing w:after="0" w:line="286"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57" w:lineRule="exact"/>
        <w:rPr>
          <w:sz w:val="20"/>
          <w:szCs w:val="20"/>
          <w:color w:val="auto"/>
        </w:rPr>
      </w:pPr>
    </w:p>
    <w:p>
      <w:pPr>
        <w:ind w:left="320" w:right="539" w:hanging="296"/>
        <w:spacing w:after="0" w:line="277" w:lineRule="auto"/>
        <w:rPr>
          <w:sz w:val="20"/>
          <w:szCs w:val="20"/>
          <w:color w:val="auto"/>
        </w:rPr>
      </w:pPr>
      <w:r>
        <w:rPr>
          <w:rFonts w:ascii="Arial" w:cs="Arial" w:eastAsia="Arial" w:hAnsi="Arial"/>
          <w:sz w:val="18"/>
          <w:szCs w:val="18"/>
          <w:color w:val="auto"/>
        </w:rPr>
        <w:t>(11)On February 11, 2013, Silver Spring Networks, Inc. conducted a five-for-one reverse stock split of its common stock, which has not been reflected above.</w:t>
      </w:r>
    </w:p>
    <w:p>
      <w:pPr>
        <w:spacing w:after="0" w:line="62" w:lineRule="exact"/>
        <w:rPr>
          <w:sz w:val="20"/>
          <w:szCs w:val="20"/>
          <w:color w:val="auto"/>
        </w:rPr>
      </w:pPr>
    </w:p>
    <w:p>
      <w:pPr>
        <w:ind w:left="340" w:right="539" w:hanging="31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common warrants held in Starfish Holdings, Inc. (d/b/a YourOffers) is presented separately in order to be consistent with the presentation in the September 30, 2013 Consolidated Schedule of Investments.</w:t>
      </w:r>
    </w:p>
    <w:p>
      <w:pPr>
        <w:spacing w:after="0" w:line="38" w:lineRule="exact"/>
        <w:rPr>
          <w:sz w:val="20"/>
          <w:szCs w:val="20"/>
          <w:color w:val="auto"/>
        </w:rPr>
      </w:pPr>
    </w:p>
    <w:p>
      <w:pPr>
        <w:jc w:val="both"/>
        <w:ind w:left="340" w:right="519" w:hanging="310"/>
        <w:spacing w:after="0" w:line="264" w:lineRule="auto"/>
        <w:rPr>
          <w:sz w:val="20"/>
          <w:szCs w:val="20"/>
          <w:color w:val="auto"/>
        </w:rPr>
      </w:pPr>
      <w:r>
        <w:rPr>
          <w:rFonts w:ascii="Arial" w:cs="Arial" w:eastAsia="Arial" w:hAnsi="Arial"/>
          <w:sz w:val="18"/>
          <w:szCs w:val="18"/>
          <w:color w:val="auto"/>
        </w:rPr>
        <w:t>(13)On July 31 2013, Grockit, Inc. changed its name to Learnist, Inc. The schedule of investments was updated in order to be consistent with the presentation in the September 30, 2013 Consolidated Schedule of Investments. Refer to note 9 for further detail.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(14)On July 22, 2013, Control4 Corporation completed a 1:5.2 reverse stock split which has been reflected above.</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GCL received approval of the license from the California Department of Corporations effective August 14, 2013.</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November 28, 2012, the Company formed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The consolidated financial statements of the Company are prepared in accordance with accounting principles generally accepted in the United States of America (“GAAP”) for financial information and pursuant to the requirements for reporting on Form 10-K and Regulation S-X. In the opinion of management, all adjustments, all of which were of a normal recurring nature, considered necessary for the fair presentation of financial statements for the period have been included.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(“the GSVC Holdings Entities”). Accordingly, our financial statements include our accounts and the accounts of the GSVC Holdings Entities and GCL, our wholly-owned subsidiaries. All intercompany balances and transactions have</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been eliminated in consolidation. We began consolidating the GSVC Holdings Entities during the quarter ended September 30, 2013. Previously these entities were accounted for in a manner similar to the equity method. The change has no impact on our financial position or results of operations through December 31, 2013. Future periods may be impacted by tax related assets and liabilities recorded at the GSVC Holdings entity level that arise in the normal course of business and which will be included in our consolidated statement of assets and liabilities. Such tax assets and liabilities had balances of $1,510,998 and $2,659,743 for the year ended December 31, 2013, and $0 for the year ended December 31, 2012.</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539" w:hanging="262"/>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6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The carrying amounts of our financial instruments, consisting of cash, receivables, accounts payable, and accrued expenses, approximate fair value due to their short-term nature. The embedded derivative liability is carried at fair value.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for the years ended December 31, 2013 and 2012, respectively for details regarding the nature and composition of the Company’s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Restricted Cash consists of excess funds remaining in escrow from the purchase of the government securities that will be used to make the scheduled interest payments on the Convertible Senior Notes. As of December 31, 2013, and December 31, 2012, respectively, the Company had Restricted Cash of $22,264 and $0 which is included on the Consolidated Statements of Assets and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Interest income, adjusted for amortization of premium and accretion of discount, is recorded on an accrual basis.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Investment Transaction Costs and Escrow Deposits</w:t>
      </w:r>
    </w:p>
    <w:p>
      <w:pPr>
        <w:spacing w:after="0" w:line="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December 31, 2013, and December 31, 2012, the Company had $0 in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Net change in unrealized appreciation or depreciation on investments is the net change in the fair value of our investment portfolio during the reporting period, including the reversal of previously recorded unrealized appreciation or depreciation when gains or losses are realized.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Company was taxed as a regular corporation (a “C corporation”) under subchapter C of the Internal Revenue Code of 1986, as amended,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 taxed as a RIC for the year ended December 31, 2013, the deferred tax assets and liabilities recorded as of December 31, 2013 will be adjusted accordingly in 2014.</w:t>
      </w:r>
    </w:p>
    <w:p>
      <w:pPr>
        <w:spacing w:after="0" w:line="7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or that we will otherwise qualify as a RIC for our 2013 taxable year. If we are unable to qualify as a RIC, we will continue to be taxed as a C corporation under the Code for our 2013 taxable year. In order to qualify as a RIC, among other things, the Company is required to distribute to its stockholders on a timely basis at least 90of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Although it is currently its intention to do so, at the present time, the Company cannot assure you whether it will elect to be treated as a RIC for its 2013 taxable year. If it opts not to do so, the Company will continue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312" w:lineRule="auto"/>
        <w:rPr>
          <w:sz w:val="20"/>
          <w:szCs w:val="20"/>
          <w:color w:val="auto"/>
        </w:rPr>
      </w:pPr>
      <w:r>
        <w:rPr>
          <w:rFonts w:ascii="Arial" w:cs="Arial" w:eastAsia="Arial" w:hAnsi="Arial"/>
          <w:sz w:val="16"/>
          <w:szCs w:val="16"/>
          <w:color w:val="auto"/>
        </w:rPr>
        <w:t>to be taxed as a C corporation under the Code for its 2013 taxable year. Until such time as it is able to be taxed as a RIC, GSV will provide for income taxes, if any, as a C Corp. If the Company is able to elect to be taxed as a RIC for the year ended December 31 2013, the deferred tax assets and liabilities recorded as of December 31, 2013 will be adjusted accordingly in 2014.</w:t>
      </w:r>
    </w:p>
    <w:p>
      <w:pPr>
        <w:spacing w:after="0" w:line="39"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December 31, 2013, the Company entered into a Loan and Security Agreement (the “Loan Agreement”) with Silicon Valley Bank, pursuant to which Silicon Valley Bank would provide the Company with a new $18 million credit facility (the “Credit Facility”). The Company incurred $288,249 of legal costs and other fees in connection with opening the Credit Facility. These costs are included as deferred credit facility fees on the Company’s Consolidated Statement of Assets and Liabilities and $288,249 will be amortized over the life of the Credit Facility.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Offering costs include legal fees and other costs pertaining to public offerings. In accordance with ASC 340-10, the Company deferred offering costs of $365,873 associated with the registration statement filed on September 23, 2013 on form N-2 with the Securities and Exchange Commission (the “SEC”) to register the Company’s common stock, preferred stock, subscription rights, debt securities, and warrants under the Securities Act of 1933, as amended. If the registration statement is declared effective by the SEC and the Company’s securities are offered pursuant to the registration statement, the Company will reclassify the deferred offering costs into additional paid-in capital for equity offerings and will amortize the offering costs related to any debt securities issued.</w:t>
      </w:r>
    </w:p>
    <w:p>
      <w:pPr>
        <w:spacing w:after="0" w:line="8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December 31, 2012, $738,697 of offering costs were offset against capital proceeds from the secondary offerings which occurred on February 10, 2012 and May 11, 2012.</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Basic net increase (decrease) in net assets per common share, is computed using the weighted average number of shares outstanding for the period presented.</w:t>
      </w:r>
    </w:p>
    <w:p>
      <w:pPr>
        <w:spacing w:after="0" w:line="62"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Diluted net increase (decrease) in net assets per common share is computed by dividing the net increase (decrease) in net assets per common share for the period plus any interest expense incurred on dilutive securities by the weighted average number of common shares outstanding plus any potentially dilutive shares outstanding during the period. The Company used the if-converted method to determine the number of potentially dilutive shares outstanding. Refer to Note 5 for further detail.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 – (continued)</w:t>
      </w:r>
    </w:p>
    <w:p>
      <w:pPr>
        <w:spacing w:after="0" w:line="121"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6"/>
          <w:szCs w:val="16"/>
          <w:color w:val="auto"/>
        </w:rPr>
        <w:t>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base management fee was payable monthly in arrears, and was calculated based on the initial value of the Company’s assets upon the closing of the public offering. For the years ended December 31, 2013, and December 31, 2012 and for the period from January 6, 2011 (date of inception) to December 31, 2011, GSV Asset Management earned $5,426,485, $4,419,345 and $618,865, respectively, in base management fees and $0 in incentive fees, respectively. For the years ended December 31, 2013, 2012, and for the period from January 6, 2011 (date of inception) to December 31, 2011, respectively, the Company accrued incentive fees of $10,523,552, and $0, and $0, in accordance with the AICPA’s TPA (TIS 6910.2) which considers the hypothetical liquidation value of our investment portfolio as of the measurement date, on a pre-tax basis.</w:t>
      </w:r>
    </w:p>
    <w:p>
      <w:pPr>
        <w:spacing w:after="0" w:line="6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December 31, 2013, the Company was due $3,039 from GSV Asset Management for reimbursement of expenses paid by the Company that were the responsibility of GSV Asset Management, and is included in the Statement of Assets and Liabilities. As of December 31, 2013, the Company owed GSV Asset Management $563,978 for reimbursements of travel-related expenses. These are included in the Statement of Assets and Liabilities.</w:t>
      </w:r>
    </w:p>
    <w:p>
      <w:pPr>
        <w:spacing w:after="0" w:line="7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December 31, 2012, the Company was due $5,723 from GSV Asset Management for reimbursement of expenses paid by the Company that were the responsibility of GSV Asset Management, and is included in the Statement of Assets and Liabilities. As of December 31, 2012, the Company owed GSV Asset Management $51,194 for reimbursements of travel-related expenses. These are included in the Statement of Assets and Liabilities.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$3,089,771, $2,384,764 and $554,232 in such costs incurred under the Administration Agreement for the years ended December 31, 2013, December 31, 2012, and for the period from January 6, 2011 (date of inception) to December 31, 2011, respectively.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60" w:right="840" w:firstLine="270"/>
        <w:spacing w:after="0" w:line="292" w:lineRule="auto"/>
        <w:rPr>
          <w:sz w:val="20"/>
          <w:szCs w:val="20"/>
          <w:color w:val="auto"/>
        </w:rPr>
      </w:pPr>
      <w:r>
        <w:rPr>
          <w:rFonts w:ascii="Arial" w:cs="Arial" w:eastAsia="Arial" w:hAnsi="Arial"/>
          <w:sz w:val="16"/>
          <w:szCs w:val="16"/>
          <w:color w:val="auto"/>
        </w:rPr>
        <w:t>At December 31, 2013, the Company had 78 positions in 49 portfolio companies. The total cost and fair value of the 78 positions at December 31, 2013 was $279,709,118 and $355,383,653, respectively. At December 31, 2012, the Company had 61 positions in 47 portfolio companies. The total cost and fair value of the 61 positions at December 31, 2012 was $237,147,735 and $225,397,085, respectively. The composition of our investments as of December 31,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796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3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Pr>
          <w:p>
            <w:pPr>
              <w:spacing w:after="0"/>
              <w:rPr>
                <w:sz w:val="16"/>
                <w:szCs w:val="16"/>
                <w:color w:val="auto"/>
              </w:rPr>
            </w:pPr>
          </w:p>
        </w:tc>
        <w:tc>
          <w:tcPr>
            <w:tcW w:w="25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Common Stock</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$ 152,075,148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$ 223,661,412</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$ 132,833,640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123,820,141</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126,151,898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129,925,500</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103,683,625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100,853,882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Common Membership Interest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557,084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Structured Note</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764,881</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left w:val="single" w:sz="8" w:color="CCFFCC"/>
            </w:tcBorders>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217,191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489,657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130,470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223,062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Portfolio Investments</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279,709,118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355,383,653</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237,147,735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225,397,085</w:t>
            </w:r>
          </w:p>
        </w:tc>
        <w:tc>
          <w:tcPr>
            <w:tcW w:w="0" w:type="dxa"/>
            <w:vAlign w:val="bottom"/>
          </w:tcPr>
          <w:p>
            <w:pPr>
              <w:spacing w:after="0"/>
              <w:rPr>
                <w:sz w:val="1"/>
                <w:szCs w:val="1"/>
                <w:color w:val="auto"/>
              </w:rPr>
            </w:pPr>
          </w:p>
        </w:tc>
      </w:tr>
      <w:tr>
        <w:trPr>
          <w:trHeight w:val="20"/>
        </w:trPr>
        <w:tc>
          <w:tcPr>
            <w:tcW w:w="3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Non-Portfolio Investments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10,845,236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10,865,200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$ 290,554,354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$ 366,248,853</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$ 253,147,735</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241,397,085</w:t>
            </w:r>
          </w:p>
        </w:tc>
        <w:tc>
          <w:tcPr>
            <w:tcW w:w="0" w:type="dxa"/>
            <w:vAlign w:val="bottom"/>
          </w:tcPr>
          <w:p>
            <w:pPr>
              <w:spacing w:after="0"/>
              <w:rPr>
                <w:sz w:val="1"/>
                <w:szCs w:val="1"/>
                <w:color w:val="auto"/>
              </w:rPr>
            </w:pPr>
          </w:p>
        </w:tc>
      </w:tr>
      <w:tr>
        <w:trPr>
          <w:trHeight w:val="20"/>
        </w:trPr>
        <w:tc>
          <w:tcPr>
            <w:tcW w:w="3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820" w:firstLine="270"/>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December 31, 2013 and December 31, 2012 are as follows:</w:t>
      </w:r>
    </w:p>
    <w:p>
      <w:pPr>
        <w:spacing w:after="0" w:line="16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Quoted Prices in</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224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060" w:type="dxa"/>
            <w:vAlign w:val="bottom"/>
          </w:tcPr>
          <w:p>
            <w:pPr>
              <w:jc w:val="center"/>
              <w:ind w:left="16"/>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10"/>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40" w:type="dxa"/>
            <w:vAlign w:val="bottom"/>
            <w:tcBorders>
              <w:left w:val="single" w:sz="8" w:color="CCFFCC"/>
            </w:tcBorders>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11,706,338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130,544,913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81,410,161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223,661,412</w:t>
            </w:r>
          </w:p>
        </w:tc>
        <w:tc>
          <w:tcPr>
            <w:tcW w:w="224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U.S. Treasury Strip</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10,865,200</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10,865,200</w:t>
            </w:r>
          </w:p>
        </w:tc>
        <w:tc>
          <w:tcPr>
            <w:tcW w:w="2240" w:type="dxa"/>
            <w:vAlign w:val="bottom"/>
            <w:tcBorders>
              <w:left w:val="single" w:sz="8" w:color="CCFFCC"/>
            </w:tcBorders>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129,925,500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129,925,500</w:t>
            </w:r>
          </w:p>
        </w:tc>
        <w:tc>
          <w:tcPr>
            <w:tcW w:w="224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Structured Note</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750,000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750,000</w:t>
            </w:r>
          </w:p>
        </w:tc>
        <w:tc>
          <w:tcPr>
            <w:tcW w:w="2240" w:type="dxa"/>
            <w:vAlign w:val="bottom"/>
            <w:tcBorders>
              <w:left w:val="single" w:sz="8" w:color="CCFFCC"/>
            </w:tcBorders>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489,657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489,657</w:t>
            </w:r>
          </w:p>
        </w:tc>
        <w:tc>
          <w:tcPr>
            <w:tcW w:w="224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Common Membership Interests</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557,084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557,084</w:t>
            </w:r>
          </w:p>
        </w:tc>
        <w:tc>
          <w:tcPr>
            <w:tcW w:w="224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40" w:type="dxa"/>
            <w:vAlign w:val="bottom"/>
            <w:tcBorders>
              <w:left w:val="single" w:sz="8" w:color="CCFFCC"/>
            </w:tcBorders>
          </w:tcPr>
          <w:p>
            <w:pPr>
              <w:spacing w:after="0" w:line="20" w:lineRule="exact"/>
              <w:rPr>
                <w:sz w:val="1"/>
                <w:szCs w:val="1"/>
                <w:color w:val="auto"/>
              </w:rPr>
            </w:pPr>
          </w:p>
        </w:tc>
      </w:tr>
      <w:tr>
        <w:trPr>
          <w:trHeight w:val="21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22,571,538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130,544,913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213,132,402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366,248,853</w:t>
            </w:r>
          </w:p>
        </w:tc>
        <w:tc>
          <w:tcPr>
            <w:tcW w:w="224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40" w:type="dxa"/>
            <w:vAlign w:val="bottom"/>
            <w:tcBorders>
              <w:left w:val="single" w:sz="8" w:color="CCFFCC"/>
            </w:tcBorders>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Embedded Derivative</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799,000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799,000</w:t>
            </w:r>
          </w:p>
        </w:tc>
        <w:tc>
          <w:tcPr>
            <w:tcW w:w="22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799,000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799,000</w:t>
            </w:r>
          </w:p>
        </w:tc>
        <w:tc>
          <w:tcPr>
            <w:tcW w:w="2240" w:type="dxa"/>
            <w:vAlign w:val="bottom"/>
            <w:tcBorders>
              <w:left w:val="single" w:sz="8" w:color="CCFFCC"/>
            </w:tcBorders>
          </w:tcPr>
          <w:p>
            <w:pPr>
              <w:spacing w:after="0"/>
              <w:rPr>
                <w:sz w:val="21"/>
                <w:szCs w:val="2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228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06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FFC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19551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-642620</wp:posOffset>
            </wp:positionV>
            <wp:extent cx="19551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-668020</wp:posOffset>
            </wp:positionV>
            <wp:extent cx="1543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-642620</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-668020</wp:posOffset>
            </wp:positionV>
            <wp:extent cx="1460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-642620</wp:posOffset>
            </wp:positionV>
            <wp:extent cx="146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-668020</wp:posOffset>
            </wp:positionV>
            <wp:extent cx="1460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-642620</wp:posOffset>
            </wp:positionV>
            <wp:extent cx="1460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-668020</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-642620</wp:posOffset>
            </wp:positionV>
            <wp:extent cx="43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Quoted Prices in</w:t>
            </w: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49"/>
        </w:trPr>
        <w:tc>
          <w:tcPr>
            <w:tcW w:w="30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210"/>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10,964,466</w:t>
            </w:r>
          </w:p>
        </w:tc>
        <w:tc>
          <w:tcPr>
            <w:tcW w:w="8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112,855,675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123,820,141</w:t>
            </w: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7"/>
              </w:rPr>
              <w:t>100,853,882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100,853,882</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16,000,000</w:t>
            </w: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500,000</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223,062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223,062</w:t>
            </w: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26,964,466</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7"/>
              </w:rPr>
              <w:t>214,432,619</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241,397,085</w:t>
            </w:r>
          </w:p>
        </w:tc>
      </w:tr>
      <w:tr>
        <w:trPr>
          <w:trHeight w:val="20"/>
        </w:trPr>
        <w:tc>
          <w:tcPr>
            <w:tcW w:w="30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58"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and embedded derivative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1111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40" w:type="dxa"/>
            <w:vAlign w:val="bottom"/>
          </w:tcPr>
          <w:p>
            <w:pPr>
              <w:spacing w:after="0"/>
              <w:rPr>
                <w:sz w:val="15"/>
                <w:szCs w:val="15"/>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4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 (Average)</w:t>
            </w:r>
          </w:p>
        </w:tc>
        <w:tc>
          <w:tcPr>
            <w:tcW w:w="0" w:type="dxa"/>
            <w:vAlign w:val="bottom"/>
          </w:tcPr>
          <w:p>
            <w:pPr>
              <w:spacing w:after="0"/>
              <w:rPr>
                <w:sz w:val="1"/>
                <w:szCs w:val="1"/>
                <w:color w:val="auto"/>
              </w:rPr>
            </w:pPr>
          </w:p>
        </w:tc>
      </w:tr>
      <w:tr>
        <w:trPr>
          <w:trHeight w:val="186"/>
        </w:trPr>
        <w:tc>
          <w:tcPr>
            <w:tcW w:w="192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$81,410,161</w:t>
            </w:r>
          </w:p>
        </w:tc>
        <w:tc>
          <w:tcPr>
            <w:tcW w:w="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Precedent transactions</w:t>
            </w: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0"/>
              </w:rPr>
              <w:t>Income approach</w:t>
            </w:r>
          </w:p>
        </w:tc>
        <w:tc>
          <w:tcPr>
            <w:tcW w:w="4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1"/>
              </w:rPr>
              <w:t>Revenue multiples</w:t>
            </w:r>
          </w:p>
        </w:tc>
        <w:tc>
          <w:tcPr>
            <w:tcW w:w="4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4"/>
              </w:rPr>
              <w:t>2.2x - 6.4x (4.1x)</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10.0x - 19.0x (14.5x)</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4"/>
              </w:rPr>
              <w:t>35% - 40% (38%)</w:t>
            </w: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129,925,500</w:t>
            </w: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Precedent transactions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0"/>
              </w:rPr>
              <w:t>Income approach</w:t>
            </w:r>
          </w:p>
        </w:tc>
        <w:tc>
          <w:tcPr>
            <w:tcW w:w="4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1"/>
              </w:rPr>
              <w:t>Revenue multiples</w:t>
            </w:r>
          </w:p>
        </w:tc>
        <w:tc>
          <w:tcPr>
            <w:tcW w:w="4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4"/>
              </w:rPr>
              <w:t>1.0x - 6.4x (2.8x)</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6.0x - 30.0x (14.8x)</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4"/>
              </w:rPr>
              <w:t>35% - 50% (41%)</w:t>
            </w: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rPr>
                <w:sz w:val="20"/>
                <w:szCs w:val="20"/>
                <w:color w:val="auto"/>
              </w:rPr>
            </w:pPr>
            <w:r>
              <w:rPr>
                <w:rFonts w:ascii="Arial" w:cs="Arial" w:eastAsia="Arial" w:hAnsi="Arial"/>
                <w:sz w:val="16"/>
                <w:szCs w:val="16"/>
                <w:color w:val="auto"/>
                <w:w w:val="91"/>
              </w:rPr>
              <w:t>Common membership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557,084</w:t>
            </w: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Precedent transactions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color w:val="auto"/>
                <w:w w:val="91"/>
              </w:rPr>
              <w:t>interest</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0"/>
              </w:rPr>
              <w:t>Income approach</w:t>
            </w:r>
          </w:p>
        </w:tc>
        <w:tc>
          <w:tcPr>
            <w:tcW w:w="4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1"/>
              </w:rPr>
              <w:t>Revenue multiples</w:t>
            </w:r>
          </w:p>
        </w:tc>
        <w:tc>
          <w:tcPr>
            <w:tcW w:w="4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4"/>
              </w:rPr>
              <w:t>2.3x - 2.6x (2.5x)</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8.0x - 8.7x (8.35x)</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3"/>
              </w:rPr>
              <w:t>45% (45%)</w:t>
            </w: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rPr>
                <w:sz w:val="20"/>
                <w:szCs w:val="20"/>
                <w:color w:val="auto"/>
              </w:rPr>
            </w:pPr>
            <w:r>
              <w:rPr>
                <w:rFonts w:ascii="Arial" w:cs="Arial" w:eastAsia="Arial" w:hAnsi="Arial"/>
                <w:sz w:val="16"/>
                <w:szCs w:val="16"/>
                <w:color w:val="auto"/>
                <w:w w:val="90"/>
              </w:rPr>
              <w:t>Structured Note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750,000</w:t>
            </w: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Precedent transactions</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489,657</w:t>
            </w: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7"/>
              </w:rPr>
              <w:t>Option pricing</w:t>
            </w: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0.33 Years - 3 Years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model</w:t>
            </w: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(2.47 Years)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Stock price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2"/>
              </w:rPr>
              <w:t>0.07 - 1.17 (0.67)</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4"/>
              </w:rPr>
              <w:t>30% - 45% (39%)</w:t>
            </w: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rPr>
                <w:sz w:val="20"/>
                <w:szCs w:val="20"/>
                <w:color w:val="auto"/>
              </w:rPr>
            </w:pPr>
            <w:r>
              <w:rPr>
                <w:rFonts w:ascii="Arial" w:cs="Arial" w:eastAsia="Arial" w:hAnsi="Arial"/>
                <w:sz w:val="16"/>
                <w:szCs w:val="16"/>
                <w:color w:val="auto"/>
                <w:w w:val="92"/>
              </w:rPr>
              <w:t>Embedded Derivative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799,000</w:t>
            </w: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Binomial Lattice</w:t>
            </w: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2"/>
              </w:rPr>
              <w:t>$16.26 ($16.26)</w:t>
            </w: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4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rPr>
              <w:t>Volatility</w:t>
            </w:r>
          </w:p>
        </w:tc>
        <w:tc>
          <w:tcPr>
            <w:tcW w:w="17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45.00% (45.00%)</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92"/>
              </w:rPr>
              <w:t>15.00% (15.00%)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60" w:type="dxa"/>
            <w:vAlign w:val="bottom"/>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3"/>
              </w:rPr>
              <w:t>Range (Average)</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Common stock in</w:t>
            </w:r>
          </w:p>
        </w:tc>
        <w:tc>
          <w:tcPr>
            <w:tcW w:w="1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w w:val="88"/>
              </w:rPr>
              <w:t>$112,855,675</w:t>
            </w:r>
          </w:p>
        </w:tc>
        <w:tc>
          <w:tcPr>
            <w:tcW w:w="160" w:type="dxa"/>
            <w:vAlign w:val="bottom"/>
          </w:tcPr>
          <w:p>
            <w:pPr>
              <w:spacing w:after="0"/>
              <w:rPr>
                <w:sz w:val="16"/>
                <w:szCs w:val="16"/>
                <w:color w:val="auto"/>
              </w:rPr>
            </w:pPr>
          </w:p>
        </w:tc>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85"/>
              </w:rPr>
              <w:t>Precedent</w:t>
            </w:r>
          </w:p>
        </w:tc>
        <w:tc>
          <w:tcPr>
            <w:tcW w:w="160" w:type="dxa"/>
            <w:vAlign w:val="bottom"/>
          </w:tcPr>
          <w:p>
            <w:pPr>
              <w:spacing w:after="0"/>
              <w:rPr>
                <w:sz w:val="16"/>
                <w:szCs w:val="16"/>
                <w:color w:val="auto"/>
              </w:rPr>
            </w:pPr>
          </w:p>
        </w:tc>
        <w:tc>
          <w:tcPr>
            <w:tcW w:w="1360" w:type="dxa"/>
            <w:vAlign w:val="bottom"/>
          </w:tcPr>
          <w:p>
            <w:pPr>
              <w:jc w:val="center"/>
              <w:ind w:left="11"/>
              <w:spacing w:after="0" w:line="195"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90"/>
              </w:rPr>
              <w:t>private companies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transactions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3"/>
              </w:rPr>
              <w:t>3.0x - 6.3x (4.6x)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EBIT multiples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13.0x - 78.9x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(36.2x)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Discount rate</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35% - 50% (42 %)</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90"/>
              </w:rPr>
              <w:t>Preferred stock in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100,853,882</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Precedent</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90"/>
              </w:rPr>
              <w:t>private companies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transactions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3"/>
              </w:rPr>
              <w:t>0.5x - 7.0x (3.3x)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EBIT multiples</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1"/>
              </w:rPr>
              <w:t>8.3x - 78.9x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(18.4x)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Discount rate</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35% - 50% (44 %)</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90"/>
              </w:rPr>
              <w:t>Common membership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Precedent</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transactions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3"/>
              </w:rPr>
              <w:t>3.0x - 5.0x (4.0x)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EBIT multiples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10.0x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Discount rate</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7"/>
              </w:rPr>
              <w:t>Warrants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31,354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Precedent</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transactions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191,708</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Option pricing</w:t>
            </w:r>
          </w:p>
        </w:tc>
        <w:tc>
          <w:tcPr>
            <w:tcW w:w="1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Term to expiration*</w:t>
            </w:r>
          </w:p>
        </w:tc>
        <w:tc>
          <w:tcPr>
            <w:tcW w:w="160" w:type="dxa"/>
            <w:vAlign w:val="bottom"/>
          </w:tcPr>
          <w:p>
            <w:pPr>
              <w:spacing w:after="0"/>
              <w:rPr>
                <w:sz w:val="18"/>
                <w:szCs w:val="18"/>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87"/>
              </w:rPr>
              <w:t>See below</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model</w:t>
            </w:r>
          </w:p>
        </w:tc>
        <w:tc>
          <w:tcPr>
            <w:tcW w:w="16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3"/>
              </w:rPr>
              <w:t>Stock price*</w:t>
            </w:r>
          </w:p>
        </w:tc>
        <w:tc>
          <w:tcPr>
            <w:tcW w:w="160" w:type="dxa"/>
            <w:vAlign w:val="bottom"/>
          </w:tcPr>
          <w:p>
            <w:pPr>
              <w:spacing w:after="0"/>
              <w:rPr>
                <w:sz w:val="20"/>
                <w:szCs w:val="20"/>
                <w:color w:val="auto"/>
              </w:rPr>
            </w:pPr>
          </w:p>
        </w:tc>
        <w:tc>
          <w:tcPr>
            <w:tcW w:w="1360" w:type="dxa"/>
            <w:vAlign w:val="bottom"/>
            <w:vMerge w:val="restart"/>
          </w:tcPr>
          <w:p>
            <w:pPr>
              <w:jc w:val="center"/>
              <w:ind w:left="11"/>
              <w:spacing w:after="0"/>
              <w:rPr>
                <w:sz w:val="20"/>
                <w:szCs w:val="20"/>
                <w:color w:val="auto"/>
              </w:rPr>
            </w:pPr>
            <w:r>
              <w:rPr>
                <w:rFonts w:ascii="Arial" w:cs="Arial" w:eastAsia="Arial" w:hAnsi="Arial"/>
                <w:sz w:val="18"/>
                <w:szCs w:val="18"/>
                <w:color w:val="auto"/>
                <w:w w:val="87"/>
              </w:rPr>
              <w:t>See below</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0"/>
                <w:szCs w:val="20"/>
                <w:color w:val="auto"/>
              </w:rPr>
            </w:pPr>
          </w:p>
        </w:tc>
        <w:tc>
          <w:tcPr>
            <w:tcW w:w="1360" w:type="dxa"/>
            <w:vAlign w:val="bottom"/>
          </w:tcPr>
          <w:p>
            <w:pPr>
              <w:jc w:val="center"/>
              <w:ind w:left="11"/>
              <w:spacing w:after="0"/>
              <w:rPr>
                <w:sz w:val="20"/>
                <w:szCs w:val="20"/>
                <w:color w:val="auto"/>
              </w:rPr>
            </w:pPr>
            <w:r>
              <w:rPr>
                <w:rFonts w:ascii="Arial" w:cs="Arial" w:eastAsia="Arial" w:hAnsi="Arial"/>
                <w:sz w:val="18"/>
                <w:szCs w:val="18"/>
                <w:color w:val="auto"/>
                <w:w w:val="87"/>
              </w:rPr>
              <w:t>See below</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19" w:hanging="272"/>
        <w:spacing w:after="0" w:line="308" w:lineRule="auto"/>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Echo System Corp. warrants have an estimated term of 3.9 years, a stock price of $3.20 and a volatility of 40%, and the SharesPost, Inc. warrants have an estimated term of 3.0 years, a stock price of $0.28 and a volatility of 35%.</w:t>
      </w:r>
    </w:p>
    <w:p>
      <w:pPr>
        <w:spacing w:after="0" w:line="38"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fair values all else equal.</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70"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aggregate values of Level 3 portfolio investments and embedded derivative changed during the year ended December 31, 2013 and December 31, 2012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-113665</wp:posOffset>
            </wp:positionV>
            <wp:extent cx="58489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48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-19050</wp:posOffset>
            </wp:positionV>
            <wp:extent cx="58489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6"/>
              </w:rPr>
              <w:t>Year ended December 31, 2013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Term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Embedded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Derivative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Fair value as of December 31, 2012</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7"/>
              </w:rPr>
              <w:t>112,855,675</w:t>
            </w:r>
          </w:p>
        </w:tc>
        <w:tc>
          <w:tcPr>
            <w:tcW w:w="1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2"/>
              </w:rPr>
              <w:t>100,853,882</w:t>
            </w:r>
          </w:p>
        </w:tc>
        <w:tc>
          <w:tcPr>
            <w:tcW w:w="1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223,062</w:t>
            </w:r>
          </w:p>
        </w:tc>
        <w:tc>
          <w:tcPr>
            <w:tcW w:w="22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7"/>
              </w:rPr>
              <w:t>214,432,619</w:t>
            </w:r>
          </w:p>
        </w:tc>
        <w:tc>
          <w:tcPr>
            <w:tcW w:w="0" w:type="dxa"/>
            <w:vAlign w:val="bottom"/>
          </w:tcPr>
          <w:p>
            <w:pPr>
              <w:spacing w:after="0"/>
              <w:rPr>
                <w:sz w:val="1"/>
                <w:szCs w:val="1"/>
                <w:color w:val="auto"/>
              </w:rPr>
            </w:pPr>
          </w:p>
        </w:tc>
      </w:tr>
      <w:tr>
        <w:trPr>
          <w:trHeight w:val="149"/>
        </w:trPr>
        <w:tc>
          <w:tcPr>
            <w:tcW w:w="2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8,248,157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59,273,379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1,242,325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68,783,561</w:t>
            </w:r>
          </w:p>
        </w:tc>
        <w:tc>
          <w:tcPr>
            <w:tcW w:w="0" w:type="dxa"/>
            <w:vAlign w:val="bottom"/>
          </w:tcPr>
          <w:p>
            <w:pPr>
              <w:spacing w:after="0"/>
              <w:rPr>
                <w:sz w:val="1"/>
                <w:szCs w:val="1"/>
                <w:color w:val="auto"/>
              </w:rPr>
            </w:pPr>
          </w:p>
        </w:tc>
      </w:tr>
      <w:tr>
        <w:trPr>
          <w:trHeight w:val="189"/>
        </w:trPr>
        <w:tc>
          <w:tcPr>
            <w:tcW w:w="2840" w:type="dxa"/>
            <w:vAlign w:val="bottom"/>
            <w:gridSpan w:val="3"/>
            <w:shd w:val="clear" w:color="auto" w:fill="CCFFCC"/>
          </w:tcPr>
          <w:p>
            <w:pPr>
              <w:ind w:left="20"/>
              <w:spacing w:after="0" w:line="189" w:lineRule="exact"/>
              <w:rPr>
                <w:sz w:val="20"/>
                <w:szCs w:val="20"/>
                <w:color w:val="auto"/>
              </w:rPr>
            </w:pPr>
            <w:r>
              <w:rPr>
                <w:rFonts w:ascii="Arial" w:cs="Arial" w:eastAsia="Arial" w:hAnsi="Arial"/>
                <w:sz w:val="13"/>
                <w:szCs w:val="13"/>
                <w:color w:val="auto"/>
              </w:rPr>
              <w:t>Exercises, conversions and assignments – In</w:t>
            </w:r>
            <w:r>
              <w:rPr>
                <w:rFonts w:ascii="Arial" w:cs="Arial" w:eastAsia="Arial" w:hAnsi="Arial"/>
                <w:sz w:val="21"/>
                <w:szCs w:val="21"/>
                <w:color w:val="auto"/>
                <w:vertAlign w:val="superscript"/>
              </w:rPr>
              <w:t>(1)</w:t>
            </w:r>
          </w:p>
        </w:tc>
        <w:tc>
          <w:tcPr>
            <w:tcW w:w="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26,442,820</w:t>
            </w:r>
          </w:p>
        </w:tc>
        <w:tc>
          <w:tcPr>
            <w:tcW w:w="1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w w:val="95"/>
              </w:rPr>
              <w:t>(26,509,841)</w:t>
            </w: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67,021</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10,091,058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(459,799)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9,631,259</w:t>
            </w:r>
          </w:p>
        </w:tc>
        <w:tc>
          <w:tcPr>
            <w:tcW w:w="0" w:type="dxa"/>
            <w:vAlign w:val="bottom"/>
          </w:tcPr>
          <w:p>
            <w:pPr>
              <w:spacing w:after="0"/>
              <w:rPr>
                <w:sz w:val="1"/>
                <w:szCs w:val="1"/>
                <w:color w:val="auto"/>
              </w:rPr>
            </w:pPr>
          </w:p>
        </w:tc>
      </w:tr>
      <w:tr>
        <w:trPr>
          <w:trHeight w:val="149"/>
        </w:trPr>
        <w:tc>
          <w:tcPr>
            <w:tcW w:w="28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Realized loss included in earnings</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(953,811)</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5"/>
              </w:rPr>
              <w:t>(27,463,851)</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(15,488)</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(28,433,150)</w:t>
            </w:r>
          </w:p>
        </w:tc>
        <w:tc>
          <w:tcPr>
            <w:tcW w:w="0" w:type="dxa"/>
            <w:vAlign w:val="bottom"/>
          </w:tcPr>
          <w:p>
            <w:pPr>
              <w:spacing w:after="0"/>
              <w:rPr>
                <w:sz w:val="1"/>
                <w:szCs w:val="1"/>
                <w:color w:val="auto"/>
              </w:rPr>
            </w:pPr>
          </w:p>
        </w:tc>
      </w:tr>
      <w:tr>
        <w:trPr>
          <w:trHeight w:val="140"/>
        </w:trPr>
        <w:tc>
          <w:tcPr>
            <w:tcW w:w="284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 assignments –</w:t>
            </w: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gridSpan w:val="2"/>
          </w:tcPr>
          <w:p>
            <w:pPr>
              <w:ind w:left="220"/>
              <w:spacing w:after="0" w:line="198" w:lineRule="exact"/>
              <w:rPr>
                <w:sz w:val="20"/>
                <w:szCs w:val="20"/>
                <w:color w:val="auto"/>
              </w:rPr>
            </w:pPr>
            <w:r>
              <w:rPr>
                <w:rFonts w:ascii="Arial" w:cs="Arial" w:eastAsia="Arial" w:hAnsi="Arial"/>
                <w:sz w:val="14"/>
                <w:szCs w:val="14"/>
                <w:color w:val="auto"/>
              </w:rPr>
              <w:t>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Change in unrealized appreciation</w:t>
            </w: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62,256,476</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19,839,371</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57,084</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(17,038)</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179,874</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82,315,767</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282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(depreciation) included in earnings</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1"/>
              </w:rPr>
              <w:t>(125,439,156)</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(8,158,498)</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1"/>
              </w:rPr>
              <w:t>(133,597,654)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Fair Value as of December 31, 2013</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81,410,161</w:t>
            </w:r>
          </w:p>
        </w:tc>
        <w:tc>
          <w:tcPr>
            <w:tcW w:w="10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2"/>
              </w:rPr>
              <w:t>129,925,500</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557,084</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750,000</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489,657</w:t>
            </w:r>
          </w:p>
        </w:tc>
        <w:tc>
          <w:tcPr>
            <w:tcW w:w="2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7"/>
              </w:rPr>
              <w:t>213,132,402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gridSpan w:val="3"/>
            <w:shd w:val="clear" w:color="auto" w:fill="CCFFCC"/>
          </w:tcPr>
          <w:p>
            <w:pPr>
              <w:ind w:left="20"/>
              <w:spacing w:after="0" w:line="123" w:lineRule="exact"/>
              <w:rPr>
                <w:sz w:val="20"/>
                <w:szCs w:val="20"/>
                <w:color w:val="auto"/>
              </w:rPr>
            </w:pPr>
            <w:r>
              <w:rPr>
                <w:rFonts w:ascii="Arial" w:cs="Arial" w:eastAsia="Arial" w:hAnsi="Arial"/>
                <w:sz w:val="14"/>
                <w:szCs w:val="14"/>
                <w:color w:val="auto"/>
              </w:rPr>
              <w:t>Change in unrealized appreciation</w:t>
            </w:r>
          </w:p>
        </w:tc>
        <w:tc>
          <w:tcPr>
            <w:tcW w:w="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(75,011,491)</w:t>
            </w:r>
          </w:p>
        </w:tc>
        <w:tc>
          <w:tcPr>
            <w:tcW w:w="16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(2,524,084)</w:t>
            </w:r>
          </w:p>
        </w:tc>
        <w:tc>
          <w:tcPr>
            <w:tcW w:w="180" w:type="dxa"/>
            <w:vAlign w:val="bottom"/>
            <w:gridSpan w:val="2"/>
            <w:shd w:val="clear" w:color="auto" w:fill="CCFFCC"/>
          </w:tcPr>
          <w:p>
            <w:pPr>
              <w:ind w:left="80"/>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FFCC"/>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57,084</w:t>
            </w:r>
          </w:p>
        </w:tc>
        <w:tc>
          <w:tcPr>
            <w:tcW w:w="1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(3,371)</w:t>
            </w:r>
          </w:p>
        </w:tc>
        <w:tc>
          <w:tcPr>
            <w:tcW w:w="16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(179,874)</w:t>
            </w:r>
          </w:p>
        </w:tc>
        <w:tc>
          <w:tcPr>
            <w:tcW w:w="220" w:type="dxa"/>
            <w:vAlign w:val="bottom"/>
            <w:gridSpan w:val="2"/>
            <w:shd w:val="clear" w:color="auto" w:fill="CCFFCC"/>
          </w:tcPr>
          <w:p>
            <w:pPr>
              <w:ind w:left="100"/>
              <w:spacing w:after="0" w:line="123"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FFCC"/>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(77,661,736)</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282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(depreciation) on Level 3 investments still</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FFCC"/>
            </w:tcBorders>
            <w:shd w:val="clear" w:color="auto" w:fill="CCFFCC"/>
          </w:tcPr>
          <w:p>
            <w:pPr>
              <w:spacing w:after="0"/>
              <w:rPr>
                <w:sz w:val="18"/>
                <w:szCs w:val="18"/>
                <w:color w:val="auto"/>
              </w:rPr>
            </w:pPr>
          </w:p>
        </w:tc>
        <w:tc>
          <w:tcPr>
            <w:tcW w:w="2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color w:val="auto"/>
              </w:rPr>
              <w:t>held as of December 31, 2013</w:t>
            </w:r>
          </w:p>
        </w:tc>
        <w:tc>
          <w:tcPr>
            <w:tcW w:w="8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6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Fair Value of December 31, 2012</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Embedded derivative from issuance of</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w w:val="94"/>
              </w:rPr>
              <w:t>700,000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Arial" w:cs="Arial" w:eastAsia="Arial" w:hAnsi="Arial"/>
                <w:sz w:val="14"/>
                <w:szCs w:val="14"/>
                <w:color w:val="auto"/>
              </w:rPr>
              <w:t>convertible senior notes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Loss on fair value adjustment for embedded</w:t>
            </w:r>
          </w:p>
        </w:tc>
        <w:tc>
          <w:tcPr>
            <w:tcW w:w="8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99,000</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99,000</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2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color w:val="auto"/>
              </w:rPr>
              <w:t>derivative</w:t>
            </w:r>
          </w:p>
        </w:tc>
        <w:tc>
          <w:tcPr>
            <w:tcW w:w="8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right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560" w:type="dxa"/>
            <w:vAlign w:val="bottom"/>
            <w:tcBorders>
              <w:bottom w:val="single" w:sz="8" w:color="auto"/>
              <w:right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Fair Value as of September 30, 2013</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4"/>
              </w:rPr>
              <w:t>799,000</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-1345565</wp:posOffset>
            </wp:positionV>
            <wp:extent cx="584898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48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-925830</wp:posOffset>
            </wp:positionV>
            <wp:extent cx="584898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48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84898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48985" cy="137160"/>
                    </a:xfrm>
                    <a:prstGeom prst="rect">
                      <a:avLst/>
                    </a:prstGeom>
                    <a:noFill/>
                  </pic:spPr>
                </pic:pic>
              </a:graphicData>
            </a:graphic>
          </wp:anchor>
        </w:drawing>
      </w:r>
    </w:p>
    <w:p>
      <w:pPr>
        <w:spacing w:after="0" w:line="236" w:lineRule="exact"/>
        <w:rPr>
          <w:sz w:val="20"/>
          <w:szCs w:val="20"/>
          <w:color w:val="auto"/>
        </w:rPr>
      </w:pPr>
    </w:p>
    <w:p>
      <w:pPr>
        <w:jc w:val="both"/>
        <w:ind w:left="300" w:right="539" w:hanging="272"/>
        <w:spacing w:after="0" w:line="264"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period ended December 31, 2013, the Company converted its preferred shares to common shares in CUX Inc., Chegg, Inc., Twitter, Inc., and Violin Memory, Inc. The Company also converted its common shares to preferred shares in Totus Solutions Inc.</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4"/>
              </w:rPr>
              <w:t>Year ended December 31, 2012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w w:val="93"/>
              </w:rPr>
              <w:t>Structured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Membership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3"/>
            <w:vMerge w:val="restart"/>
          </w:tcPr>
          <w:p>
            <w:pPr>
              <w:ind w:left="20"/>
              <w:spacing w:after="0"/>
              <w:rPr>
                <w:sz w:val="20"/>
                <w:szCs w:val="20"/>
                <w:color w:val="auto"/>
              </w:rPr>
            </w:pPr>
            <w:r>
              <w:rPr>
                <w:rFonts w:ascii="Arial" w:cs="Arial" w:eastAsia="Arial" w:hAnsi="Arial"/>
                <w:sz w:val="16"/>
                <w:szCs w:val="16"/>
                <w:color w:val="auto"/>
              </w:rPr>
              <w:t>Fair value as of December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gridSpan w:val="3"/>
            <w:vMerge w:val="continue"/>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7"/>
              </w:rPr>
              <w:t>40,865,381</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9"/>
              </w:rPr>
              <w:t>17,453,085</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5"/>
              </w:rPr>
              <w:t>4,500,000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71,396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9"/>
              </w:rPr>
              <w:t>62,889,862</w:t>
            </w:r>
          </w:p>
        </w:tc>
        <w:tc>
          <w:tcPr>
            <w:tcW w:w="0" w:type="dxa"/>
            <w:vAlign w:val="bottom"/>
          </w:tcPr>
          <w:p>
            <w:pPr>
              <w:spacing w:after="0"/>
              <w:rPr>
                <w:sz w:val="1"/>
                <w:szCs w:val="1"/>
                <w:color w:val="auto"/>
              </w:rPr>
            </w:pPr>
          </w:p>
        </w:tc>
      </w:tr>
      <w:tr>
        <w:trPr>
          <w:trHeight w:val="209"/>
        </w:trPr>
        <w:tc>
          <w:tcPr>
            <w:tcW w:w="1000" w:type="dxa"/>
            <w:vAlign w:val="bottom"/>
            <w:gridSpan w:val="2"/>
          </w:tcPr>
          <w:p>
            <w:pPr>
              <w:ind w:left="200"/>
              <w:spacing w:after="0"/>
              <w:rPr>
                <w:sz w:val="20"/>
                <w:szCs w:val="20"/>
                <w:color w:val="auto"/>
              </w:rPr>
            </w:pPr>
            <w:r>
              <w:rPr>
                <w:rFonts w:ascii="Arial" w:cs="Arial" w:eastAsia="Arial" w:hAnsi="Arial"/>
                <w:sz w:val="16"/>
                <w:szCs w:val="16"/>
                <w:color w:val="auto"/>
              </w:rPr>
              <w:t>2011</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Purchases of investments</w:t>
            </w:r>
          </w:p>
        </w:tc>
        <w:tc>
          <w:tcPr>
            <w:tcW w:w="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7"/>
              </w:rPr>
              <w:t>86,378,395</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9"/>
              </w:rPr>
              <w:t>85,104,161</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854,236</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172,868,146</w:t>
            </w:r>
          </w:p>
        </w:tc>
        <w:tc>
          <w:tcPr>
            <w:tcW w:w="0" w:type="dxa"/>
            <w:vAlign w:val="bottom"/>
          </w:tcPr>
          <w:p>
            <w:pPr>
              <w:spacing w:after="0"/>
              <w:rPr>
                <w:sz w:val="1"/>
                <w:szCs w:val="1"/>
                <w:color w:val="auto"/>
              </w:rPr>
            </w:pPr>
          </w:p>
        </w:tc>
      </w:tr>
      <w:tr>
        <w:trPr>
          <w:trHeight w:val="192"/>
        </w:trPr>
        <w:tc>
          <w:tcPr>
            <w:tcW w:w="2300" w:type="dxa"/>
            <w:vAlign w:val="bottom"/>
            <w:gridSpan w:val="3"/>
          </w:tcPr>
          <w:p>
            <w:pPr>
              <w:ind w:left="20"/>
              <w:spacing w:after="0"/>
              <w:rPr>
                <w:sz w:val="20"/>
                <w:szCs w:val="20"/>
                <w:color w:val="auto"/>
              </w:rPr>
            </w:pPr>
            <w:r>
              <w:rPr>
                <w:rFonts w:ascii="Arial" w:cs="Arial" w:eastAsia="Arial" w:hAnsi="Arial"/>
                <w:sz w:val="16"/>
                <w:szCs w:val="16"/>
                <w:color w:val="auto"/>
              </w:rPr>
              <w:t>Exercises, conversions and</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984,067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(1,006,390)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22,323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80" w:type="dxa"/>
            <w:vAlign w:val="bottom"/>
            <w:gridSpan w:val="2"/>
          </w:tcPr>
          <w:p>
            <w:pPr>
              <w:ind w:left="180"/>
              <w:spacing w:after="0" w:line="254" w:lineRule="exact"/>
              <w:rPr>
                <w:sz w:val="20"/>
                <w:szCs w:val="20"/>
                <w:color w:val="auto"/>
              </w:rPr>
            </w:pPr>
            <w:r>
              <w:rPr>
                <w:rFonts w:ascii="Arial" w:cs="Arial" w:eastAsia="Arial" w:hAnsi="Arial"/>
                <w:sz w:val="16"/>
                <w:szCs w:val="16"/>
                <w:color w:val="auto"/>
              </w:rPr>
              <w:t>assignments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Sales and settlements</w:t>
            </w:r>
          </w:p>
        </w:tc>
        <w:tc>
          <w:tcPr>
            <w:tcW w:w="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(3,002,665)</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(3,002,665)</w:t>
            </w:r>
          </w:p>
        </w:tc>
        <w:tc>
          <w:tcPr>
            <w:tcW w:w="0" w:type="dxa"/>
            <w:vAlign w:val="bottom"/>
          </w:tcPr>
          <w:p>
            <w:pPr>
              <w:spacing w:after="0"/>
              <w:rPr>
                <w:sz w:val="1"/>
                <w:szCs w:val="1"/>
                <w:color w:val="auto"/>
              </w:rPr>
            </w:pPr>
          </w:p>
        </w:tc>
      </w:tr>
      <w:tr>
        <w:trPr>
          <w:trHeight w:val="193"/>
        </w:trPr>
        <w:tc>
          <w:tcPr>
            <w:tcW w:w="2300" w:type="dxa"/>
            <w:vAlign w:val="bottom"/>
            <w:gridSpan w:val="3"/>
          </w:tcPr>
          <w:p>
            <w:pPr>
              <w:ind w:left="20"/>
              <w:spacing w:after="0"/>
              <w:rPr>
                <w:sz w:val="20"/>
                <w:szCs w:val="20"/>
                <w:color w:val="auto"/>
              </w:rPr>
            </w:pPr>
            <w:r>
              <w:rPr>
                <w:rFonts w:ascii="Arial" w:cs="Arial" w:eastAsia="Arial" w:hAnsi="Arial"/>
                <w:sz w:val="16"/>
                <w:szCs w:val="16"/>
                <w:color w:val="auto"/>
              </w:rPr>
              <w:t>Realized loss included in</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(1,380,263)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(1,380,263)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6"/>
                <w:szCs w:val="16"/>
                <w:color w:val="auto"/>
              </w:rPr>
              <w:t>earnings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Change in unrealized</w:t>
            </w:r>
          </w:p>
        </w:tc>
        <w:tc>
          <w:tcPr>
            <w:tcW w:w="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(5,027,001)</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(2,687,431)</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35,082</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97,989</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(7,581,361)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appreciation (depreciation)</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included in earnings</w:t>
            </w: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gridSpan w:val="3"/>
          </w:tcPr>
          <w:p>
            <w:pPr>
              <w:ind w:left="20"/>
              <w:spacing w:after="0"/>
              <w:rPr>
                <w:sz w:val="20"/>
                <w:szCs w:val="20"/>
                <w:color w:val="auto"/>
              </w:rPr>
            </w:pPr>
            <w:r>
              <w:rPr>
                <w:rFonts w:ascii="Arial" w:cs="Arial" w:eastAsia="Arial" w:hAnsi="Arial"/>
                <w:sz w:val="16"/>
                <w:szCs w:val="16"/>
                <w:color w:val="auto"/>
              </w:rPr>
              <w:t>Transfer to Level 2</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(9,361,100)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(9,361,100)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3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Fair Value as of December 31,</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7"/>
              </w:rPr>
              <w:t>112,855,675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89"/>
              </w:rPr>
              <w:t>100,853,882</w:t>
            </w:r>
          </w:p>
        </w:tc>
        <w:tc>
          <w:tcPr>
            <w:tcW w:w="200" w:type="dxa"/>
            <w:vAlign w:val="bottom"/>
            <w:gridSpan w:val="3"/>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223,062</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214,432,619</w:t>
            </w:r>
          </w:p>
        </w:tc>
        <w:tc>
          <w:tcPr>
            <w:tcW w:w="0" w:type="dxa"/>
            <w:vAlign w:val="bottom"/>
          </w:tcPr>
          <w:p>
            <w:pPr>
              <w:spacing w:after="0"/>
              <w:rPr>
                <w:sz w:val="1"/>
                <w:szCs w:val="1"/>
                <w:color w:val="auto"/>
              </w:rPr>
            </w:pPr>
          </w:p>
        </w:tc>
      </w:tr>
      <w:tr>
        <w:trPr>
          <w:trHeight w:val="253"/>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2012</w:t>
            </w:r>
          </w:p>
        </w:tc>
        <w:tc>
          <w:tcPr>
            <w:tcW w:w="13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300" w:type="dxa"/>
            <w:vAlign w:val="bottom"/>
            <w:gridSpan w:val="3"/>
          </w:tcPr>
          <w:p>
            <w:pPr>
              <w:ind w:left="20"/>
              <w:spacing w:after="0"/>
              <w:rPr>
                <w:sz w:val="20"/>
                <w:szCs w:val="20"/>
                <w:color w:val="auto"/>
              </w:rPr>
            </w:pPr>
            <w:r>
              <w:rPr>
                <w:rFonts w:ascii="Arial" w:cs="Arial" w:eastAsia="Arial" w:hAnsi="Arial"/>
                <w:sz w:val="16"/>
                <w:szCs w:val="16"/>
                <w:color w:val="auto"/>
              </w:rPr>
              <w:t>Change in unrealized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(3,919,288)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(2,687,431)</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97,989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(6,508,730)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80"/>
              <w:spacing w:after="0"/>
              <w:rPr>
                <w:sz w:val="20"/>
                <w:szCs w:val="20"/>
                <w:color w:val="auto"/>
              </w:rPr>
            </w:pPr>
            <w:r>
              <w:rPr>
                <w:rFonts w:ascii="Arial" w:cs="Arial" w:eastAsia="Arial" w:hAnsi="Arial"/>
                <w:sz w:val="16"/>
                <w:szCs w:val="16"/>
                <w:color w:val="auto"/>
                <w:w w:val="98"/>
              </w:rPr>
              <w:t>appreciation (depreciation) on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80"/>
              <w:spacing w:after="0"/>
              <w:rPr>
                <w:sz w:val="20"/>
                <w:szCs w:val="20"/>
                <w:color w:val="auto"/>
              </w:rPr>
            </w:pPr>
            <w:r>
              <w:rPr>
                <w:rFonts w:ascii="Arial" w:cs="Arial" w:eastAsia="Arial" w:hAnsi="Arial"/>
                <w:sz w:val="16"/>
                <w:szCs w:val="16"/>
                <w:color w:val="auto"/>
              </w:rPr>
              <w:t>Level 3 investments still held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6"/>
                <w:szCs w:val="16"/>
                <w:color w:val="auto"/>
              </w:rPr>
              <w:t>as of December 31, 2012</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5829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58293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86" w:lineRule="auto"/>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year ended December 31,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5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During the year ended December 31, 2013, there were seven transfers between levels. Four of these transfers occurred as of September 30, 2013, and three occurred as of December 31, 2013. These transfers occurred as a result of the initial public offering of several of our portfolio companies as described below.</w:t>
      </w:r>
    </w:p>
    <w:p>
      <w:pPr>
        <w:spacing w:after="0" w:line="73"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Due to a public offering of Chegg, Inc. on November 12, 2013, observable inputs became available for our valuation at December 31, 2013. This resulted in a transfer of Chegg, Inc. from Level 3 to Level 2. Our shares in Chegg, Inc. are presently subject to a lock-up agreement that expires on May 11, 2014. The fair value for Chegg, Inc. was estimated using the close price on a public exchange as of the valuation date, adjusted for a discount due to lack of marketability of 15% that was primarily based on the market value of publicly traded put options with a similar term as our lock-up as of December 31, 2013.</w:t>
      </w:r>
    </w:p>
    <w:p>
      <w:pPr>
        <w:spacing w:after="0" w:line="64"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Due to a public offering of Twitter, Inc. on November 6, 2013, observable inputs became available for our valuation at December 31, 2013. This resulted in a transfer of Twitter, Inc. from Level 3 to Level 2. Our shares in Twitter, Inc. are presently subject to a lock-up agreement that expires on May 5, 2014. The fair value for Twitter, Inc. was estimated using the close price on a public exchange as of the valuation date, adjusted for a discount due to lack of marketability of 15% that was primarily based on the market value of publicly traded put options with a similar term as our lock-up as of December 31, 2013.</w:t>
      </w:r>
    </w:p>
    <w:p>
      <w:pPr>
        <w:spacing w:after="0" w:line="64"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Due to a public offering of ePals, Inc. on October 22, 2013, observable inputs became available for our valuation at December 31, 2013. This resulted in a transfer of ePals, Inc. from Level 3 to Level 2. Our shares in ePals, Inc. are presently subject to a lock-up agreement that expires on February 23, 2014. The fair value for ePals, Inc. was estimated using the close price on a public exchange as of the valuation date, adjusted for a discount due to lack of marketability of 8% that was primarily based on the market value of publicly traded put options with a similar term as our lock-up as of December 31, 2013.</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Due to a public offering of Violin Memory, Inc. on September 27, 2013, observable inputs became available for our valuation at December 31, 2013. This resulted in a transfer of Violin Memory, Inc. from Level 3 to Level 2. Our shares in Violin Memory, Inc. are presently subject to a lock-up agreement that expires on March 26, 2014. The fair value for Violin Memory, Inc. was estimated using the close price on a public exchange as of the valuation date, adjusted for a discount due to lack of marketability of 15% that was primarily based on the market value of publicly traded put options with a similar term as our lock-up as of December 31, 2013.</w:t>
      </w:r>
    </w:p>
    <w:p>
      <w:pPr>
        <w:spacing w:after="0" w:line="50"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Due to a public offering of Control4 Corporation on August 2, 2013, observable inputs became available for our valuation at December 31, 2013. This resulted in a transfer of Control4 Corp from Level 3 to Level 2. Our shares in Control4 Corporation are presently subject to a lock-up agreement that expires on January 29, 2014. The fair value for Control4 Corporation was estimated using the close price on a public exchange as of the valuation date, adjusted for a discount due to lack of marketability of 4% that was primarily based on the market value of publicly traded put options with a similar term as our lock-up as of December 31, 2013.</w:t>
      </w:r>
    </w:p>
    <w:p>
      <w:pPr>
        <w:spacing w:after="0" w:line="5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Due to a public offering of Silver Spring Networks, Inc. on March 12, 2013, observable inputs became available for our valuation at March 31, 2013. However, our shares in Silver Spring Networks, Inc. were subject to a lock-up agreement that expired on September 8, 2013. As such, the fair value for Silver Spring was estimated using the close price on a public exchange as of the valuation date, adjusted for a discount due to lack of marketability of 7% that was primarily based on the market price of publicly traded put options with a similar term as the lock-up as of June 30, 2013. This resulted in a transfer of Silver Spring from Level 3 to Level 2. Due to the expiration of the lock-up agreement on our shares in Silver Spring Networks on September 8, 2013, the closing price on a public exchange on September 30, 2013 was used for our valuation as of September 30, 2013. This resulted in a transfer of Silver Spring Networks from Level 2 to Level 1.</w:t>
      </w:r>
    </w:p>
    <w:p>
      <w:pPr>
        <w:spacing w:after="0" w:line="7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During the year ended December 31, 2013, the Company wrote-off its investments in Kno, Inc, Top Hat 430, Inc., Serious Energy, Inc., AltEgo, LLC, and Starfish Holdings, Inc. and recorded realized losses.</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During the year ended December 31, 2012, there were three transfers between levels. Two of these transfers occurred as of June 30, 2012, and one occurred as of December 31, 2012. These transfers occurred as a result of the initial public offering of several of our portfolio companies as described below.</w:t>
      </w:r>
    </w:p>
    <w:p>
      <w:pPr>
        <w:spacing w:after="0" w:line="73"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Due to the expiration of the lock-up agreement on our shares in Groupon, Inc. on June 1, 2012, the closing price on a public exchange on June 29, 2012 was used for our valuation as of June 30, 2012. This resulted in a transfer of Groupon, Inc. from Level 2 to Level 1. At December 31, 2012, Groupon, Inc. was valued using the closing price on a public exchange on December 31, 2012.</w:t>
      </w:r>
    </w:p>
    <w:p>
      <w:pPr>
        <w:spacing w:after="0" w:line="39"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Due to the initial public offering of Facebook, Inc. on May 17, 2012, observable inputs became available for our valuation as of June 30, 2012. However, our shares in Facebook, Inc. were subject to a lock-up agreement that expired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This resulted in a transfer of Facebook, Inc. from Level 3 to Level 2. Due to the expiration of the lock-up agreement on our shares in Facebook, Inc. on November 14, 2012, the closing price on a public exchange on December 31, 2012 was used for our valuation as of December 31, 2012. This resulted in a transfer of Facebook, Inc. from Level 2 to Level 1.</w:t>
      </w:r>
    </w:p>
    <w:p>
      <w:pPr>
        <w:spacing w:after="0" w:line="8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During the year ended December 31, 2012, the Company recorded a realized loss on our investment in PJB Fund LLC. The note matured and was repaid by transfer of shares of common stock of Zynga, Inc.</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We issued 13,800,000 shares of our common stock during the year ended December 31, 2012. No new shares of our common stock were issued during the year ended December 31, 2013.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4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Issuances of Common Stock</w:t>
            </w:r>
          </w:p>
        </w:tc>
        <w:tc>
          <w:tcPr>
            <w:tcW w:w="160" w:type="dxa"/>
            <w:vAlign w:val="bottom"/>
          </w:tcPr>
          <w:p>
            <w:pPr>
              <w:spacing w:after="0"/>
              <w:rPr>
                <w:sz w:val="13"/>
                <w:szCs w:val="13"/>
                <w:color w:val="auto"/>
              </w:rPr>
            </w:pPr>
          </w:p>
        </w:tc>
        <w:tc>
          <w:tcPr>
            <w:tcW w:w="900" w:type="dxa"/>
            <w:vAlign w:val="bottom"/>
          </w:tcPr>
          <w:p>
            <w:pPr>
              <w:jc w:val="right"/>
              <w:ind w:right="48"/>
              <w:spacing w:after="0" w:line="151"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5"/>
              <w:spacing w:after="0" w:line="151" w:lineRule="exact"/>
              <w:rPr>
                <w:sz w:val="20"/>
                <w:szCs w:val="20"/>
                <w:color w:val="auto"/>
              </w:rPr>
            </w:pPr>
            <w:r>
              <w:rPr>
                <w:rFonts w:ascii="Arial" w:cs="Arial" w:eastAsia="Arial" w:hAnsi="Arial"/>
                <w:sz w:val="14"/>
                <w:szCs w:val="14"/>
                <w:b w:val="1"/>
                <w:bCs w:val="1"/>
                <w:color w:val="auto"/>
                <w:w w:val="87"/>
              </w:rPr>
              <w:t>Gross Proceeds</w:t>
            </w:r>
          </w:p>
        </w:tc>
        <w:tc>
          <w:tcPr>
            <w:tcW w:w="160" w:type="dxa"/>
            <w:vAlign w:val="bottom"/>
          </w:tcPr>
          <w:p>
            <w:pPr>
              <w:spacing w:after="0"/>
              <w:rPr>
                <w:sz w:val="13"/>
                <w:szCs w:val="13"/>
                <w:color w:val="auto"/>
              </w:rPr>
            </w:pPr>
          </w:p>
        </w:tc>
        <w:tc>
          <w:tcPr>
            <w:tcW w:w="1220" w:type="dxa"/>
            <w:vAlign w:val="bottom"/>
            <w:gridSpan w:val="4"/>
          </w:tcPr>
          <w:p>
            <w:pPr>
              <w:ind w:left="60"/>
              <w:spacing w:after="0" w:line="151" w:lineRule="exact"/>
              <w:rPr>
                <w:sz w:val="20"/>
                <w:szCs w:val="20"/>
                <w:color w:val="auto"/>
              </w:rPr>
            </w:pPr>
            <w:r>
              <w:rPr>
                <w:rFonts w:ascii="Arial" w:cs="Arial" w:eastAsia="Arial" w:hAnsi="Arial"/>
                <w:sz w:val="14"/>
                <w:szCs w:val="14"/>
                <w:b w:val="1"/>
                <w:bCs w:val="1"/>
                <w:color w:val="auto"/>
              </w:rPr>
              <w:t>Underwriting</w:t>
            </w:r>
          </w:p>
        </w:tc>
        <w:tc>
          <w:tcPr>
            <w:tcW w:w="860" w:type="dxa"/>
            <w:vAlign w:val="bottom"/>
          </w:tcPr>
          <w:p>
            <w:pPr>
              <w:jc w:val="right"/>
              <w:ind w:right="136"/>
              <w:spacing w:after="0" w:line="151" w:lineRule="exact"/>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9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9"/>
              </w:rPr>
              <w:t>Offering Price</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Raised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7"/>
              </w:rPr>
              <w:t>Expenses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10"/>
        </w:trPr>
        <w:tc>
          <w:tcPr>
            <w:tcW w:w="2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February 28, 2011</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FFCC"/>
          </w:tcPr>
          <w:p>
            <w:pPr>
              <w:ind w:left="5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FFCC"/>
          </w:tcPr>
          <w:p>
            <w:pPr>
              <w:jc w:val="right"/>
              <w:ind w:right="156"/>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15.00</w:t>
            </w:r>
          </w:p>
        </w:tc>
      </w:tr>
      <w:tr>
        <w:trPr>
          <w:trHeight w:val="257"/>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50,025,000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3,501,750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line="256" w:lineRule="exact"/>
              <w:rPr>
                <w:sz w:val="20"/>
                <w:szCs w:val="20"/>
                <w:color w:val="auto"/>
              </w:rPr>
            </w:pPr>
            <w:r>
              <w:rPr>
                <w:rFonts w:ascii="Arial" w:cs="Arial" w:eastAsia="Arial" w:hAnsi="Arial"/>
                <w:sz w:val="18"/>
                <w:szCs w:val="18"/>
                <w:color w:val="auto"/>
                <w:w w:val="85"/>
              </w:rPr>
              <w:t>527,166</w:t>
            </w:r>
            <w:r>
              <w:rPr>
                <w:rFonts w:ascii="Arial" w:cs="Arial" w:eastAsia="Arial" w:hAnsi="Arial"/>
                <w:sz w:val="29"/>
                <w:szCs w:val="29"/>
                <w:color w:val="auto"/>
                <w:w w:val="85"/>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15.00</w:t>
            </w:r>
          </w:p>
        </w:tc>
      </w:tr>
      <w:tr>
        <w:trPr>
          <w:trHeight w:val="257"/>
        </w:trPr>
        <w:tc>
          <w:tcPr>
            <w:tcW w:w="2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September 27, 2011</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30,917,750</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1,267,300</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line="256" w:lineRule="exact"/>
              <w:rPr>
                <w:sz w:val="20"/>
                <w:szCs w:val="20"/>
                <w:color w:val="auto"/>
              </w:rPr>
            </w:pPr>
            <w:r>
              <w:rPr>
                <w:rFonts w:ascii="Arial" w:cs="Arial" w:eastAsia="Arial" w:hAnsi="Arial"/>
                <w:sz w:val="18"/>
                <w:szCs w:val="18"/>
                <w:color w:val="auto"/>
                <w:w w:val="85"/>
              </w:rPr>
              <w:t>531,122</w:t>
            </w:r>
            <w:r>
              <w:rPr>
                <w:rFonts w:ascii="Arial" w:cs="Arial" w:eastAsia="Arial" w:hAnsi="Arial"/>
                <w:sz w:val="29"/>
                <w:szCs w:val="29"/>
                <w:color w:val="auto"/>
                <w:w w:val="85"/>
                <w:vertAlign w:val="superscript"/>
              </w:rPr>
              <w:t>(2)</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14.15</w:t>
            </w:r>
          </w:p>
        </w:tc>
      </w:tr>
      <w:tr>
        <w:trPr>
          <w:trHeight w:val="216"/>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103,500,000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7,245,000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56"/>
              <w:spacing w:after="0"/>
              <w:rPr>
                <w:sz w:val="20"/>
                <w:szCs w:val="20"/>
                <w:color w:val="auto"/>
              </w:rPr>
            </w:pPr>
            <w:r>
              <w:rPr>
                <w:rFonts w:ascii="Arial" w:cs="Arial" w:eastAsia="Arial" w:hAnsi="Arial"/>
                <w:sz w:val="18"/>
                <w:szCs w:val="18"/>
                <w:color w:val="auto"/>
                <w:w w:val="92"/>
              </w:rPr>
              <w:t>326,077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15.00</w:t>
            </w:r>
          </w:p>
        </w:tc>
      </w:tr>
      <w:tr>
        <w:trPr>
          <w:trHeight w:val="257"/>
        </w:trPr>
        <w:tc>
          <w:tcPr>
            <w:tcW w:w="2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May 11, 2012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112,125,000</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6,727,500</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line="256" w:lineRule="exact"/>
              <w:rPr>
                <w:sz w:val="20"/>
                <w:szCs w:val="20"/>
                <w:color w:val="auto"/>
              </w:rPr>
            </w:pPr>
            <w:r>
              <w:rPr>
                <w:rFonts w:ascii="Arial" w:cs="Arial" w:eastAsia="Arial" w:hAnsi="Arial"/>
                <w:sz w:val="18"/>
                <w:szCs w:val="18"/>
                <w:color w:val="auto"/>
                <w:w w:val="85"/>
              </w:rPr>
              <w:t>412,620</w:t>
            </w:r>
            <w:r>
              <w:rPr>
                <w:rFonts w:ascii="Arial" w:cs="Arial" w:eastAsia="Arial" w:hAnsi="Arial"/>
                <w:sz w:val="29"/>
                <w:szCs w:val="29"/>
                <w:color w:val="auto"/>
                <w:w w:val="85"/>
                <w:vertAlign w:val="superscript"/>
              </w:rPr>
              <w:t>(3)</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16.25</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56" w:lineRule="exact"/>
        <w:rPr>
          <w:sz w:val="20"/>
          <w:szCs w:val="20"/>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 — BASIC AND DILUTED</w:t>
      </w:r>
    </w:p>
    <w:p>
      <w:pPr>
        <w:spacing w:after="0" w:line="12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net assets resulting from operations per common share for the year ended December 31, 2013, December 31, 2012 and for the period from January 6, 2011 (date of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94"/>
              </w:rPr>
              <w:t>For the period from</w:t>
            </w:r>
          </w:p>
        </w:tc>
      </w:tr>
      <w:tr>
        <w:trPr>
          <w:trHeight w:val="149"/>
        </w:trPr>
        <w:tc>
          <w:tcPr>
            <w:tcW w:w="4700" w:type="dxa"/>
            <w:vAlign w:val="bottom"/>
          </w:tcPr>
          <w:p>
            <w:pPr>
              <w:spacing w:after="0"/>
              <w:rPr>
                <w:sz w:val="12"/>
                <w:szCs w:val="12"/>
                <w:color w:val="auto"/>
              </w:rPr>
            </w:pPr>
          </w:p>
        </w:tc>
        <w:tc>
          <w:tcPr>
            <w:tcW w:w="940" w:type="dxa"/>
            <w:vAlign w:val="bottom"/>
            <w:gridSpan w:val="2"/>
          </w:tcPr>
          <w:p>
            <w:pPr>
              <w:jc w:val="center"/>
              <w:ind w:left="1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January 6, 2011</w:t>
            </w: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 to</w:t>
            </w:r>
          </w:p>
        </w:tc>
      </w:t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Earnings per common share – basic:</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r>
      <w:tr>
        <w:trPr>
          <w:trHeight w:val="202"/>
        </w:trPr>
        <w:tc>
          <w:tcPr>
            <w:tcW w:w="4700" w:type="dxa"/>
            <w:vAlign w:val="bottom"/>
          </w:tcPr>
          <w:p>
            <w:pPr>
              <w:ind w:left="20"/>
              <w:spacing w:after="0" w:line="201" w:lineRule="exact"/>
              <w:rPr>
                <w:sz w:val="20"/>
                <w:szCs w:val="20"/>
                <w:color w:val="auto"/>
              </w:rPr>
            </w:pPr>
            <w:r>
              <w:rPr>
                <w:rFonts w:ascii="Arial" w:cs="Arial" w:eastAsia="Arial" w:hAnsi="Arial"/>
                <w:sz w:val="18"/>
                <w:szCs w:val="18"/>
                <w:color w:val="auto"/>
              </w:rPr>
              <w:t>Net increase (decrease) in net assets resulting from</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88"/>
              </w:rPr>
              <w:t>35,383,643</w:t>
            </w:r>
          </w:p>
        </w:tc>
        <w:tc>
          <w:tcPr>
            <w:tcW w:w="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0"/>
              </w:rPr>
              <w:t>(19,834,250)</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(3,613,664)</w:t>
            </w: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7"/>
        </w:trPr>
        <w:tc>
          <w:tcPr>
            <w:tcW w:w="470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Weighted average common shares outstanding – basic</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19,320,100</w:t>
            </w:r>
          </w:p>
        </w:tc>
        <w:tc>
          <w:tcPr>
            <w:tcW w:w="120" w:type="dxa"/>
            <w:vAlign w:val="bottom"/>
            <w:tcBorders>
              <w:lef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16,096,330</w:t>
            </w:r>
          </w:p>
        </w:tc>
        <w:tc>
          <w:tcPr>
            <w:tcW w:w="14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3,377,429</w:t>
            </w:r>
            <w:r>
              <w:rPr>
                <w:rFonts w:ascii="Arial" w:cs="Arial" w:eastAsia="Arial" w:hAnsi="Arial"/>
                <w:sz w:val="29"/>
                <w:szCs w:val="29"/>
                <w:color w:val="auto"/>
                <w:vertAlign w:val="superscript"/>
              </w:rPr>
              <w:t>(1)</w:t>
            </w:r>
          </w:p>
        </w:tc>
      </w:tr>
      <w:tr>
        <w:trPr>
          <w:trHeight w:val="20"/>
        </w:trPr>
        <w:tc>
          <w:tcPr>
            <w:tcW w:w="47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r>
      <w:tr>
        <w:trPr>
          <w:trHeight w:val="216"/>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Earnings per common share – diluted:</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r>
      <w:tr>
        <w:trPr>
          <w:trHeight w:val="202"/>
        </w:trPr>
        <w:tc>
          <w:tcPr>
            <w:tcW w:w="4700" w:type="dxa"/>
            <w:vAlign w:val="bottom"/>
          </w:tcPr>
          <w:p>
            <w:pPr>
              <w:ind w:left="20"/>
              <w:spacing w:after="0" w:line="201" w:lineRule="exact"/>
              <w:rPr>
                <w:sz w:val="20"/>
                <w:szCs w:val="20"/>
                <w:color w:val="auto"/>
              </w:rPr>
            </w:pPr>
            <w:r>
              <w:rPr>
                <w:rFonts w:ascii="Arial" w:cs="Arial" w:eastAsia="Arial" w:hAnsi="Arial"/>
                <w:sz w:val="18"/>
                <w:szCs w:val="18"/>
                <w:color w:val="auto"/>
                <w:w w:val="92"/>
              </w:rPr>
              <w:t>Net increase (decrease) in net assets resulting from operations,</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88"/>
              </w:rPr>
              <w:t>35,383,643</w:t>
            </w:r>
          </w:p>
        </w:tc>
        <w:tc>
          <w:tcPr>
            <w:tcW w:w="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before adjustments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2"/>
        </w:trPr>
        <w:tc>
          <w:tcPr>
            <w:tcW w:w="47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Adjustments for interest on convertible senior notes and</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9"/>
              </w:rPr>
              <w:t>1,269,217</w:t>
            </w:r>
          </w:p>
        </w:tc>
        <w:tc>
          <w:tcPr>
            <w:tcW w:w="1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tcBorders>
              <w:right w:val="single" w:sz="8" w:color="CCFFCC"/>
            </w:tcBorders>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280"/>
              <w:spacing w:after="0" w:line="201" w:lineRule="exact"/>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debt issuance costs</w:t>
            </w:r>
          </w:p>
        </w:tc>
        <w:tc>
          <w:tcPr>
            <w:tcW w:w="12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120" w:type="dxa"/>
            <w:vAlign w:val="bottom"/>
            <w:tcBorders>
              <w:left w:val="single" w:sz="8" w:color="CCFFCC"/>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right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r>
      <w:tr>
        <w:trPr>
          <w:trHeight w:val="195"/>
        </w:trPr>
        <w:tc>
          <w:tcPr>
            <w:tcW w:w="4700" w:type="dxa"/>
            <w:vAlign w:val="bottom"/>
          </w:tcPr>
          <w:p>
            <w:pPr>
              <w:ind w:left="20"/>
              <w:spacing w:after="0" w:line="195" w:lineRule="exact"/>
              <w:rPr>
                <w:sz w:val="20"/>
                <w:szCs w:val="20"/>
                <w:color w:val="auto"/>
              </w:rPr>
            </w:pPr>
            <w:r>
              <w:rPr>
                <w:rFonts w:ascii="Arial" w:cs="Arial" w:eastAsia="Arial" w:hAnsi="Arial"/>
                <w:sz w:val="18"/>
                <w:szCs w:val="18"/>
                <w:color w:val="auto"/>
                <w:w w:val="92"/>
              </w:rPr>
              <w:t>Net increase (decrease) in net assets resulting from operations,</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8"/>
              </w:rPr>
              <w:t>36,652,860</w:t>
            </w:r>
          </w:p>
        </w:tc>
        <w:tc>
          <w:tcPr>
            <w:tcW w:w="2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as adjusted</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19,320,100</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Adjustments for dilutive effect of convertible senior notes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1,220,914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20,541,014</w:t>
            </w: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-1751965</wp:posOffset>
            </wp:positionV>
            <wp:extent cx="5213985"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-920115</wp:posOffset>
            </wp:positionV>
            <wp:extent cx="5213985" cy="317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-182245</wp:posOffset>
            </wp:positionV>
            <wp:extent cx="521398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right="53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December 31, 2011 was calculated starting from the issuance of 100 shares on February 28, 2011.</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228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Year ended December</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Year ended December</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period from</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January 6, 2011</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 to</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r>
      <w:tr>
        <w:trPr>
          <w:trHeight w:val="216"/>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year/period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12.95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r>
      <w:tr>
        <w:trPr>
          <w:trHeight w:val="257"/>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FFCC"/>
          </w:tcPr>
          <w:p>
            <w:pPr>
              <w:spacing w:after="0"/>
              <w:rPr>
                <w:sz w:val="22"/>
                <w:szCs w:val="22"/>
                <w:color w:val="auto"/>
              </w:rPr>
            </w:pPr>
          </w:p>
        </w:tc>
        <w:tc>
          <w:tcPr>
            <w:tcW w:w="1320" w:type="dxa"/>
            <w:vAlign w:val="bottom"/>
            <w:tcBorders>
              <w:right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380" w:type="dxa"/>
            <w:vAlign w:val="bottom"/>
            <w:tcBorders>
              <w:right w:val="single" w:sz="8" w:color="CCFFCC"/>
            </w:tcBorders>
            <w:gridSpan w:val="2"/>
            <w:shd w:val="clear" w:color="auto" w:fill="CCFFCC"/>
          </w:tcPr>
          <w:p>
            <w:pPr>
              <w:jc w:val="right"/>
              <w:ind w:right="30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10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(4)</w:t>
            </w:r>
          </w:p>
        </w:tc>
      </w:tr>
      <w:tr>
        <w:trPr>
          <w:trHeight w:val="257"/>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Underwriters’ discount</w:t>
            </w:r>
          </w:p>
        </w:tc>
        <w:tc>
          <w:tcPr>
            <w:tcW w:w="100" w:type="dxa"/>
            <w:vAlign w:val="bottom"/>
          </w:tcPr>
          <w:p>
            <w:pPr>
              <w:spacing w:after="0"/>
              <w:rPr>
                <w:sz w:val="22"/>
                <w:szCs w:val="22"/>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32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r>
      <w:tr>
        <w:trPr>
          <w:trHeight w:val="257"/>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FFCC"/>
          </w:tcPr>
          <w:p>
            <w:pPr>
              <w:spacing w:after="0"/>
              <w:rPr>
                <w:sz w:val="22"/>
                <w:szCs w:val="22"/>
                <w:color w:val="auto"/>
              </w:rPr>
            </w:pPr>
          </w:p>
        </w:tc>
        <w:tc>
          <w:tcPr>
            <w:tcW w:w="1320" w:type="dxa"/>
            <w:vAlign w:val="bottom"/>
            <w:tcBorders>
              <w:right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380" w:type="dxa"/>
            <w:vAlign w:val="bottom"/>
            <w:tcBorders>
              <w:right w:val="single" w:sz="8" w:color="CCFFCC"/>
            </w:tcBorders>
            <w:gridSpan w:val="2"/>
            <w:shd w:val="clear" w:color="auto" w:fill="CCFFCC"/>
          </w:tcPr>
          <w:p>
            <w:pPr>
              <w:jc w:val="right"/>
              <w:ind w:right="24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10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2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r>
      <w:tr>
        <w:trPr>
          <w:trHeight w:val="257"/>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2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r>
      <w:tr>
        <w:trPr>
          <w:trHeight w:val="257"/>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FFCC"/>
          </w:tcPr>
          <w:p>
            <w:pPr>
              <w:spacing w:after="0"/>
              <w:rPr>
                <w:sz w:val="22"/>
                <w:szCs w:val="22"/>
                <w:color w:val="auto"/>
              </w:rPr>
            </w:pPr>
          </w:p>
        </w:tc>
        <w:tc>
          <w:tcPr>
            <w:tcW w:w="1320" w:type="dxa"/>
            <w:vAlign w:val="bottom"/>
            <w:tcBorders>
              <w:right w:val="single" w:sz="8" w:color="CCFFCC"/>
            </w:tcBorders>
            <w:gridSpan w:val="2"/>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(1.12)</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380" w:type="dxa"/>
            <w:vAlign w:val="bottom"/>
            <w:tcBorders>
              <w:right w:val="single" w:sz="8" w:color="CCFFCC"/>
            </w:tcBorders>
            <w:gridSpan w:val="2"/>
            <w:shd w:val="clear" w:color="auto" w:fill="CCFFCC"/>
          </w:tcPr>
          <w:p>
            <w:pPr>
              <w:jc w:val="right"/>
              <w:ind w:right="24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Benefit for taxes on net realized capital losses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r>
      <w:tr>
        <w:trPr>
          <w:trHeight w:val="242"/>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w w:val="92"/>
              </w:rPr>
              <w:t>Net change in unrealized appreciation (depreciation)</w:t>
            </w:r>
          </w:p>
        </w:tc>
        <w:tc>
          <w:tcPr>
            <w:tcW w:w="100" w:type="dxa"/>
            <w:vAlign w:val="bottom"/>
            <w:shd w:val="clear" w:color="auto" w:fill="CCFFCC"/>
          </w:tcPr>
          <w:p>
            <w:pPr>
              <w:spacing w:after="0"/>
              <w:rPr>
                <w:sz w:val="21"/>
                <w:szCs w:val="21"/>
                <w:color w:val="auto"/>
              </w:rPr>
            </w:pPr>
          </w:p>
        </w:tc>
        <w:tc>
          <w:tcPr>
            <w:tcW w:w="1320" w:type="dxa"/>
            <w:vAlign w:val="bottom"/>
            <w:tcBorders>
              <w:right w:val="single" w:sz="8" w:color="CCFFCC"/>
            </w:tcBorders>
            <w:gridSpan w:val="2"/>
            <w:shd w:val="clear" w:color="auto" w:fill="CCFFCC"/>
          </w:tcPr>
          <w:p>
            <w:pPr>
              <w:jc w:val="right"/>
              <w:ind w:right="240"/>
              <w:spacing w:after="0" w:line="242" w:lineRule="exact"/>
              <w:rPr>
                <w:sz w:val="20"/>
                <w:szCs w:val="20"/>
                <w:color w:val="auto"/>
              </w:rPr>
            </w:pPr>
            <w:r>
              <w:rPr>
                <w:rFonts w:ascii="Arial" w:cs="Arial" w:eastAsia="Arial" w:hAnsi="Arial"/>
                <w:sz w:val="17"/>
                <w:szCs w:val="17"/>
                <w:color w:val="auto"/>
              </w:rPr>
              <w:t>4.53</w:t>
            </w:r>
            <w:r>
              <w:rPr>
                <w:rFonts w:ascii="Arial" w:cs="Arial" w:eastAsia="Arial" w:hAnsi="Arial"/>
                <w:sz w:val="28"/>
                <w:szCs w:val="28"/>
                <w:color w:val="auto"/>
                <w:vertAlign w:val="superscript"/>
              </w:rPr>
              <w:t>(1)</w:t>
            </w:r>
          </w:p>
        </w:tc>
        <w:tc>
          <w:tcPr>
            <w:tcW w:w="100" w:type="dxa"/>
            <w:vAlign w:val="bottom"/>
            <w:shd w:val="clear" w:color="auto" w:fill="CCFFCC"/>
          </w:tcPr>
          <w:p>
            <w:pPr>
              <w:spacing w:after="0"/>
              <w:rPr>
                <w:sz w:val="21"/>
                <w:szCs w:val="21"/>
                <w:color w:val="auto"/>
              </w:rPr>
            </w:pPr>
          </w:p>
        </w:tc>
        <w:tc>
          <w:tcPr>
            <w:tcW w:w="1380" w:type="dxa"/>
            <w:vAlign w:val="bottom"/>
            <w:tcBorders>
              <w:right w:val="single" w:sz="8" w:color="CCFFCC"/>
            </w:tcBorders>
            <w:gridSpan w:val="2"/>
            <w:shd w:val="clear" w:color="auto" w:fill="CCFFCC"/>
          </w:tcPr>
          <w:p>
            <w:pPr>
              <w:jc w:val="right"/>
              <w:ind w:right="240"/>
              <w:spacing w:after="0" w:line="242" w:lineRule="exact"/>
              <w:rPr>
                <w:sz w:val="20"/>
                <w:szCs w:val="20"/>
                <w:color w:val="auto"/>
              </w:rPr>
            </w:pPr>
            <w:r>
              <w:rPr>
                <w:rFonts w:ascii="Arial" w:cs="Arial" w:eastAsia="Arial" w:hAnsi="Arial"/>
                <w:sz w:val="17"/>
                <w:szCs w:val="17"/>
                <w:color w:val="auto"/>
              </w:rPr>
              <w:t>(0.43)</w:t>
            </w:r>
            <w:r>
              <w:rPr>
                <w:rFonts w:ascii="Arial" w:cs="Arial" w:eastAsia="Arial" w:hAnsi="Arial"/>
                <w:sz w:val="28"/>
                <w:szCs w:val="28"/>
                <w:color w:val="auto"/>
                <w:vertAlign w:val="superscript"/>
              </w:rPr>
              <w:t>(5)</w:t>
            </w:r>
          </w:p>
        </w:tc>
        <w:tc>
          <w:tcPr>
            <w:tcW w:w="1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20"/>
              <w:spacing w:after="0" w:line="242" w:lineRule="exact"/>
              <w:rPr>
                <w:sz w:val="20"/>
                <w:szCs w:val="20"/>
                <w:color w:val="auto"/>
              </w:rPr>
            </w:pPr>
            <w:r>
              <w:rPr>
                <w:rFonts w:ascii="Arial" w:cs="Arial" w:eastAsia="Arial" w:hAnsi="Arial"/>
                <w:sz w:val="17"/>
                <w:szCs w:val="17"/>
                <w:color w:val="auto"/>
              </w:rPr>
              <w:t>(0.30)</w:t>
            </w:r>
            <w:r>
              <w:rPr>
                <w:rFonts w:ascii="Arial" w:cs="Arial" w:eastAsia="Arial" w:hAnsi="Arial"/>
                <w:sz w:val="28"/>
                <w:szCs w:val="28"/>
                <w:color w:val="auto"/>
                <w:vertAlign w:val="superscript"/>
              </w:rPr>
              <w:t>(2)</w:t>
            </w:r>
          </w:p>
        </w:tc>
      </w:tr>
      <w:tr>
        <w:trPr>
          <w:trHeight w:val="230"/>
        </w:trPr>
        <w:tc>
          <w:tcPr>
            <w:tcW w:w="20" w:type="dxa"/>
            <w:vAlign w:val="bottom"/>
            <w:shd w:val="clear" w:color="auto" w:fill="CCFFCC"/>
          </w:tcPr>
          <w:p>
            <w:pPr>
              <w:spacing w:after="0"/>
              <w:rPr>
                <w:sz w:val="20"/>
                <w:szCs w:val="20"/>
                <w:color w:val="auto"/>
              </w:rPr>
            </w:pPr>
          </w:p>
        </w:tc>
        <w:tc>
          <w:tcPr>
            <w:tcW w:w="39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on investments</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2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8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r>
      <w:tr>
        <w:trPr>
          <w:trHeight w:val="202"/>
        </w:trPr>
        <w:tc>
          <w:tcPr>
            <w:tcW w:w="39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00" w:type="dxa"/>
            <w:vAlign w:val="bottom"/>
          </w:tcPr>
          <w:p>
            <w:pPr>
              <w:spacing w:after="0"/>
              <w:rPr>
                <w:sz w:val="17"/>
                <w:szCs w:val="17"/>
                <w:color w:val="auto"/>
              </w:rPr>
            </w:pPr>
          </w:p>
        </w:tc>
        <w:tc>
          <w:tcPr>
            <w:tcW w:w="13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c>
          <w:tcPr>
            <w:tcW w:w="13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asset value at end of year/period</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14.91</w:t>
            </w:r>
          </w:p>
        </w:tc>
        <w:tc>
          <w:tcPr>
            <w:tcW w:w="42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FFCC"/>
            </w:tcBorders>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12.95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year/period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13.95</w:t>
            </w:r>
          </w:p>
        </w:tc>
      </w:tr>
      <w:tr>
        <w:trPr>
          <w:trHeight w:val="257"/>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shd w:val="clear" w:color="auto" w:fill="CCFFCC"/>
          </w:tcPr>
          <w:p>
            <w:pPr>
              <w:spacing w:after="0"/>
              <w:rPr>
                <w:sz w:val="22"/>
                <w:szCs w:val="22"/>
                <w:color w:val="auto"/>
              </w:rPr>
            </w:pPr>
          </w:p>
        </w:tc>
        <w:tc>
          <w:tcPr>
            <w:tcW w:w="1320" w:type="dxa"/>
            <w:vAlign w:val="bottom"/>
            <w:tcBorders>
              <w:right w:val="single" w:sz="8" w:color="CCFFCC"/>
            </w:tcBorders>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43.42%</w:t>
            </w:r>
            <w:r>
              <w:rPr>
                <w:rFonts w:ascii="Arial" w:cs="Arial" w:eastAsia="Arial" w:hAnsi="Arial"/>
                <w:sz w:val="29"/>
                <w:szCs w:val="29"/>
                <w:color w:val="auto"/>
                <w:vertAlign w:val="superscript"/>
              </w:rPr>
              <w:t>(6)</w:t>
            </w:r>
          </w:p>
        </w:tc>
        <w:tc>
          <w:tcPr>
            <w:tcW w:w="100" w:type="dxa"/>
            <w:vAlign w:val="bottom"/>
            <w:shd w:val="clear" w:color="auto" w:fill="CCFFCC"/>
          </w:tcPr>
          <w:p>
            <w:pPr>
              <w:spacing w:after="0"/>
              <w:rPr>
                <w:sz w:val="22"/>
                <w:szCs w:val="22"/>
                <w:color w:val="auto"/>
              </w:rPr>
            </w:pPr>
          </w:p>
        </w:tc>
        <w:tc>
          <w:tcPr>
            <w:tcW w:w="1380" w:type="dxa"/>
            <w:vAlign w:val="bottom"/>
            <w:tcBorders>
              <w:right w:val="single" w:sz="8" w:color="CCFFCC"/>
            </w:tcBorders>
            <w:gridSpan w:val="2"/>
            <w:shd w:val="clear" w:color="auto" w:fill="CCFFCC"/>
          </w:tcPr>
          <w:p>
            <w:pPr>
              <w:jc w:val="right"/>
              <w:ind w:right="8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(6)</w:t>
            </w:r>
          </w:p>
        </w:tc>
        <w:tc>
          <w:tcPr>
            <w:tcW w:w="10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8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r>
      <w:tr>
        <w:trPr>
          <w:trHeight w:val="257"/>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tcPr>
          <w:p>
            <w:pPr>
              <w:spacing w:after="0"/>
              <w:rPr>
                <w:sz w:val="22"/>
                <w:szCs w:val="22"/>
                <w:color w:val="auto"/>
              </w:rPr>
            </w:pPr>
          </w:p>
        </w:tc>
        <w:tc>
          <w:tcPr>
            <w:tcW w:w="132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14.08%</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3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320" w:type="dxa"/>
            <w:vAlign w:val="bottom"/>
            <w:gridSpan w:val="2"/>
          </w:tcPr>
          <w:p>
            <w:pPr>
              <w:jc w:val="right"/>
              <w:ind w:right="80"/>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r>
      <w:tr>
        <w:trPr>
          <w:trHeight w:val="216"/>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FFCC"/>
          </w:tcPr>
          <w:p>
            <w:pPr>
              <w:spacing w:after="0"/>
              <w:rPr>
                <w:sz w:val="18"/>
                <w:szCs w:val="18"/>
                <w:color w:val="auto"/>
              </w:rPr>
            </w:pPr>
          </w:p>
        </w:tc>
        <w:tc>
          <w:tcPr>
            <w:tcW w:w="1320" w:type="dxa"/>
            <w:vAlign w:val="bottom"/>
            <w:tcBorders>
              <w:right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color w:val="auto"/>
                <w:w w:val="97"/>
              </w:rPr>
              <w:t>19,320,100</w:t>
            </w:r>
          </w:p>
        </w:tc>
        <w:tc>
          <w:tcPr>
            <w:tcW w:w="10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480"/>
              <w:spacing w:after="0"/>
              <w:rPr>
                <w:sz w:val="20"/>
                <w:szCs w:val="20"/>
                <w:color w:val="auto"/>
              </w:rPr>
            </w:pPr>
            <w:r>
              <w:rPr>
                <w:rFonts w:ascii="Arial" w:cs="Arial" w:eastAsia="Arial" w:hAnsi="Arial"/>
                <w:sz w:val="18"/>
                <w:szCs w:val="18"/>
                <w:color w:val="auto"/>
                <w:w w:val="97"/>
              </w:rPr>
              <w:t>19,320,100</w:t>
            </w: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5,520,100</w:t>
            </w:r>
          </w:p>
        </w:tc>
      </w:tr>
      <w:tr>
        <w:trPr>
          <w:trHeight w:val="216"/>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39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assets at end of year/period</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color w:val="auto"/>
                <w:w w:val="87"/>
              </w:rPr>
              <w:t>287,966,444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FFCC"/>
            </w:tcBorders>
            <w:gridSpan w:val="2"/>
            <w:shd w:val="clear" w:color="auto" w:fill="CCFFCC"/>
          </w:tcPr>
          <w:p>
            <w:pPr>
              <w:jc w:val="right"/>
              <w:ind w:right="480"/>
              <w:spacing w:after="0"/>
              <w:rPr>
                <w:sz w:val="20"/>
                <w:szCs w:val="20"/>
                <w:color w:val="auto"/>
              </w:rPr>
            </w:pPr>
            <w:r>
              <w:rPr>
                <w:rFonts w:ascii="Arial" w:cs="Arial" w:eastAsia="Arial" w:hAnsi="Arial"/>
                <w:sz w:val="18"/>
                <w:szCs w:val="18"/>
                <w:color w:val="auto"/>
                <w:w w:val="87"/>
              </w:rPr>
              <w:t>252,582,801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w w:val="93"/>
              </w:rPr>
              <w:t>71,503,248</w:t>
            </w:r>
          </w:p>
        </w:tc>
      </w:tr>
      <w:tr>
        <w:trPr>
          <w:trHeight w:val="216"/>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250,121,052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208,050,344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44,532,523</w:t>
            </w:r>
          </w:p>
        </w:tc>
      </w:tr>
      <w:tr>
        <w:trPr>
          <w:trHeight w:val="205"/>
        </w:trPr>
        <w:tc>
          <w:tcPr>
            <w:tcW w:w="392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w:t>
            </w:r>
          </w:p>
        </w:tc>
        <w:tc>
          <w:tcPr>
            <w:tcW w:w="100" w:type="dxa"/>
            <w:vAlign w:val="bottom"/>
            <w:shd w:val="clear" w:color="auto" w:fill="CCFFCC"/>
          </w:tcPr>
          <w:p>
            <w:pPr>
              <w:spacing w:after="0"/>
              <w:rPr>
                <w:sz w:val="17"/>
                <w:szCs w:val="17"/>
                <w:color w:val="auto"/>
              </w:rPr>
            </w:pPr>
          </w:p>
        </w:tc>
        <w:tc>
          <w:tcPr>
            <w:tcW w:w="1320" w:type="dxa"/>
            <w:vAlign w:val="bottom"/>
            <w:tcBorders>
              <w:right w:val="single" w:sz="8" w:color="CCFFCC"/>
            </w:tcBorders>
            <w:gridSpan w:val="2"/>
            <w:shd w:val="clear" w:color="auto" w:fill="CCFFCC"/>
          </w:tcPr>
          <w:p>
            <w:pPr>
              <w:jc w:val="right"/>
              <w:ind w:right="280"/>
              <w:spacing w:after="0" w:line="206" w:lineRule="exact"/>
              <w:rPr>
                <w:sz w:val="20"/>
                <w:szCs w:val="20"/>
                <w:color w:val="auto"/>
              </w:rPr>
            </w:pPr>
            <w:r>
              <w:rPr>
                <w:rFonts w:ascii="Arial" w:cs="Arial" w:eastAsia="Arial" w:hAnsi="Arial"/>
                <w:sz w:val="18"/>
                <w:szCs w:val="18"/>
                <w:color w:val="auto"/>
              </w:rPr>
              <w:t>8.83%</w:t>
            </w:r>
          </w:p>
        </w:tc>
        <w:tc>
          <w:tcPr>
            <w:tcW w:w="100" w:type="dxa"/>
            <w:vAlign w:val="bottom"/>
            <w:shd w:val="clear" w:color="auto" w:fill="CCFFCC"/>
          </w:tcPr>
          <w:p>
            <w:pPr>
              <w:spacing w:after="0"/>
              <w:rPr>
                <w:sz w:val="17"/>
                <w:szCs w:val="17"/>
                <w:color w:val="auto"/>
              </w:rPr>
            </w:pPr>
          </w:p>
        </w:tc>
        <w:tc>
          <w:tcPr>
            <w:tcW w:w="1380" w:type="dxa"/>
            <w:vAlign w:val="bottom"/>
            <w:tcBorders>
              <w:right w:val="single" w:sz="8" w:color="CCFFCC"/>
            </w:tcBorders>
            <w:gridSpan w:val="2"/>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4.10%</w:t>
            </w:r>
          </w:p>
        </w:tc>
        <w:tc>
          <w:tcPr>
            <w:tcW w:w="10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20" w:type="dxa"/>
            <w:vAlign w:val="bottom"/>
            <w:shd w:val="clear" w:color="auto" w:fill="CCFFCC"/>
          </w:tcPr>
          <w:p>
            <w:pPr>
              <w:spacing w:after="0"/>
              <w:rPr>
                <w:sz w:val="23"/>
                <w:szCs w:val="23"/>
                <w:color w:val="auto"/>
              </w:rPr>
            </w:pPr>
          </w:p>
        </w:tc>
        <w:tc>
          <w:tcPr>
            <w:tcW w:w="390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2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8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460" w:type="dxa"/>
            <w:vAlign w:val="bottom"/>
            <w:shd w:val="clear" w:color="auto" w:fill="CCFFCC"/>
          </w:tcPr>
          <w:p>
            <w:pPr>
              <w:spacing w:after="0"/>
              <w:rPr>
                <w:sz w:val="23"/>
                <w:szCs w:val="23"/>
                <w:color w:val="auto"/>
              </w:rPr>
            </w:pPr>
          </w:p>
        </w:tc>
      </w:tr>
      <w:tr>
        <w:trPr>
          <w:trHeight w:val="205"/>
        </w:trPr>
        <w:tc>
          <w:tcPr>
            <w:tcW w:w="392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100" w:type="dxa"/>
            <w:vAlign w:val="bottom"/>
          </w:tcPr>
          <w:p>
            <w:pPr>
              <w:spacing w:after="0"/>
              <w:rPr>
                <w:sz w:val="17"/>
                <w:szCs w:val="17"/>
                <w:color w:val="auto"/>
              </w:rPr>
            </w:pPr>
          </w:p>
        </w:tc>
        <w:tc>
          <w:tcPr>
            <w:tcW w:w="132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8.83%</w:t>
            </w:r>
          </w:p>
        </w:tc>
        <w:tc>
          <w:tcPr>
            <w:tcW w:w="100" w:type="dxa"/>
            <w:vAlign w:val="bottom"/>
          </w:tcPr>
          <w:p>
            <w:pPr>
              <w:spacing w:after="0"/>
              <w:rPr>
                <w:sz w:val="17"/>
                <w:szCs w:val="17"/>
                <w:color w:val="auto"/>
              </w:rPr>
            </w:pPr>
          </w:p>
        </w:tc>
        <w:tc>
          <w:tcPr>
            <w:tcW w:w="1380" w:type="dxa"/>
            <w:vAlign w:val="bottom"/>
            <w:gridSpan w:val="2"/>
          </w:tcPr>
          <w:p>
            <w:pPr>
              <w:jc w:val="right"/>
              <w:ind w:right="320"/>
              <w:spacing w:after="0" w:line="206" w:lineRule="exact"/>
              <w:rPr>
                <w:sz w:val="20"/>
                <w:szCs w:val="20"/>
                <w:color w:val="auto"/>
              </w:rPr>
            </w:pPr>
            <w:r>
              <w:rPr>
                <w:rFonts w:ascii="Arial" w:cs="Arial" w:eastAsia="Arial" w:hAnsi="Arial"/>
                <w:sz w:val="18"/>
                <w:szCs w:val="18"/>
                <w:color w:val="auto"/>
              </w:rPr>
              <w:t>4.10%</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20" w:type="dxa"/>
            <w:vAlign w:val="bottom"/>
          </w:tcPr>
          <w:p>
            <w:pPr>
              <w:spacing w:after="0"/>
              <w:rPr>
                <w:sz w:val="23"/>
                <w:szCs w:val="23"/>
                <w:color w:val="auto"/>
              </w:rPr>
            </w:pPr>
          </w:p>
        </w:tc>
        <w:tc>
          <w:tcPr>
            <w:tcW w:w="39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05"/>
        </w:trPr>
        <w:tc>
          <w:tcPr>
            <w:tcW w:w="392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w w:val="97"/>
              </w:rPr>
              <w:t>Annualized ratio of net investment loss to average</w:t>
            </w:r>
          </w:p>
        </w:tc>
        <w:tc>
          <w:tcPr>
            <w:tcW w:w="100" w:type="dxa"/>
            <w:vAlign w:val="bottom"/>
            <w:shd w:val="clear" w:color="auto" w:fill="CCFFCC"/>
          </w:tcPr>
          <w:p>
            <w:pPr>
              <w:spacing w:after="0"/>
              <w:rPr>
                <w:sz w:val="17"/>
                <w:szCs w:val="17"/>
                <w:color w:val="auto"/>
              </w:rPr>
            </w:pPr>
          </w:p>
        </w:tc>
        <w:tc>
          <w:tcPr>
            <w:tcW w:w="1320" w:type="dxa"/>
            <w:vAlign w:val="bottom"/>
            <w:tcBorders>
              <w:right w:val="single" w:sz="8" w:color="CCFFCC"/>
            </w:tcBorders>
            <w:gridSpan w:val="2"/>
            <w:shd w:val="clear" w:color="auto" w:fill="CCFFCC"/>
          </w:tcPr>
          <w:p>
            <w:pPr>
              <w:jc w:val="right"/>
              <w:ind w:right="220"/>
              <w:spacing w:after="0" w:line="206"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FFCC"/>
          </w:tcPr>
          <w:p>
            <w:pPr>
              <w:spacing w:after="0"/>
              <w:rPr>
                <w:sz w:val="17"/>
                <w:szCs w:val="17"/>
                <w:color w:val="auto"/>
              </w:rPr>
            </w:pPr>
          </w:p>
        </w:tc>
        <w:tc>
          <w:tcPr>
            <w:tcW w:w="1380" w:type="dxa"/>
            <w:vAlign w:val="bottom"/>
            <w:tcBorders>
              <w:right w:val="single" w:sz="8" w:color="CCFFCC"/>
            </w:tcBorders>
            <w:gridSpan w:val="2"/>
            <w:shd w:val="clear" w:color="auto" w:fill="CCFFCC"/>
          </w:tcPr>
          <w:p>
            <w:pPr>
              <w:jc w:val="right"/>
              <w:ind w:right="260"/>
              <w:spacing w:after="0" w:line="206" w:lineRule="exact"/>
              <w:rPr>
                <w:sz w:val="20"/>
                <w:szCs w:val="20"/>
                <w:color w:val="auto"/>
              </w:rPr>
            </w:pPr>
            <w:r>
              <w:rPr>
                <w:rFonts w:ascii="Arial" w:cs="Arial" w:eastAsia="Arial" w:hAnsi="Arial"/>
                <w:sz w:val="18"/>
                <w:szCs w:val="18"/>
                <w:color w:val="auto"/>
              </w:rPr>
              <w:t>(3.98)%</w:t>
            </w:r>
          </w:p>
        </w:tc>
        <w:tc>
          <w:tcPr>
            <w:tcW w:w="10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260"/>
              <w:spacing w:after="0" w:line="206" w:lineRule="exact"/>
              <w:rPr>
                <w:sz w:val="20"/>
                <w:szCs w:val="20"/>
                <w:color w:val="auto"/>
              </w:rPr>
            </w:pPr>
            <w:r>
              <w:rPr>
                <w:rFonts w:ascii="Arial" w:cs="Arial" w:eastAsia="Arial" w:hAnsi="Arial"/>
                <w:sz w:val="18"/>
                <w:szCs w:val="18"/>
                <w:color w:val="auto"/>
              </w:rPr>
              <w:t>(4.64)%</w:t>
            </w:r>
          </w:p>
        </w:tc>
      </w:tr>
      <w:tr>
        <w:trPr>
          <w:trHeight w:val="267"/>
        </w:trPr>
        <w:tc>
          <w:tcPr>
            <w:tcW w:w="20" w:type="dxa"/>
            <w:vAlign w:val="bottom"/>
            <w:shd w:val="clear" w:color="auto" w:fill="CCFFCC"/>
          </w:tcPr>
          <w:p>
            <w:pPr>
              <w:spacing w:after="0"/>
              <w:rPr>
                <w:sz w:val="23"/>
                <w:szCs w:val="23"/>
                <w:color w:val="auto"/>
              </w:rPr>
            </w:pPr>
          </w:p>
        </w:tc>
        <w:tc>
          <w:tcPr>
            <w:tcW w:w="390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net assets</w:t>
            </w:r>
            <w:r>
              <w:rPr>
                <w:rFonts w:ascii="Arial" w:cs="Arial" w:eastAsia="Arial" w:hAnsi="Arial"/>
                <w:sz w:val="30"/>
                <w:szCs w:val="30"/>
                <w:color w:val="auto"/>
                <w:vertAlign w:val="superscript"/>
              </w:rPr>
              <w:t>(8)</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2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8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460" w:type="dxa"/>
            <w:vAlign w:val="bottom"/>
            <w:shd w:val="clear" w:color="auto" w:fill="CCFFCC"/>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-2125980</wp:posOffset>
            </wp:positionV>
            <wp:extent cx="522287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22875" cy="1714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year/period.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280" w:right="519" w:hanging="272"/>
        <w:spacing w:after="0" w:line="293"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jc w:val="both"/>
        <w:ind w:left="280" w:right="519" w:hanging="272"/>
        <w:spacing w:after="0" w:line="259" w:lineRule="auto"/>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280" w:right="519" w:hanging="272"/>
        <w:spacing w:after="0" w:line="272" w:lineRule="auto"/>
        <w:tabs>
          <w:tab w:leader="none" w:pos="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2013,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Company and its wholly-owned subsidiaries are currently taxable as C Corporations and subject to federal and state corporate income taxes. These subsidiaries hold certain pass-through companies in connection with the Company’s proposed qualification as a RIC beginning with its 2013 taxable year. Neither the Company nor its subsidiaries recorded a current income tax expense or benefit during the year ended December 31, 2013 since they had net operating loss and capital loss carryforwards from prior years and a net operating loss and a net capital loss for the 2013 tax year.</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and its wholly-owned subsidiaries recorded deferred income tax benefits and expenses during the year ended December 31, 2013, which consisted primarily of temporary difference related to certain expenses, net operating losses, capital losses and temporary differences arising from differences between the tax basis and financial reporting basis in underlying investments.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December 31, 2013 and December 31, 2012, the total amount of gross deferred tax assets before valuation allowance was $22,872,255 and $9,339,305, respectively. As of December 31, 2013 and December 31, 2012, the total amount of gross deferred tax liabilities was $30,906,063 and $0, respectively. The federal and state net operating losses will expire in 2031 – 2034. The federal and state capital losses will expire in 2017 – 2018.</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deferred tax assets and liabilities as of December 31, 2013 and December 31, 2012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7510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9,108,833</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4,109,160</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capital loss carryforwards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9,426,234</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549,861</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Incentive fees and other timing differences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4,337,188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Basis differences in investments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4,680,284</w:t>
            </w:r>
          </w:p>
        </w:tc>
      </w:tr>
      <w:tr>
        <w:trPr>
          <w:trHeight w:val="20"/>
        </w:trPr>
        <w:tc>
          <w:tcPr>
            <w:tcW w:w="53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5360" w:type="dxa"/>
            <w:vAlign w:val="bottom"/>
          </w:tcPr>
          <w:p>
            <w:pPr>
              <w:ind w:left="200"/>
              <w:spacing w:after="0"/>
              <w:rPr>
                <w:sz w:val="20"/>
                <w:szCs w:val="20"/>
                <w:color w:val="auto"/>
              </w:rPr>
            </w:pPr>
            <w:r>
              <w:rPr>
                <w:rFonts w:ascii="Arial" w:cs="Arial" w:eastAsia="Arial" w:hAnsi="Arial"/>
                <w:sz w:val="18"/>
                <w:szCs w:val="18"/>
                <w:color w:val="auto"/>
              </w:rPr>
              <w:t>Total gross deferred tax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22,872,255</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9,339,305</w:t>
            </w:r>
          </w:p>
        </w:tc>
      </w:tr>
      <w:tr>
        <w:trPr>
          <w:trHeight w:val="20"/>
        </w:trPr>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Less: valuation allowance</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(286,753)</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(9,339,305)</w:t>
            </w:r>
          </w:p>
        </w:tc>
      </w:tr>
      <w:tr>
        <w:trPr>
          <w:trHeight w:val="20"/>
        </w:trPr>
        <w:tc>
          <w:tcPr>
            <w:tcW w:w="53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5360" w:type="dxa"/>
            <w:vAlign w:val="bottom"/>
          </w:tcPr>
          <w:p>
            <w:pPr>
              <w:ind w:left="380"/>
              <w:spacing w:after="0"/>
              <w:rPr>
                <w:sz w:val="20"/>
                <w:szCs w:val="20"/>
                <w:color w:val="auto"/>
              </w:rPr>
            </w:pPr>
            <w:r>
              <w:rPr>
                <w:rFonts w:ascii="Arial" w:cs="Arial" w:eastAsia="Arial" w:hAnsi="Arial"/>
                <w:sz w:val="18"/>
                <w:szCs w:val="18"/>
                <w:color w:val="auto"/>
              </w:rPr>
              <w:t>Net deferred tax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22,585,502</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tax liabilities:</w:t>
            </w: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Basis differences in investments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30,906,063</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deferred tax liabilities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30,906,063</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-874395</wp:posOffset>
            </wp:positionV>
            <wp:extent cx="475107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475107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During 2013, the Company released valuation allowance of $9,052,552 as it had net deferred tax liabilities at December 31, 2013. The Company’s valuation allowance of $286,753 comes from its wholly-owned subsidiary, GSVC AE Holdings, Inc. The Company believes it is less than more-likely-than-not that the benefit of this net operating loss carryforward will be realized before its expiration.</w:t>
      </w:r>
    </w:p>
    <w:p>
      <w:pPr>
        <w:spacing w:after="0" w:line="7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difference between the tax provision (benefit) at the statutory federal income tax rate and the tax provision (benefit)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339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6"/>
                <w:szCs w:val="16"/>
                <w:color w:val="auto"/>
              </w:rPr>
            </w:pPr>
          </w:p>
        </w:tc>
      </w:tr>
      <w:tr>
        <w:trPr>
          <w:trHeight w:val="210"/>
        </w:trPr>
        <w:tc>
          <w:tcPr>
            <w:tcW w:w="4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 federal income tax at statutory rate</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35.00%</w:t>
            </w:r>
          </w:p>
        </w:tc>
        <w:tc>
          <w:tcPr>
            <w:tcW w:w="10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34.00%</w:t>
            </w:r>
          </w:p>
        </w:tc>
        <w:tc>
          <w:tcPr>
            <w:tcW w:w="11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34.00%</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5.83%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5.83%</w:t>
            </w:r>
          </w:p>
        </w:tc>
      </w:tr>
      <w:tr>
        <w:trPr>
          <w:trHeight w:val="216"/>
        </w:trPr>
        <w:tc>
          <w:tcPr>
            <w:tcW w:w="4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Valuation allowance</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(21.71%)</w:t>
            </w: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(39.83%)</w:t>
            </w:r>
          </w:p>
        </w:tc>
        <w:tc>
          <w:tcPr>
            <w:tcW w:w="11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(39.83%)</w:t>
            </w:r>
          </w:p>
        </w:tc>
      </w:tr>
      <w:tr>
        <w:trPr>
          <w:trHeight w:val="20"/>
        </w:trPr>
        <w:tc>
          <w:tcPr>
            <w:tcW w:w="44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224"/>
        </w:trPr>
        <w:tc>
          <w:tcPr>
            <w:tcW w:w="442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19.04%</w:t>
            </w: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-154305</wp:posOffset>
            </wp:positionV>
            <wp:extent cx="475107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59"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Company may elect to file an election to be treated for federal income tax purposes as a RIC effective for the 2013 tax year. The Company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(an “SEC Certification”) for the 2013 taxable year. On December 4, 2013, the Company filed an application with the SEC for an SEC Certification for the 2013 taxable year, but no assurance can be given that it will receive an SEC Certification. In the event that it does not receive such SEC Certification, the Company will be taxed as a C Corporation.</w:t>
      </w:r>
    </w:p>
    <w:p>
      <w:pPr>
        <w:spacing w:after="0" w:line="70"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become a C corporation in the future. In the event that the Company qualifies as a RIC, the Company itself will no longer be required to recognize deferred tax assets or liabilities.</w:t>
      </w:r>
    </w:p>
    <w:p>
      <w:pPr>
        <w:spacing w:after="0" w:line="62"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did not have any unrecognized tax benefits as of the period presented herein. The Company identified its major tax jurisdictions as U.S. federal and California. For the year ended December 31, 2013, no income tax expenses or related liabilities for uncertain tax positions were recognized for the Company’s open tax years from inception through 2013. The Company is not aware of any tax positions for which it is reasonably possible that the total amount of unrecognized tax benefits will change significantly in the next 12 months.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the Company’s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7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These funds were used to purchase $10,845,236 of government securities. These government securities are shown on the consolidated schedule of investments. The excess funds of $22,264 remaining from the purchase of government securities held in escrow will be used to secure the payment of the notes and is included on the Consolidated Statements of Assets and Liabilities. Proceeds from the issuance of the Convertible Senior Notes were offset by offering costs of approximately $3,585,929 that are being amortized over the term of the notes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December 31, 2013, of the total offering costs of $3,585,929 incurred, $3,378,121 remains to be amortized and is included within deferred debt issuance costs on the Consolidated Statements of Assets and Liabilities.</w:t>
      </w:r>
    </w:p>
    <w:p>
      <w:pPr>
        <w:spacing w:after="0" w:line="8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December 31, 2013, the principal amount of the Convertible Senior Notes exceeded the value of the underlying shares multiplied by the per share closing price of the Company’s common stock.</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December 31, 2013 is $799,000 as shown on the Consolidated Statement of Assets and Liabilities. The $99,000 increase in the estimated fair value of the embedded derivative between the initial measurement date, September 17, 2013 and December 31, 2013 represents a loss from change in fair value of embedded derivative as shown on the Consolidated Statement of Operations and Consolidated Statement of Cash Flows.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the new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the Company has made certain customary representations and warranties and the Company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4"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Credit Facility is secured by all of the Company’s property and assets, except for its assets pledged to secure certain obligations in connection with the issuance, in September 2013, of the Convertible Senior Notes and, as provided for in the Loan Agreement, as may be pledged in connection with any future issuance by the Company of convertible senior notes on substantially similar terms.</w:t>
      </w:r>
    </w:p>
    <w:p>
      <w:pPr>
        <w:spacing w:after="0" w:line="79"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Borrowing under the Credit Facility is subject to the leverage restrictions contained in the Investment Company Act of 1940, as amended. In addition, under the Loan Agreement, and as provided for therein, the Company has agreed not to incur certain additional permitted indebtedness in an aggregate amount exceeding 50% of the Company’s then-applicable net asset value.</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Subsequent to December 31, 2013, the Company purchased investments for $13,805,207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$2,984,530, plus transaction costs, in StormWind, LLC, an interactive learning platform, on January 7, 2014.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 investment of $107,725, plus transaction costs, in StormWind, LLC, an interactive learning platform, on February 25, 2014.</w:t>
      </w:r>
    </w:p>
    <w:p>
      <w:pPr>
        <w:spacing w:after="0" w:line="11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investment of $198,000, plus transaction costs, in NestGSV, Inc., an incubator company, on January 29, 2014. An investment of $99,000, plus transaction costs, in NestGSV, Inc., an incubator company, on March 4, 2014.</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$430,000, plus transaction costs, in Dailybreak, Inc, a social advertising company, on February 11,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$232,104, plus transaction costs, in AlwaysOn Inc, a social media company, on February 14,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$482,146, plus transaction costs, in EdSurge, Inc, an education technology company, on February 18, 2014.</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$1,280,000, plus transaction costs, in Fullbridge, Inc., a business education company, on February 19, 2014.</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$4,996,044, plus transaction costs, in JAMF Software Inc., a software services company, on February 28, 2014.</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$2,995,658, plus transaction costs, in General Assembly Inc., an education company, on March 6, 2014.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December 31, 2013, the Company sold investments for $13,120,776, plus transaction costs as follows:</w:t>
      </w:r>
    </w:p>
    <w:p>
      <w:pPr>
        <w:spacing w:after="0" w:line="12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January 31, 2014, the Company sold a total of 25,000 and 50,000 shares of its investment in Facebook, Inc. at a price of $60.08 and $61.18 per share plus transaction costs for net proceeds of $1,500,599 and $3,058,437. On February 3, 2014, the Company sold a total of 25,000 shares of its investment in Facebook, Inc. at a price of $61.06 per share plus transaction costs for net proceeds of $1,526,163. On February 19, 2014 the Company sold a total of 25,000 shares of its investment in Facebook, Inc. at a price of $65.06 per share plus transaction costs for net proceeds of $1,626,232. On February 27, 2014 the Company sold a total of 25,000 shares of its investment in Facebook, Inc. at a price of $70.02 per share plus transaction costs for net proceeds of $1,750,095. The Company continues to hold 25,000 shares of Facebook, Inc. as of March 17, 2014.</w:t>
      </w:r>
    </w:p>
    <w:p>
      <w:pPr>
        <w:spacing w:after="0" w:line="70"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On February 10, 2014, the Company sold a total of 4,000 shares of its investment in Control4 Corporation at a price of $21.03 per share plus transaction costs for $83,991. On February 12, 2014, the Company sold a total of 30,000 shares of its investment in Control4 Corporation at a price of $21.58 per share plus transaction costs for net proceeds of $646,431. On February 13, 2014, the Company sold a total of 10,000 shares of its investment in Control4 Corporation at a price of $21.03 plus transaction costs per share for net proceeds of $210,008. On February 10, 2014, the Company sold a total of 6,000 shares of its investment in Control4 Corporation at a price of $21.14 per share plus transaction costs for net proceeds of $126,655. On February 18, 2014, the Company sold a total of 50,000 shares of its investment in Control4 Corporation at a price of $23.19 per share plus transaction costs for net proceeds of $1,157,940. On February 19, 2014, the Company sold a total of 50,000 shares of its investment in Control4 Corporation at a price of $24.13 per share plus transaction costs for net proceeds of $1,205,224. On March 13, 2014, the Company sold a total of 10,000 shares of its investment in Control4 Corporation at a price of $22.83 per</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21" w:lineRule="exact"/>
        <w:rPr>
          <w:sz w:val="20"/>
          <w:szCs w:val="20"/>
          <w:color w:val="auto"/>
        </w:rPr>
      </w:pPr>
    </w:p>
    <w:p>
      <w:pPr>
        <w:jc w:val="both"/>
        <w:ind w:left="60" w:right="840"/>
        <w:spacing w:after="0" w:line="277" w:lineRule="auto"/>
        <w:rPr>
          <w:sz w:val="20"/>
          <w:szCs w:val="20"/>
          <w:color w:val="auto"/>
        </w:rPr>
      </w:pPr>
      <w:r>
        <w:rPr>
          <w:rFonts w:ascii="Arial" w:cs="Arial" w:eastAsia="Arial" w:hAnsi="Arial"/>
          <w:sz w:val="18"/>
          <w:szCs w:val="18"/>
          <w:color w:val="auto"/>
        </w:rPr>
        <w:t>share plus transaction costs for net proceeds of $228,000. The Company continues to hold 622,821 shares of Control4 Corporation as of March 17, 2014.</w:t>
      </w:r>
    </w:p>
    <w:p>
      <w:pPr>
        <w:spacing w:after="0" w:line="62" w:lineRule="exact"/>
        <w:rPr>
          <w:sz w:val="20"/>
          <w:szCs w:val="20"/>
          <w:color w:val="auto"/>
        </w:rPr>
      </w:pPr>
    </w:p>
    <w:p>
      <w:pPr>
        <w:jc w:val="both"/>
        <w:ind w:left="60" w:right="820"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December 31, 2013, the Company has not made any such escrow deposits.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SELECTED QUARTERLY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 2013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Quarter 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Quarter 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Quarter 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Quarter 4</w:t>
            </w:r>
          </w:p>
        </w:tc>
        <w:tc>
          <w:tcPr>
            <w:tcW w:w="2180" w:type="dxa"/>
            <w:vAlign w:val="bottom"/>
          </w:tcPr>
          <w:p>
            <w:pPr>
              <w:spacing w:after="0"/>
              <w:rPr>
                <w:sz w:val="16"/>
                <w:szCs w:val="16"/>
                <w:color w:val="auto"/>
              </w:rPr>
            </w:pPr>
          </w:p>
        </w:tc>
      </w:tr>
      <w:tr>
        <w:trPr>
          <w:trHeight w:val="210"/>
        </w:trPr>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Investment Income</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4,535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15,723</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2,644</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26,049</w:t>
            </w:r>
          </w:p>
        </w:tc>
        <w:tc>
          <w:tcPr>
            <w:tcW w:w="2180" w:type="dxa"/>
            <w:vAlign w:val="bottom"/>
          </w:tcPr>
          <w:p>
            <w:pPr>
              <w:spacing w:after="0"/>
              <w:rPr>
                <w:sz w:val="18"/>
                <w:szCs w:val="18"/>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(2,567,725)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(2,386,911)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(3,013,789)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(907,231)</w:t>
            </w:r>
          </w:p>
        </w:tc>
        <w:tc>
          <w:tcPr>
            <w:tcW w:w="2180" w:type="dxa"/>
            <w:vAlign w:val="bottom"/>
          </w:tcPr>
          <w:p>
            <w:pPr>
              <w:spacing w:after="0"/>
              <w:rPr>
                <w:sz w:val="18"/>
                <w:szCs w:val="18"/>
                <w:color w:val="auto"/>
              </w:rPr>
            </w:pPr>
          </w:p>
        </w:tc>
      </w:tr>
      <w:tr>
        <w:trPr>
          <w:trHeight w:val="202"/>
        </w:trPr>
        <w:tc>
          <w:tcPr>
            <w:tcW w:w="31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5"/>
              </w:rPr>
              <w:t>(4,923,530)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11"/>
              <w:spacing w:after="0" w:line="201" w:lineRule="exact"/>
              <w:rPr>
                <w:sz w:val="20"/>
                <w:szCs w:val="20"/>
                <w:color w:val="auto"/>
              </w:rPr>
            </w:pPr>
            <w:r>
              <w:rPr>
                <w:rFonts w:ascii="Arial" w:cs="Arial" w:eastAsia="Arial" w:hAnsi="Arial"/>
                <w:sz w:val="18"/>
                <w:szCs w:val="18"/>
                <w:color w:val="auto"/>
              </w:rPr>
              <w:t>5,902,614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rPr>
              <w:t>8,729,535</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w w:val="97"/>
              </w:rPr>
              <w:t>56,030,509</w:t>
            </w:r>
          </w:p>
        </w:tc>
        <w:tc>
          <w:tcPr>
            <w:tcW w:w="2180" w:type="dxa"/>
            <w:vAlign w:val="bottom"/>
          </w:tcPr>
          <w:p>
            <w:pPr>
              <w:spacing w:after="0"/>
              <w:rPr>
                <w:sz w:val="17"/>
                <w:szCs w:val="17"/>
                <w:color w:val="auto"/>
              </w:rPr>
            </w:pPr>
          </w:p>
        </w:tc>
      </w:tr>
      <w:tr>
        <w:trPr>
          <w:trHeight w:val="230"/>
        </w:trPr>
        <w:tc>
          <w:tcPr>
            <w:tcW w:w="3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5"/>
              </w:rPr>
              <w:t>(7,491,255)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3,515,703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5,715,746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w w:val="97"/>
              </w:rPr>
              <w:t>33,643,449</w:t>
            </w:r>
          </w:p>
        </w:tc>
        <w:tc>
          <w:tcPr>
            <w:tcW w:w="2180" w:type="dxa"/>
            <w:vAlign w:val="bottom"/>
          </w:tcPr>
          <w:p>
            <w:pPr>
              <w:spacing w:after="0"/>
              <w:rPr>
                <w:sz w:val="17"/>
                <w:szCs w:val="17"/>
                <w:color w:val="auto"/>
              </w:rPr>
            </w:pPr>
          </w:p>
        </w:tc>
      </w:tr>
      <w:tr>
        <w:trPr>
          <w:trHeight w:val="230"/>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2"/>
              </w:rPr>
              <w:t>Net Investment Loss per common share –</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(0.16)</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(0.05)</w:t>
            </w:r>
          </w:p>
        </w:tc>
        <w:tc>
          <w:tcPr>
            <w:tcW w:w="2180" w:type="dxa"/>
            <w:vAlign w:val="bottom"/>
          </w:tcPr>
          <w:p>
            <w:pPr>
              <w:spacing w:after="0"/>
              <w:rPr>
                <w:sz w:val="17"/>
                <w:szCs w:val="17"/>
                <w:color w:val="auto"/>
              </w:rPr>
            </w:pPr>
          </w:p>
        </w:tc>
      </w:tr>
      <w:tr>
        <w:trPr>
          <w:trHeight w:val="230"/>
        </w:trPr>
        <w:tc>
          <w:tcPr>
            <w:tcW w:w="314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2"/>
              </w:rPr>
              <w:t>Net Investment Loss per common share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(0.12)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c>
          <w:tcPr>
            <w:tcW w:w="2180" w:type="dxa"/>
            <w:vAlign w:val="bottom"/>
          </w:tcPr>
          <w:p>
            <w:pPr>
              <w:spacing w:after="0"/>
              <w:rPr>
                <w:sz w:val="17"/>
                <w:szCs w:val="17"/>
                <w:color w:val="auto"/>
              </w:rPr>
            </w:pPr>
          </w:p>
        </w:tc>
      </w:tr>
      <w:tr>
        <w:trPr>
          <w:trHeight w:val="230"/>
        </w:trPr>
        <w:tc>
          <w:tcPr>
            <w:tcW w:w="3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Net Realized and Unrealized</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11"/>
              <w:spacing w:after="0" w:line="201" w:lineRule="exact"/>
              <w:rPr>
                <w:sz w:val="20"/>
                <w:szCs w:val="20"/>
                <w:color w:val="auto"/>
              </w:rPr>
            </w:pPr>
            <w:r>
              <w:rPr>
                <w:rFonts w:ascii="Arial" w:cs="Arial" w:eastAsia="Arial" w:hAnsi="Arial"/>
                <w:sz w:val="18"/>
                <w:szCs w:val="18"/>
                <w:color w:val="auto"/>
              </w:rPr>
              <w:t>0.31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rPr>
              <w:t>0.45</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rPr>
              <w:t>2.90</w:t>
            </w:r>
          </w:p>
        </w:tc>
        <w:tc>
          <w:tcPr>
            <w:tcW w:w="2180" w:type="dxa"/>
            <w:vAlign w:val="bottom"/>
          </w:tcPr>
          <w:p>
            <w:pPr>
              <w:spacing w:after="0"/>
              <w:rPr>
                <w:sz w:val="17"/>
                <w:szCs w:val="17"/>
                <w:color w:val="auto"/>
              </w:rPr>
            </w:pPr>
          </w:p>
        </w:tc>
      </w:tr>
      <w:tr>
        <w:trPr>
          <w:trHeight w:val="216"/>
        </w:trPr>
        <w:tc>
          <w:tcPr>
            <w:tcW w:w="3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Gains (Losses) per common share –</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314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
              <w:spacing w:after="0" w:line="201" w:lineRule="exact"/>
              <w:rPr>
                <w:sz w:val="20"/>
                <w:szCs w:val="20"/>
                <w:color w:val="auto"/>
              </w:rPr>
            </w:pPr>
            <w:r>
              <w:rPr>
                <w:rFonts w:ascii="Arial" w:cs="Arial" w:eastAsia="Arial" w:hAnsi="Arial"/>
                <w:sz w:val="18"/>
                <w:szCs w:val="18"/>
                <w:color w:val="auto"/>
              </w:rPr>
              <w:t>0.45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2.38</w:t>
            </w:r>
          </w:p>
        </w:tc>
        <w:tc>
          <w:tcPr>
            <w:tcW w:w="2180" w:type="dxa"/>
            <w:vAlign w:val="bottom"/>
          </w:tcPr>
          <w:p>
            <w:pPr>
              <w:spacing w:after="0"/>
              <w:rPr>
                <w:sz w:val="17"/>
                <w:szCs w:val="17"/>
                <w:color w:val="auto"/>
              </w:rPr>
            </w:pPr>
          </w:p>
        </w:tc>
      </w:tr>
      <w:tr>
        <w:trPr>
          <w:trHeight w:val="230"/>
        </w:trPr>
        <w:tc>
          <w:tcPr>
            <w:tcW w:w="3140" w:type="dxa"/>
            <w:vAlign w:val="bottom"/>
            <w:gridSpan w:val="2"/>
          </w:tcPr>
          <w:p>
            <w:pPr>
              <w:ind w:left="200"/>
              <w:spacing w:after="0"/>
              <w:rPr>
                <w:sz w:val="20"/>
                <w:szCs w:val="20"/>
                <w:color w:val="auto"/>
              </w:rPr>
            </w:pPr>
            <w:r>
              <w:rPr>
                <w:rFonts w:ascii="Arial" w:cs="Arial" w:eastAsia="Arial" w:hAnsi="Arial"/>
                <w:sz w:val="18"/>
                <w:szCs w:val="18"/>
                <w:color w:val="auto"/>
                <w:w w:val="98"/>
              </w:rPr>
              <w:t>(Losses) per common share –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11"/>
              <w:spacing w:after="0" w:line="201" w:lineRule="exact"/>
              <w:rPr>
                <w:sz w:val="20"/>
                <w:szCs w:val="20"/>
                <w:color w:val="auto"/>
              </w:rPr>
            </w:pPr>
            <w:r>
              <w:rPr>
                <w:rFonts w:ascii="Arial" w:cs="Arial" w:eastAsia="Arial" w:hAnsi="Arial"/>
                <w:sz w:val="18"/>
                <w:szCs w:val="18"/>
                <w:color w:val="auto"/>
              </w:rPr>
              <w:t>0.18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rPr>
              <w:t>0.30</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rPr>
              <w:t>1.74</w:t>
            </w:r>
          </w:p>
        </w:tc>
        <w:tc>
          <w:tcPr>
            <w:tcW w:w="2180" w:type="dxa"/>
            <w:vAlign w:val="bottom"/>
          </w:tcPr>
          <w:p>
            <w:pPr>
              <w:spacing w:after="0"/>
              <w:rPr>
                <w:sz w:val="17"/>
                <w:szCs w:val="17"/>
                <w:color w:val="auto"/>
              </w:rPr>
            </w:pPr>
          </w:p>
        </w:tc>
      </w:tr>
      <w:tr>
        <w:trPr>
          <w:trHeight w:val="230"/>
        </w:trPr>
        <w:tc>
          <w:tcPr>
            <w:tcW w:w="3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w w:val="95"/>
              </w:rPr>
              <w:t>Operations per common share – basic</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
              <w:spacing w:after="0" w:line="201" w:lineRule="exact"/>
              <w:rPr>
                <w:sz w:val="20"/>
                <w:szCs w:val="20"/>
                <w:color w:val="auto"/>
              </w:rPr>
            </w:pPr>
            <w:r>
              <w:rPr>
                <w:rFonts w:ascii="Arial" w:cs="Arial" w:eastAsia="Arial" w:hAnsi="Arial"/>
                <w:sz w:val="18"/>
                <w:szCs w:val="18"/>
                <w:color w:val="auto"/>
              </w:rPr>
              <w:t>0.30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1.47</w:t>
            </w:r>
          </w:p>
        </w:tc>
        <w:tc>
          <w:tcPr>
            <w:tcW w:w="2180" w:type="dxa"/>
            <w:vAlign w:val="bottom"/>
          </w:tcPr>
          <w:p>
            <w:pPr>
              <w:spacing w:after="0"/>
              <w:rPr>
                <w:sz w:val="17"/>
                <w:szCs w:val="17"/>
                <w:color w:val="auto"/>
              </w:rPr>
            </w:pPr>
          </w:p>
        </w:tc>
      </w:tr>
      <w:tr>
        <w:trPr>
          <w:trHeight w:val="230"/>
        </w:trPr>
        <w:tc>
          <w:tcPr>
            <w:tcW w:w="3140" w:type="dxa"/>
            <w:vAlign w:val="bottom"/>
            <w:gridSpan w:val="2"/>
          </w:tcPr>
          <w:p>
            <w:pPr>
              <w:ind w:left="200"/>
              <w:spacing w:after="0"/>
              <w:rPr>
                <w:sz w:val="20"/>
                <w:szCs w:val="20"/>
                <w:color w:val="auto"/>
              </w:rPr>
            </w:pPr>
            <w:r>
              <w:rPr>
                <w:rFonts w:ascii="Arial" w:cs="Arial" w:eastAsia="Arial" w:hAnsi="Arial"/>
                <w:sz w:val="18"/>
                <w:szCs w:val="18"/>
                <w:color w:val="auto"/>
                <w:w w:val="92"/>
              </w:rPr>
              <w:t>Operations per common share –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1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ind w:right="31"/>
              <w:spacing w:after="0" w:line="201" w:lineRule="exact"/>
              <w:rPr>
                <w:sz w:val="20"/>
                <w:szCs w:val="20"/>
                <w:color w:val="auto"/>
              </w:rPr>
            </w:pPr>
            <w:r>
              <w:rPr>
                <w:rFonts w:ascii="Arial" w:cs="Arial" w:eastAsia="Arial" w:hAnsi="Arial"/>
                <w:sz w:val="18"/>
                <w:szCs w:val="18"/>
                <w:color w:val="auto"/>
                <w:w w:val="97"/>
              </w:rPr>
              <w:t>19,320,100</w:t>
            </w:r>
          </w:p>
        </w:tc>
        <w:tc>
          <w:tcPr>
            <w:tcW w:w="2180" w:type="dxa"/>
            <w:vAlign w:val="bottom"/>
          </w:tcPr>
          <w:p>
            <w:pPr>
              <w:spacing w:after="0"/>
              <w:rPr>
                <w:sz w:val="17"/>
                <w:szCs w:val="17"/>
                <w:color w:val="auto"/>
              </w:rPr>
            </w:pPr>
          </w:p>
        </w:tc>
      </w:tr>
      <w:tr>
        <w:trPr>
          <w:trHeight w:val="230"/>
        </w:trPr>
        <w:tc>
          <w:tcPr>
            <w:tcW w:w="3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Outstanding – Basic</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w w:val="97"/>
              </w:rPr>
              <w:t>23,564,228</w:t>
            </w:r>
          </w:p>
        </w:tc>
        <w:tc>
          <w:tcPr>
            <w:tcW w:w="2180" w:type="dxa"/>
            <w:vAlign w:val="bottom"/>
          </w:tcPr>
          <w:p>
            <w:pPr>
              <w:spacing w:after="0"/>
              <w:rPr>
                <w:sz w:val="17"/>
                <w:szCs w:val="17"/>
                <w:color w:val="auto"/>
              </w:rPr>
            </w:pPr>
          </w:p>
        </w:tc>
      </w:tr>
      <w:tr>
        <w:trPr>
          <w:trHeight w:val="230"/>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Outstanding –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770"/>
        </w:trPr>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gridSpan w:val="3"/>
          </w:tcPr>
          <w:p>
            <w:pPr>
              <w:jc w:val="right"/>
              <w:ind w:right="771"/>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SELECTED QUARTERLY FINANCIAL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 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 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Quarter 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Quarter 4</w:t>
            </w:r>
          </w:p>
        </w:tc>
      </w:tr>
      <w:tr>
        <w:trPr>
          <w:trHeight w:val="210"/>
        </w:trPr>
        <w:tc>
          <w:tcPr>
            <w:tcW w:w="3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 Income</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117,805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110,354</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13,928</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5,990</w:t>
            </w: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Net Investment Income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(1,094,002)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(2,080,119)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(2,334,568)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(2,774,192)</w:t>
            </w: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32"/>
              <w:spacing w:after="0" w:line="201" w:lineRule="exact"/>
              <w:rPr>
                <w:sz w:val="20"/>
                <w:szCs w:val="20"/>
                <w:color w:val="auto"/>
              </w:rPr>
            </w:pPr>
            <w:r>
              <w:rPr>
                <w:rFonts w:ascii="Arial" w:cs="Arial" w:eastAsia="Arial" w:hAnsi="Arial"/>
                <w:sz w:val="18"/>
                <w:szCs w:val="18"/>
                <w:color w:val="auto"/>
                <w:w w:val="99"/>
              </w:rPr>
              <w:t>1,010,939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5"/>
              </w:rPr>
              <w:t>(3,394,775)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5"/>
              </w:rPr>
              <w:t>(4,665,272)</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(4,502,261)</w:t>
            </w: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(83,063)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95"/>
              </w:rPr>
              <w:t>(5,474,894)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5"/>
              </w:rPr>
              <w:t>(6,999,840)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(7,276,453)</w:t>
            </w: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Investment Income (Loss) per</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(0.12)</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(0.14)</w:t>
            </w: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common share – basic &amp; diluted</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rPr>
              <w:t>0.11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(0.21)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(0.23)</w:t>
            </w:r>
          </w:p>
        </w:tc>
      </w:tr>
      <w:tr>
        <w:trPr>
          <w:trHeight w:val="216"/>
        </w:trPr>
        <w:tc>
          <w:tcPr>
            <w:tcW w:w="3140" w:type="dxa"/>
            <w:vAlign w:val="bottom"/>
          </w:tcPr>
          <w:p>
            <w:pPr>
              <w:ind w:left="200"/>
              <w:spacing w:after="0"/>
              <w:rPr>
                <w:sz w:val="20"/>
                <w:szCs w:val="20"/>
                <w:color w:val="auto"/>
              </w:rPr>
            </w:pPr>
            <w:r>
              <w:rPr>
                <w:rFonts w:ascii="Arial" w:cs="Arial" w:eastAsia="Arial" w:hAnsi="Arial"/>
                <w:sz w:val="18"/>
                <w:szCs w:val="18"/>
                <w:color w:val="auto"/>
                <w:w w:val="96"/>
              </w:rPr>
              <w:t>(Losses) per common share – basic &amp;</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(0.36)</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(0.38)</w:t>
            </w:r>
          </w:p>
        </w:tc>
      </w:tr>
      <w:tr>
        <w:trPr>
          <w:trHeight w:val="216"/>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0"/>
              </w:rPr>
              <w:t>Operations per common share – basic &amp;</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w w:val="99"/>
              </w:rPr>
              <w:t>9,387,133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2"/>
              <w:spacing w:after="0" w:line="201" w:lineRule="exact"/>
              <w:rPr>
                <w:sz w:val="20"/>
                <w:szCs w:val="20"/>
                <w:color w:val="auto"/>
              </w:rPr>
            </w:pPr>
            <w:r>
              <w:rPr>
                <w:rFonts w:ascii="Arial" w:cs="Arial" w:eastAsia="Arial" w:hAnsi="Arial"/>
                <w:sz w:val="18"/>
                <w:szCs w:val="18"/>
                <w:color w:val="auto"/>
                <w:w w:val="90"/>
              </w:rPr>
              <w:t>16,287,133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2"/>
              <w:spacing w:after="0" w:line="201" w:lineRule="exact"/>
              <w:rPr>
                <w:sz w:val="20"/>
                <w:szCs w:val="20"/>
                <w:color w:val="auto"/>
              </w:rPr>
            </w:pPr>
            <w:r>
              <w:rPr>
                <w:rFonts w:ascii="Arial" w:cs="Arial" w:eastAsia="Arial" w:hAnsi="Arial"/>
                <w:sz w:val="18"/>
                <w:szCs w:val="18"/>
                <w:color w:val="auto"/>
                <w:w w:val="90"/>
              </w:rPr>
              <w:t>19,320,100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
              <w:spacing w:after="0" w:line="201" w:lineRule="exact"/>
              <w:rPr>
                <w:sz w:val="20"/>
                <w:szCs w:val="20"/>
                <w:color w:val="auto"/>
              </w:rPr>
            </w:pPr>
            <w:r>
              <w:rPr>
                <w:rFonts w:ascii="Arial" w:cs="Arial" w:eastAsia="Arial" w:hAnsi="Arial"/>
                <w:sz w:val="18"/>
                <w:szCs w:val="18"/>
                <w:color w:val="auto"/>
                <w:w w:val="97"/>
              </w:rPr>
              <w:t>19,320,100</w:t>
            </w: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Outstanding – Basic &amp; 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7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For the period from January 6, 2011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Quarter 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Quarter 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Quarter 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Quarter 4</w:t>
            </w:r>
          </w:p>
        </w:tc>
      </w:tr>
      <w:tr>
        <w:trPr>
          <w:trHeight w:val="202"/>
        </w:trPr>
        <w:tc>
          <w:tcPr>
            <w:tcW w:w="31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(date of inception) to December 31, 2011</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0"/>
        </w:trPr>
        <w:tc>
          <w:tcPr>
            <w:tcW w:w="3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 Income</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53,408</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108,920</w:t>
            </w: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Net Investment Income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(565,305)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(677,663)</w:t>
            </w: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(59,634)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32"/>
              <w:spacing w:after="0" w:line="201" w:lineRule="exact"/>
              <w:rPr>
                <w:sz w:val="20"/>
                <w:szCs w:val="20"/>
                <w:color w:val="auto"/>
              </w:rPr>
            </w:pPr>
            <w:r>
              <w:rPr>
                <w:rFonts w:ascii="Arial" w:cs="Arial" w:eastAsia="Arial" w:hAnsi="Arial"/>
                <w:sz w:val="18"/>
                <w:szCs w:val="18"/>
                <w:color w:val="auto"/>
              </w:rPr>
              <w:t>-494,170</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(1,025,996)</w:t>
            </w: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(110,808)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(624,939)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5"/>
              </w:rPr>
              <w:t>(1,174,258)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(1,703,659)</w:t>
            </w: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Investment Income (Loss) per</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(0.20)</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(0.12)</w:t>
            </w: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common share – basic &amp; diluted</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Net Realized and Unrealized Gains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(0.19)</w:t>
            </w:r>
          </w:p>
        </w:tc>
      </w:tr>
      <w:tr>
        <w:trPr>
          <w:trHeight w:val="216"/>
        </w:trPr>
        <w:tc>
          <w:tcPr>
            <w:tcW w:w="3140" w:type="dxa"/>
            <w:vAlign w:val="bottom"/>
          </w:tcPr>
          <w:p>
            <w:pPr>
              <w:ind w:left="200"/>
              <w:spacing w:after="0"/>
              <w:rPr>
                <w:sz w:val="20"/>
                <w:szCs w:val="20"/>
                <w:color w:val="auto"/>
              </w:rPr>
            </w:pPr>
            <w:r>
              <w:rPr>
                <w:rFonts w:ascii="Arial" w:cs="Arial" w:eastAsia="Arial" w:hAnsi="Arial"/>
                <w:sz w:val="18"/>
                <w:szCs w:val="18"/>
                <w:color w:val="auto"/>
                <w:w w:val="96"/>
              </w:rPr>
              <w:t>(Losses) per common share – basic &amp;</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31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89"/>
              </w:rPr>
              <w:t>Net Increase (Decrease) in Net Assets from</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(1,108.08)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(0.27)</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(0.34)</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(0.31)</w:t>
            </w:r>
          </w:p>
        </w:tc>
      </w:tr>
      <w:tr>
        <w:trPr>
          <w:trHeight w:val="216"/>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0"/>
              </w:rPr>
              <w:t>Operations per common share – basic &amp;</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30"/>
        </w:trPr>
        <w:tc>
          <w:tcPr>
            <w:tcW w:w="3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202"/>
        </w:trPr>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w w:val="99"/>
              </w:rPr>
              <w:t>2,345,595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2"/>
              <w:spacing w:after="0" w:line="201" w:lineRule="exact"/>
              <w:rPr>
                <w:sz w:val="20"/>
                <w:szCs w:val="20"/>
                <w:color w:val="auto"/>
              </w:rPr>
            </w:pPr>
            <w:r>
              <w:rPr>
                <w:rFonts w:ascii="Arial" w:cs="Arial" w:eastAsia="Arial" w:hAnsi="Arial"/>
                <w:sz w:val="18"/>
                <w:szCs w:val="18"/>
                <w:color w:val="auto"/>
              </w:rPr>
              <w:t>3,430,100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
              <w:spacing w:after="0" w:line="201" w:lineRule="exact"/>
              <w:rPr>
                <w:sz w:val="20"/>
                <w:szCs w:val="20"/>
                <w:color w:val="auto"/>
              </w:rPr>
            </w:pPr>
            <w:r>
              <w:rPr>
                <w:rFonts w:ascii="Arial" w:cs="Arial" w:eastAsia="Arial" w:hAnsi="Arial"/>
                <w:sz w:val="18"/>
                <w:szCs w:val="18"/>
                <w:color w:val="auto"/>
              </w:rPr>
              <w:t>5,520,100</w:t>
            </w: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Outstanding – basic &amp; 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-2520950</wp:posOffset>
            </wp:positionV>
            <wp:extent cx="52139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39" w:hanging="272"/>
        <w:spacing w:after="0" w:line="277"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December 31, 2011 was calculated from the issuance of 100 shares on February 28, 2011.</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December 31, 2013,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21" w:lineRule="exact"/>
        <w:rPr>
          <w:sz w:val="20"/>
          <w:szCs w:val="20"/>
          <w:color w:val="auto"/>
        </w:rPr>
      </w:pPr>
    </w:p>
    <w:p>
      <w:pPr>
        <w:jc w:val="both"/>
        <w:ind w:left="40" w:right="519" w:firstLine="27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Management is responsible for establishing and maintaining adequate internal control over financial reporting, as such term is defined in Rule 13a-15(f) under the Securities Exchange Act of 1934 and for the assessment of the effectiveness of internal control over financial reporting. Management’s Report on Internal Control Over Financial Reporting, which appears on page </w:t>
      </w:r>
      <w:hyperlink w:anchor="page63">
        <w:r>
          <w:rPr>
            <w:rFonts w:ascii="Arial" w:cs="Arial" w:eastAsia="Arial" w:hAnsi="Arial"/>
            <w:sz w:val="18"/>
            <w:szCs w:val="18"/>
            <w:u w:val="single" w:color="auto"/>
            <w:color w:val="0000EE"/>
          </w:rPr>
          <w:t>60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is incorporated by reference herein.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121" w:lineRule="exact"/>
        <w:rPr>
          <w:sz w:val="20"/>
          <w:szCs w:val="20"/>
          <w:color w:val="auto"/>
        </w:rPr>
      </w:pPr>
    </w:p>
    <w:p>
      <w:pPr>
        <w:jc w:val="both"/>
        <w:ind w:left="40" w:right="539" w:firstLine="27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Grant Thornton LLP, the Company’s independent registered public accounting firm, has issued an attestation report on the effectiveness of the Company’s internal control over financial reporting, which appears on page </w:t>
      </w:r>
      <w:hyperlink w:anchor="page104">
        <w:r>
          <w:rPr>
            <w:rFonts w:ascii="Arial" w:cs="Arial" w:eastAsia="Arial" w:hAnsi="Arial"/>
            <w:sz w:val="17"/>
            <w:szCs w:val="17"/>
            <w:u w:val="single" w:color="auto"/>
            <w:color w:val="0000EE"/>
          </w:rPr>
          <w:t>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Form 10-K.</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fiscal quarter and year ended December 31, 2012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103"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GSV Capital Corp. and subsidiaries (the “Company;”) as of December 31, 2013, based on criteria established in the 1992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0"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ind w:left="40" w:right="53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ind w:left="40" w:right="539"/>
        <w:spacing w:after="0" w:line="308" w:lineRule="auto"/>
        <w:rPr>
          <w:sz w:val="20"/>
          <w:szCs w:val="20"/>
          <w:color w:val="auto"/>
        </w:rPr>
      </w:pPr>
      <w:r>
        <w:rPr>
          <w:rFonts w:ascii="Arial" w:cs="Arial" w:eastAsia="Arial" w:hAnsi="Arial"/>
          <w:sz w:val="17"/>
          <w:szCs w:val="17"/>
          <w:color w:val="auto"/>
        </w:rPr>
        <w:t xml:space="preserve">In our opinion, the Company maintained, in all material respects, effective internal control over financial reporting as of December 31, 2013, based on criteria established in the 1992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COSO.</w:t>
      </w:r>
    </w:p>
    <w:p>
      <w:pPr>
        <w:spacing w:after="0" w:line="38" w:lineRule="exact"/>
        <w:rPr>
          <w:sz w:val="20"/>
          <w:szCs w:val="20"/>
          <w:color w:val="auto"/>
        </w:rPr>
      </w:pPr>
    </w:p>
    <w:p>
      <w:pPr>
        <w:jc w:val="both"/>
        <w:ind w:left="40" w:right="519"/>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GSV Capital Corp. and subsidiaries, including the consolidated schedules of investments, as of December 31, 2013 and 2012, and the related consolidated statements of operations, changes in net assets, and cash flows for the years ended December 31, 2013 and 2012 and for the period from January 6, 2011 (date of inception) to December 31, 2011. Our report dated March 17, 2014 expressed an unqualified opinion on those consolidated financial statements.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17, 2014</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information required by Item 10 is hereby incorporated by reference from the Company’s definitive Proxy Statement relating to the Company’s 2014 Annual Meeting of Stockholders, to be filed with the Securities and Exchange Commission within 120 days following the end of the Company’s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information required by Item 11 is hereby incorporated by reference from the Company’s definitive Proxy Statement relating to the Company’s 2014 Annual Meeting of Stockholders, to be filed with the Securities and Exchange Commission within 120 days following the end of the Company’s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information required by Item 12 is hereby incorporated by reference from the Company’s definitive Proxy Statement relating to the Company’s 2014 Annual Meeting of Stockholders, to be filed with the Securities and Exchange Commission within 120 days following the end of the Company’s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information required by Item 13 is hereby incorporated by reference from the Company’s definitive Proxy Statement relating to the Company’s 2014 Annual Meeting of Stockholders, to be filed with the Securities and Exchange Commission within 120 days following the end of the Company’s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information required by Item 14 is hereby incorporated by reference from the Company’s definitive Proxy Statement relating to the Company’s 2014 Annual Meeting of Stockholders, to be filed with the Securities and Exchange Commission within 120 days following the end of the Company’s fiscal year.</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80" w:type="dxa"/>
            <w:vAlign w:val="bottom"/>
            <w:gridSpan w:val="9"/>
          </w:tcPr>
          <w:p>
            <w:pPr>
              <w:ind w:left="2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60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600" w:type="dxa"/>
            <w:vAlign w:val="bottom"/>
            <w:gridSpan w:val="13"/>
          </w:tcPr>
          <w:p>
            <w:pPr>
              <w:ind w:left="40"/>
              <w:spacing w:after="0"/>
              <w:rPr>
                <w:sz w:val="20"/>
                <w:szCs w:val="20"/>
                <w:color w:val="auto"/>
              </w:rPr>
            </w:pPr>
            <w:r>
              <w:rPr>
                <w:rFonts w:ascii="Arial" w:cs="Arial" w:eastAsia="Arial" w:hAnsi="Arial"/>
                <w:sz w:val="18"/>
                <w:szCs w:val="18"/>
                <w:b w:val="1"/>
                <w:bCs w:val="1"/>
                <w:color w:val="auto"/>
              </w:rPr>
              <w:t>a. Documents Filed as Part of this Report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gridSpan w:val="12"/>
          </w:tcPr>
          <w:p>
            <w:pPr>
              <w:ind w:left="140"/>
              <w:spacing w:after="0"/>
              <w:rPr>
                <w:sz w:val="20"/>
                <w:szCs w:val="20"/>
                <w:color w:val="auto"/>
              </w:rPr>
            </w:pPr>
            <w:r>
              <w:rPr>
                <w:rFonts w:ascii="Arial" w:cs="Arial" w:eastAsia="Arial" w:hAnsi="Arial"/>
                <w:sz w:val="18"/>
                <w:szCs w:val="18"/>
                <w:color w:val="auto"/>
              </w:rPr>
              <w:t>The following financial statements are set forth in Item 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r>
      <w:tr>
        <w:trPr>
          <w:trHeight w:val="190"/>
        </w:trPr>
        <w:tc>
          <w:tcPr>
            <w:tcW w:w="20" w:type="dxa"/>
            <w:vAlign w:val="bottom"/>
            <w:tcBorders>
              <w:bottom w:val="single" w:sz="8" w:color="CCFFCC"/>
            </w:tcBorders>
            <w:shd w:val="clear" w:color="auto" w:fill="CCFFCC"/>
          </w:tcPr>
          <w:p>
            <w:pPr>
              <w:spacing w:after="0"/>
              <w:rPr>
                <w:sz w:val="16"/>
                <w:szCs w:val="16"/>
                <w:color w:val="auto"/>
              </w:rPr>
            </w:pPr>
          </w:p>
        </w:tc>
        <w:tc>
          <w:tcPr>
            <w:tcW w:w="4220" w:type="dxa"/>
            <w:vAlign w:val="bottom"/>
            <w:tcBorders>
              <w:bottom w:val="single" w:sz="8" w:color="0000EE"/>
            </w:tcBorders>
            <w:gridSpan w:val="4"/>
            <w:shd w:val="clear" w:color="auto" w:fill="CCFFCC"/>
          </w:tcPr>
          <w:p>
            <w:pPr>
              <w:spacing w:after="0" w:line="17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3380" w:type="dxa"/>
            <w:vAlign w:val="bottom"/>
            <w:tcBorders>
              <w:bottom w:val="single" w:sz="8" w:color="CCFFCC"/>
            </w:tcBorders>
            <w:gridSpan w:val="9"/>
            <w:shd w:val="clear" w:color="auto" w:fill="CCFFCC"/>
          </w:tcPr>
          <w:p>
            <w:pPr>
              <w:spacing w:after="0"/>
              <w:rPr>
                <w:sz w:val="16"/>
                <w:szCs w:val="16"/>
                <w:color w:val="auto"/>
              </w:rPr>
            </w:pPr>
          </w:p>
        </w:tc>
        <w:tc>
          <w:tcPr>
            <w:tcW w:w="30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0" w:lineRule="exact"/>
              <w:rPr>
                <w:sz w:val="20"/>
                <w:szCs w:val="20"/>
                <w:color w:val="auto"/>
              </w:rPr>
            </w:pPr>
            <w:r>
              <w:rPr>
                <w:rFonts w:ascii="Arial" w:cs="Arial" w:eastAsia="Arial" w:hAnsi="Arial"/>
                <w:sz w:val="18"/>
                <w:szCs w:val="18"/>
                <w:color w:val="0000EE"/>
                <w:w w:val="79"/>
              </w:rPr>
              <w:t>62</w:t>
            </w:r>
          </w:p>
        </w:tc>
        <w:tc>
          <w:tcPr>
            <w:tcW w:w="120" w:type="dxa"/>
            <w:vAlign w:val="bottom"/>
            <w:tcBorders>
              <w:bottom w:val="single" w:sz="8" w:color="CCFFCC"/>
            </w:tcBorders>
            <w:shd w:val="clear" w:color="auto" w:fill="CCFFC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600" w:type="dxa"/>
            <w:vAlign w:val="bottom"/>
            <w:gridSpan w:val="13"/>
          </w:tcPr>
          <w:p>
            <w:pPr>
              <w:spacing w:after="0" w:line="17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Consolidated Statements of Assets and Liabilities as of December 31, 2013 and December 31, 2012</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1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0" w:type="dxa"/>
            <w:vAlign w:val="bottom"/>
            <w:gridSpan w:val="13"/>
            <w:shd w:val="clear" w:color="auto" w:fill="CCFFCC"/>
          </w:tcPr>
          <w:p>
            <w:pPr>
              <w:spacing w:after="0" w:line="17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Statements of Operations for the year ended December 31, 2013, December 31, 2012 and</w:t>
              </w:r>
            </w:hyperlink>
          </w:p>
        </w:tc>
        <w:tc>
          <w:tcPr>
            <w:tcW w:w="480" w:type="dxa"/>
            <w:vAlign w:val="bottom"/>
            <w:gridSpan w:val="2"/>
            <w:shd w:val="clear" w:color="auto" w:fill="CCFFCC"/>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120" w:type="dxa"/>
            <w:vAlign w:val="bottom"/>
            <w:shd w:val="clear" w:color="auto" w:fill="CCFFCC"/>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7420" w:type="dxa"/>
            <w:vAlign w:val="bottom"/>
            <w:tcBorders>
              <w:top w:val="single" w:sz="8" w:color="0000EE"/>
            </w:tcBorders>
            <w:gridSpan w:val="12"/>
            <w:shd w:val="clear" w:color="auto" w:fill="CCFFCC"/>
          </w:tcPr>
          <w:p>
            <w:pPr>
              <w:ind w:left="18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for the period from January 6, 2011 (date of inception) to December 31, 2011</w:t>
              </w:r>
            </w:hyperlink>
          </w:p>
        </w:tc>
        <w:tc>
          <w:tcPr>
            <w:tcW w:w="18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14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gridSpan w:val="13"/>
          </w:tcPr>
          <w:p>
            <w:pPr>
              <w:spacing w:after="0" w:line="17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Consolidated Statements of Changes in Net Assets for the year ended December 31, 2013, December</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0000EE"/>
            </w:tcBorders>
            <w:gridSpan w:val="11"/>
          </w:tcPr>
          <w:p>
            <w:pPr>
              <w:ind w:left="180"/>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31, 2012 and for the period from January 6, 2011 (date of inception) to December 31, 2011</w:t>
              </w:r>
            </w:hyperlink>
          </w:p>
        </w:tc>
        <w:tc>
          <w:tcPr>
            <w:tcW w:w="3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7180" w:type="dxa"/>
            <w:vAlign w:val="bottom"/>
            <w:tcBorders>
              <w:bottom w:val="single" w:sz="8" w:color="0000EE"/>
            </w:tcBorders>
            <w:gridSpan w:val="9"/>
            <w:shd w:val="clear" w:color="auto" w:fill="CCFFCC"/>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 for the year ended December 31, 2013, December 31, 2012</w:t>
              </w:r>
            </w:hyperlink>
          </w:p>
        </w:tc>
        <w:tc>
          <w:tcPr>
            <w:tcW w:w="420" w:type="dxa"/>
            <w:vAlign w:val="bottom"/>
            <w:tcBorders>
              <w:bottom w:val="single" w:sz="8" w:color="CCFFCC"/>
            </w:tcBorders>
            <w:gridSpan w:val="4"/>
            <w:shd w:val="clear" w:color="auto" w:fill="CCFFCC"/>
          </w:tcPr>
          <w:p>
            <w:pPr>
              <w:spacing w:after="0"/>
              <w:rPr>
                <w:sz w:val="15"/>
                <w:szCs w:val="15"/>
                <w:color w:val="auto"/>
              </w:rPr>
            </w:pPr>
          </w:p>
        </w:tc>
        <w:tc>
          <w:tcPr>
            <w:tcW w:w="30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c>
          <w:tcPr>
            <w:tcW w:w="120" w:type="dxa"/>
            <w:vAlign w:val="bottom"/>
            <w:tcBorders>
              <w:bottom w:val="single" w:sz="8" w:color="CCFFCC"/>
            </w:tcBorders>
            <w:shd w:val="clear" w:color="auto" w:fill="CCFFCC"/>
          </w:tcPr>
          <w:p>
            <w:pPr>
              <w:spacing w:after="0"/>
              <w:rPr>
                <w:sz w:val="15"/>
                <w:szCs w:val="15"/>
                <w:color w:val="auto"/>
              </w:rPr>
            </w:pPr>
          </w:p>
        </w:tc>
      </w:tr>
      <w:tr>
        <w:trPr>
          <w:trHeight w:val="196"/>
        </w:trPr>
        <w:tc>
          <w:tcPr>
            <w:tcW w:w="20" w:type="dxa"/>
            <w:vAlign w:val="bottom"/>
            <w:shd w:val="clear" w:color="auto" w:fill="CCFFCC"/>
          </w:tcPr>
          <w:p>
            <w:pPr>
              <w:spacing w:after="0"/>
              <w:rPr>
                <w:sz w:val="17"/>
                <w:szCs w:val="17"/>
                <w:color w:val="auto"/>
              </w:rPr>
            </w:pPr>
          </w:p>
        </w:tc>
        <w:tc>
          <w:tcPr>
            <w:tcW w:w="7600" w:type="dxa"/>
            <w:vAlign w:val="bottom"/>
            <w:gridSpan w:val="13"/>
            <w:shd w:val="clear" w:color="auto" w:fill="CCFFCC"/>
          </w:tcPr>
          <w:p>
            <w:pPr>
              <w:ind w:left="18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and for the period from January 6, 2011 (date of inception) to December 31, 2011</w:t>
              </w:r>
            </w:hyperlink>
          </w:p>
        </w:tc>
        <w:tc>
          <w:tcPr>
            <w:tcW w:w="3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14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gridSpan w:val="1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Schedule of Investments as of December 31, 2013</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1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tcBorders>
              <w:bottom w:val="single" w:sz="8" w:color="CCFFCC"/>
            </w:tcBorders>
            <w:shd w:val="clear" w:color="auto" w:fill="CCFFCC"/>
          </w:tcPr>
          <w:p>
            <w:pPr>
              <w:spacing w:after="0"/>
              <w:rPr>
                <w:sz w:val="17"/>
                <w:szCs w:val="17"/>
                <w:color w:val="auto"/>
              </w:rPr>
            </w:pPr>
          </w:p>
        </w:tc>
        <w:tc>
          <w:tcPr>
            <w:tcW w:w="3620" w:type="dxa"/>
            <w:vAlign w:val="bottom"/>
            <w:tcBorders>
              <w:bottom w:val="single" w:sz="8" w:color="0000EE"/>
            </w:tcBorders>
            <w:gridSpan w:val="3"/>
            <w:shd w:val="clear" w:color="auto" w:fill="CCFFCC"/>
          </w:tcPr>
          <w:p>
            <w:pPr>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Schedule of Investments as of December 31, 2012</w:t>
              </w:r>
            </w:hyperlink>
          </w:p>
        </w:tc>
        <w:tc>
          <w:tcPr>
            <w:tcW w:w="3980" w:type="dxa"/>
            <w:vAlign w:val="bottom"/>
            <w:tcBorders>
              <w:bottom w:val="single" w:sz="8" w:color="CCFFCC"/>
            </w:tcBorders>
            <w:gridSpan w:val="10"/>
            <w:shd w:val="clear" w:color="auto" w:fill="CCFFCC"/>
          </w:tcPr>
          <w:p>
            <w:pPr>
              <w:spacing w:after="0"/>
              <w:rPr>
                <w:sz w:val="17"/>
                <w:szCs w:val="17"/>
                <w:color w:val="auto"/>
              </w:rPr>
            </w:pPr>
          </w:p>
        </w:tc>
        <w:tc>
          <w:tcPr>
            <w:tcW w:w="3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73</w:t>
              </w:r>
            </w:hyperlink>
          </w:p>
        </w:tc>
        <w:tc>
          <w:tcPr>
            <w:tcW w:w="120" w:type="dxa"/>
            <w:vAlign w:val="bottom"/>
            <w:tcBorders>
              <w:bottom w:val="single" w:sz="8" w:color="CCFFCC"/>
            </w:tcBorders>
            <w:shd w:val="clear" w:color="auto" w:fill="CCFFCC"/>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600" w:type="dxa"/>
            <w:vAlign w:val="bottom"/>
            <w:gridSpan w:val="13"/>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Notes to the Consolidated Financial Statements</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-1705610</wp:posOffset>
            </wp:positionV>
            <wp:extent cx="52139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SEC:</w:t>
            </w:r>
          </w:p>
        </w:tc>
        <w:tc>
          <w:tcPr>
            <w:tcW w:w="9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600" w:type="dxa"/>
            <w:vAlign w:val="bottom"/>
          </w:tcPr>
          <w:p>
            <w:pPr>
              <w:ind w:left="140"/>
              <w:spacing w:after="0"/>
              <w:rPr>
                <w:sz w:val="20"/>
                <w:szCs w:val="20"/>
                <w:color w:val="auto"/>
              </w:rPr>
            </w:pPr>
            <w:r>
              <w:rPr>
                <w:rFonts w:ascii="Arial" w:cs="Arial" w:eastAsia="Arial" w:hAnsi="Arial"/>
                <w:sz w:val="18"/>
                <w:szCs w:val="18"/>
                <w:color w:val="auto"/>
              </w:rPr>
              <w:t>Indenture, dated September 17, 2013, relating to the 5.25% Senior Convertible Notes due 2018, by</w:t>
            </w:r>
          </w:p>
        </w:tc>
        <w:tc>
          <w:tcPr>
            <w:tcW w:w="0" w:type="dxa"/>
            <w:vAlign w:val="bottom"/>
          </w:tcPr>
          <w:p>
            <w:pPr>
              <w:spacing w:after="0"/>
              <w:rPr>
                <w:sz w:val="1"/>
                <w:szCs w:val="1"/>
                <w:color w:val="auto"/>
              </w:rPr>
            </w:pPr>
          </w:p>
        </w:tc>
      </w:tr>
      <w:tr>
        <w:trPr>
          <w:trHeight w:val="257"/>
        </w:trPr>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and between the Registrant and the U.S. Bank National Association, as trustee</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740" w:type="dxa"/>
            <w:vAlign w:val="bottom"/>
            <w:vMerge w:val="continue"/>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600" w:type="dxa"/>
            <w:vAlign w:val="bottom"/>
          </w:tcPr>
          <w:p>
            <w:pPr>
              <w:ind w:left="140"/>
              <w:spacing w:after="0"/>
              <w:rPr>
                <w:sz w:val="20"/>
                <w:szCs w:val="20"/>
                <w:color w:val="auto"/>
              </w:rPr>
            </w:pPr>
            <w:r>
              <w:rPr>
                <w:rFonts w:ascii="Arial" w:cs="Arial" w:eastAsia="Arial" w:hAnsi="Arial"/>
                <w:sz w:val="18"/>
                <w:szCs w:val="18"/>
                <w:color w:val="auto"/>
              </w:rPr>
              <w:t>Amended and Restated Investment Advisory Agreement by and between Registrant and GSV Asset</w:t>
            </w: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Management,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20"/>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600" w:type="dxa"/>
            <w:vAlign w:val="bottom"/>
          </w:tcPr>
          <w:p>
            <w:pPr>
              <w:ind w:left="140"/>
              <w:spacing w:after="0"/>
              <w:rPr>
                <w:sz w:val="20"/>
                <w:szCs w:val="20"/>
                <w:color w:val="auto"/>
              </w:rPr>
            </w:pPr>
            <w:r>
              <w:rPr>
                <w:rFonts w:ascii="Arial" w:cs="Arial" w:eastAsia="Arial" w:hAnsi="Arial"/>
                <w:sz w:val="18"/>
                <w:szCs w:val="18"/>
                <w:color w:val="auto"/>
              </w:rPr>
              <w:t>Amended and Restated Administration Agreement by and between Registrant and GSV Capital</w:t>
            </w:r>
          </w:p>
        </w:tc>
        <w:tc>
          <w:tcPr>
            <w:tcW w:w="0" w:type="dxa"/>
            <w:vAlign w:val="bottom"/>
          </w:tcPr>
          <w:p>
            <w:pPr>
              <w:spacing w:after="0"/>
              <w:rPr>
                <w:sz w:val="1"/>
                <w:szCs w:val="1"/>
                <w:color w:val="auto"/>
              </w:rPr>
            </w:pPr>
          </w:p>
        </w:tc>
      </w:tr>
      <w:tr>
        <w:trPr>
          <w:trHeight w:val="257"/>
        </w:trPr>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5"/>
              </w:rPr>
              <w:t>10.4</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Service Company,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53"/>
        </w:trPr>
        <w:tc>
          <w:tcPr>
            <w:tcW w:w="740" w:type="dxa"/>
            <w:vAlign w:val="bottom"/>
            <w:vMerge w:val="continue"/>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Form of Indemnification Agreement by and between Registrant and each of its directors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Custody Agreement by and between Registrant and U.S. Bank National Association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9600" w:type="dxa"/>
            <w:vAlign w:val="bottom"/>
          </w:tcPr>
          <w:p>
            <w:pPr>
              <w:ind w:left="140"/>
              <w:spacing w:after="0"/>
              <w:rPr>
                <w:sz w:val="20"/>
                <w:szCs w:val="20"/>
                <w:color w:val="auto"/>
              </w:rPr>
            </w:pPr>
            <w:r>
              <w:rPr>
                <w:rFonts w:ascii="Arial" w:cs="Arial" w:eastAsia="Arial" w:hAnsi="Arial"/>
                <w:sz w:val="18"/>
                <w:szCs w:val="18"/>
                <w:color w:val="auto"/>
              </w:rPr>
              <w:t>Form of Trademark License Agreement by and between Registrant and GSV Asset Management,</w:t>
            </w: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LLC</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0"/>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9600" w:type="dxa"/>
            <w:vAlign w:val="bottom"/>
          </w:tcPr>
          <w:p>
            <w:pPr>
              <w:ind w:left="140"/>
              <w:spacing w:after="0"/>
              <w:rPr>
                <w:sz w:val="20"/>
                <w:szCs w:val="20"/>
                <w:color w:val="auto"/>
              </w:rPr>
            </w:pPr>
            <w:r>
              <w:rPr>
                <w:rFonts w:ascii="Arial" w:cs="Arial" w:eastAsia="Arial" w:hAnsi="Arial"/>
                <w:sz w:val="18"/>
                <w:szCs w:val="18"/>
                <w:color w:val="auto"/>
              </w:rPr>
              <w:t>Loan and Security Agreement between GSV Capital Corp. and Silicon Valley Bank, dated as of</w:t>
            </w:r>
          </w:p>
        </w:tc>
        <w:tc>
          <w:tcPr>
            <w:tcW w:w="0" w:type="dxa"/>
            <w:vAlign w:val="bottom"/>
          </w:tcPr>
          <w:p>
            <w:pPr>
              <w:spacing w:after="0"/>
              <w:rPr>
                <w:sz w:val="1"/>
                <w:szCs w:val="1"/>
                <w:color w:val="auto"/>
              </w:rPr>
            </w:pPr>
          </w:p>
        </w:tc>
      </w:tr>
      <w:tr>
        <w:trPr>
          <w:trHeight w:val="257"/>
        </w:trPr>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5"/>
              </w:rPr>
              <w:t>14.1</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December 31, 2013</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53"/>
        </w:trPr>
        <w:tc>
          <w:tcPr>
            <w:tcW w:w="740" w:type="dxa"/>
            <w:vAlign w:val="bottom"/>
            <w:vMerge w:val="continue"/>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Code of Ethics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96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 of the Securities Exchange Act 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6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 of the Securities Exchange Act 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96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6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770"/>
        </w:trPr>
        <w:tc>
          <w:tcPr>
            <w:tcW w:w="740" w:type="dxa"/>
            <w:vAlign w:val="bottom"/>
          </w:tcPr>
          <w:p>
            <w:pPr>
              <w:spacing w:after="0"/>
              <w:rPr>
                <w:sz w:val="24"/>
                <w:szCs w:val="24"/>
                <w:color w:val="auto"/>
              </w:rPr>
            </w:pPr>
          </w:p>
        </w:tc>
        <w:tc>
          <w:tcPr>
            <w:tcW w:w="9600" w:type="dxa"/>
            <w:vAlign w:val="bottom"/>
          </w:tcPr>
          <w:p>
            <w:pPr>
              <w:ind w:left="37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96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96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-4330065</wp:posOffset>
            </wp:positionV>
            <wp:extent cx="51796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172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80" w:right="519" w:hanging="272"/>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on Form 10-K (File No. 814-00852) filed on March 14, 2013.</w:t>
      </w:r>
    </w:p>
    <w:p>
      <w:pPr>
        <w:spacing w:after="0" w:line="117"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18, 2013, and incorporated by reference herein.</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January 7, 2014.</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820" w:firstLine="27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360" w:type="dxa"/>
            <w:vAlign w:val="bottom"/>
            <w:gridSpan w:val="3"/>
          </w:tcPr>
          <w:p>
            <w:pPr>
              <w:ind w:left="1380"/>
              <w:spacing w:after="0" w:line="200" w:lineRule="exact"/>
              <w:rPr>
                <w:sz w:val="20"/>
                <w:szCs w:val="20"/>
                <w:color w:val="auto"/>
              </w:rPr>
            </w:pPr>
            <w:r>
              <w:rPr>
                <w:rFonts w:ascii="Arial" w:cs="Arial" w:eastAsia="Arial" w:hAnsi="Arial"/>
                <w:sz w:val="18"/>
                <w:szCs w:val="18"/>
                <w:b w:val="1"/>
                <w:bCs w:val="1"/>
                <w:color w:val="auto"/>
              </w:rPr>
              <w:t>GSV CAPITAL CORP.</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Date: March 17, 2014</w:t>
            </w:r>
          </w:p>
        </w:tc>
        <w:tc>
          <w:tcPr>
            <w:tcW w:w="7360" w:type="dxa"/>
            <w:vAlign w:val="bottom"/>
            <w:gridSpan w:val="3"/>
          </w:tcPr>
          <w:p>
            <w:pPr>
              <w:ind w:left="13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Michael T. Moe</w:t>
            </w:r>
          </w:p>
        </w:tc>
      </w:tr>
      <w:tr>
        <w:trPr>
          <w:trHeight w:val="195"/>
        </w:trPr>
        <w:tc>
          <w:tcPr>
            <w:tcW w:w="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16"/>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Date: March 17, 2014</w:t>
            </w:r>
          </w:p>
        </w:tc>
        <w:tc>
          <w:tcPr>
            <w:tcW w:w="7360" w:type="dxa"/>
            <w:vAlign w:val="bottom"/>
            <w:gridSpan w:val="3"/>
          </w:tcPr>
          <w:p>
            <w:pPr>
              <w:ind w:left="13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Stephen D. Bard</w:t>
            </w:r>
          </w:p>
        </w:tc>
      </w:tr>
      <w:tr>
        <w:trPr>
          <w:trHeight w:val="195"/>
        </w:trPr>
        <w:tc>
          <w:tcPr>
            <w:tcW w:w="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and Secretary</w:t>
            </w:r>
          </w:p>
        </w:tc>
      </w:tr>
      <w:tr>
        <w:trPr>
          <w:trHeight w:val="216"/>
        </w:trPr>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Financial and</w:t>
            </w:r>
          </w:p>
        </w:tc>
      </w:tr>
      <w:tr>
        <w:trPr>
          <w:trHeight w:val="230"/>
        </w:trPr>
        <w:tc>
          <w:tcPr>
            <w:tcW w:w="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770"/>
        </w:trPr>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180" w:type="dxa"/>
            <w:vAlign w:val="bottom"/>
            <w:gridSpan w:val="2"/>
          </w:tcPr>
          <w:p>
            <w:pPr>
              <w:jc w:val="right"/>
              <w:ind w:right="3330"/>
              <w:spacing w:after="0"/>
              <w:rPr>
                <w:sz w:val="20"/>
                <w:szCs w:val="20"/>
                <w:color w:val="auto"/>
              </w:rPr>
            </w:pPr>
            <w:r>
              <w:rPr>
                <w:rFonts w:ascii="Arial" w:cs="Arial" w:eastAsia="Arial" w:hAnsi="Arial"/>
                <w:sz w:val="18"/>
                <w:szCs w:val="18"/>
                <w:color w:val="auto"/>
              </w:rPr>
              <w:t>105</w:t>
            </w:r>
          </w:p>
        </w:tc>
        <w:tc>
          <w:tcPr>
            <w:tcW w:w="218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34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108" w:name="page109"/>
    <w:bookmarkEnd w:id="108"/>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720" w:hanging="17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jc w:val="both"/>
        <w:ind w:left="280" w:right="519" w:firstLine="268"/>
        <w:spacing w:after="0" w:line="264" w:lineRule="auto"/>
        <w:tabs>
          <w:tab w:leader="none" w:pos="7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280" w:right="519" w:firstLine="268"/>
        <w:spacing w:after="0" w:line="264" w:lineRule="auto"/>
        <w:tabs>
          <w:tab w:leader="none" w:pos="7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80" w:right="519" w:firstLine="268"/>
        <w:spacing w:after="0" w:line="264" w:lineRule="auto"/>
        <w:tabs>
          <w:tab w:leader="none" w:pos="7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right="519" w:firstLine="278"/>
        <w:spacing w:after="0" w:line="312" w:lineRule="auto"/>
        <w:tabs>
          <w:tab w:leader="none" w:pos="1063"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540" w:right="539" w:firstLine="278"/>
        <w:spacing w:after="0" w:line="312" w:lineRule="auto"/>
        <w:tabs>
          <w:tab w:leader="none" w:pos="107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540" w:right="519" w:firstLine="278"/>
        <w:spacing w:after="0" w:line="264" w:lineRule="auto"/>
        <w:tabs>
          <w:tab w:leader="none" w:pos="1079"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540" w:right="519" w:firstLine="278"/>
        <w:spacing w:after="0" w:line="312" w:lineRule="auto"/>
        <w:tabs>
          <w:tab w:leader="none" w:pos="1079"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jc w:val="both"/>
        <w:ind w:left="280" w:right="519" w:firstLine="268"/>
        <w:spacing w:after="0" w:line="264" w:lineRule="auto"/>
        <w:tabs>
          <w:tab w:leader="none" w:pos="7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540" w:right="519" w:firstLine="278"/>
        <w:spacing w:after="0" w:line="264" w:lineRule="auto"/>
        <w:tabs>
          <w:tab w:leader="none" w:pos="108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540" w:right="519" w:firstLine="278"/>
        <w:spacing w:after="0" w:line="277" w:lineRule="auto"/>
        <w:tabs>
          <w:tab w:leader="none" w:pos="10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2014.</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4445</wp:posOffset>
            </wp:positionV>
            <wp:extent cx="383349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09" w:name="page110"/>
    <w:bookmarkEnd w:id="109"/>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117" w:lineRule="exact"/>
        <w:rPr>
          <w:sz w:val="20"/>
          <w:szCs w:val="20"/>
          <w:color w:val="auto"/>
        </w:rPr>
      </w:pPr>
    </w:p>
    <w:p>
      <w:pPr>
        <w:ind w:left="720" w:hanging="17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jc w:val="both"/>
        <w:ind w:left="280" w:right="519" w:firstLine="268"/>
        <w:spacing w:after="0" w:line="264" w:lineRule="auto"/>
        <w:tabs>
          <w:tab w:leader="none" w:pos="7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280" w:right="519" w:firstLine="268"/>
        <w:spacing w:after="0" w:line="264" w:lineRule="auto"/>
        <w:tabs>
          <w:tab w:leader="none" w:pos="7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80" w:right="519" w:firstLine="268"/>
        <w:spacing w:after="0" w:line="264" w:lineRule="auto"/>
        <w:tabs>
          <w:tab w:leader="none" w:pos="7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right="519" w:firstLine="278"/>
        <w:spacing w:after="0" w:line="312" w:lineRule="auto"/>
        <w:tabs>
          <w:tab w:leader="none" w:pos="1063"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540" w:right="539" w:firstLine="278"/>
        <w:spacing w:after="0" w:line="312" w:lineRule="auto"/>
        <w:tabs>
          <w:tab w:leader="none" w:pos="107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540" w:right="519" w:firstLine="278"/>
        <w:spacing w:after="0" w:line="264" w:lineRule="auto"/>
        <w:tabs>
          <w:tab w:leader="none" w:pos="10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540" w:right="519" w:firstLine="278"/>
        <w:spacing w:after="0" w:line="312" w:lineRule="auto"/>
        <w:tabs>
          <w:tab w:leader="none" w:pos="1079"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jc w:val="both"/>
        <w:ind w:left="280" w:right="519" w:firstLine="268"/>
        <w:spacing w:after="0" w:line="264" w:lineRule="auto"/>
        <w:tabs>
          <w:tab w:leader="none" w:pos="7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540" w:right="519" w:firstLine="278"/>
        <w:spacing w:after="0" w:line="264" w:lineRule="auto"/>
        <w:tabs>
          <w:tab w:leader="none" w:pos="10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540" w:right="519" w:firstLine="278"/>
        <w:spacing w:after="0" w:line="277" w:lineRule="auto"/>
        <w:tabs>
          <w:tab w:leader="none" w:pos="10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2014.</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5080</wp:posOffset>
            </wp:positionV>
            <wp:extent cx="383349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10" w:name="page111"/>
    <w:bookmarkEnd w:id="110"/>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2013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11" w:name="page112"/>
    <w:bookmarkEnd w:id="111"/>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2013 (the “Report”) of GSV Capital Corp. (the “Registrant”), as filed with the Securities and Exchange Commission on the date hereof, I, Stephen D. Bard,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Stephen D. Bard</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March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516255</wp:posOffset>
            </wp:positionV>
            <wp:extent cx="6114415"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lvl w:ilvl="1">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lvl w:ilvl="1">
      <w:lvlJc w:val="left"/>
      <w:lvlText w:val="•"/>
      <w:numFmt w:val="bullet"/>
      <w:start w:val="1"/>
    </w:lvl>
  </w:abstractNum>
  <w:abstractNum w:abstractNumId="19">
    <w:nsid w:val="3855585C"/>
    <w:multiLevelType w:val="hybridMultilevel"/>
    <w:lvl w:ilvl="0">
      <w:lvlJc w:val="left"/>
      <w:lvlText w:val="•"/>
      <w:numFmt w:val="bullet"/>
      <w:start w:val="1"/>
    </w:lvl>
    <w:lvl w:ilvl="1">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2A487CB0"/>
    <w:multiLevelType w:val="hybridMultilevel"/>
    <w:lvl w:ilvl="0">
      <w:lvlJc w:val="left"/>
      <w:lvlText w:val="%1"/>
      <w:numFmt w:val="decimal"/>
      <w:start w:val="1"/>
    </w:lvl>
    <w:lvl w:ilvl="1">
      <w:lvlJc w:val="left"/>
      <w:lvlText w:val="%2."/>
      <w:numFmt w:val="lowerRoman"/>
      <w:start w:val="3"/>
    </w:lvl>
  </w:abstractNum>
  <w:abstractNum w:abstractNumId="23">
    <w:nsid w:val="1D4ED43B"/>
    <w:multiLevelType w:val="hybridMultilevel"/>
    <w:lvl w:ilvl="0">
      <w:lvlJc w:val="left"/>
      <w:lvlText w:val="%1."/>
      <w:numFmt w:val="decimal"/>
      <w:start w:val="2"/>
    </w:lvl>
    <w:lvl w:ilvl="1">
      <w:lvlJc w:val="left"/>
      <w:lvlText w:val="%2"/>
      <w:numFmt w:val="lowerRoman"/>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lvl w:ilvl="1">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3"/>
    </w:lvl>
  </w:abstractNum>
  <w:abstractNum w:abstractNumId="43">
    <w:nsid w:val="520EEDD1"/>
    <w:multiLevelType w:val="hybridMultilevel"/>
    <w:lvl w:ilvl="0">
      <w:lvlJc w:val="left"/>
      <w:lvlText w:val="(%1)"/>
      <w:numFmt w:val="decimal"/>
      <w:start w:val="13"/>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8"/>
    </w:lvl>
  </w:abstractNum>
  <w:abstractNum w:abstractNumId="47">
    <w:nsid w:val="649BB77C"/>
    <w:multiLevelType w:val="hybridMultilevel"/>
    <w:lvl w:ilvl="0">
      <w:lvlJc w:val="left"/>
      <w:lvlText w:val="(%1)"/>
      <w:numFmt w:val="decimal"/>
      <w:start w:val="12"/>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2019-12-08T00:59:00Z</dcterms:created>
  <dcterms:modified xsi:type="dcterms:W3CDTF">2019-12-08T00:59:00Z</dcterms:modified>
</cp:coreProperties>
</file>