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200025</wp:posOffset>
            </wp:positionH>
            <wp:positionV relativeFrom="page">
              <wp:posOffset>270510</wp:posOffset>
            </wp:positionV>
            <wp:extent cx="714819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3810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316230</wp:posOffset>
            </wp:positionV>
            <wp:extent cx="714819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5240"/>
                    </a:xfrm>
                    <a:prstGeom prst="rect">
                      <a:avLst/>
                    </a:prstGeom>
                    <a:noFill/>
                  </pic:spPr>
                </pic:pic>
              </a:graphicData>
            </a:graphic>
          </wp:anchor>
        </w:drawing>
        <w:t>UNITED STATES</w:t>
      </w:r>
    </w:p>
    <w:p>
      <w:pPr>
        <w:spacing w:after="0" w:line="1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2501265</wp:posOffset>
            </wp:positionH>
            <wp:positionV relativeFrom="paragraph">
              <wp:posOffset>120650</wp:posOffset>
            </wp:positionV>
            <wp:extent cx="214503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5030" cy="15240"/>
                    </a:xfrm>
                    <a:prstGeom prst="rect">
                      <a:avLst/>
                    </a:prstGeom>
                    <a:noFill/>
                  </pic:spPr>
                </pic:pic>
              </a:graphicData>
            </a:graphic>
          </wp:anchor>
        </w:drawing>
      </w: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2501265</wp:posOffset>
            </wp:positionH>
            <wp:positionV relativeFrom="paragraph">
              <wp:posOffset>140970</wp:posOffset>
            </wp:positionV>
            <wp:extent cx="214503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5030" cy="1524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8" w:lineRule="exact"/>
        <w:rPr>
          <w:sz w:val="24"/>
          <w:szCs w:val="24"/>
          <w:color w:val="auto"/>
        </w:rPr>
      </w:pPr>
    </w:p>
    <w:p>
      <w:pPr>
        <w:ind w:left="285" w:hanging="285"/>
        <w:spacing w:after="0"/>
        <w:tabs>
          <w:tab w:leader="none" w:pos="2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198" w:lineRule="exact"/>
        <w:rPr>
          <w:sz w:val="24"/>
          <w:szCs w:val="24"/>
          <w:color w:val="auto"/>
        </w:rPr>
      </w:pPr>
    </w:p>
    <w:p>
      <w:pPr>
        <w:ind w:left="4125" w:right="2880" w:hanging="4125"/>
        <w:spacing w:after="0" w:line="531" w:lineRule="auto"/>
        <w:tabs>
          <w:tab w:leader="none" w:pos="29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2501265</wp:posOffset>
            </wp:positionH>
            <wp:positionV relativeFrom="paragraph">
              <wp:posOffset>-19685</wp:posOffset>
            </wp:positionV>
            <wp:extent cx="214503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5030" cy="15240"/>
                    </a:xfrm>
                    <a:prstGeom prst="rect">
                      <a:avLst/>
                    </a:prstGeom>
                    <a:noFill/>
                  </pic:spPr>
                </pic:pic>
              </a:graphicData>
            </a:graphic>
          </wp:anchor>
        </w:drawing>
      </w:r>
    </w:p>
    <w:p>
      <w:pPr>
        <w:spacing w:after="0" w:line="13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9"/>
          <w:szCs w:val="29"/>
          <w:b w:val="1"/>
          <w:bCs w:val="1"/>
          <w:color w:val="auto"/>
        </w:rPr>
        <w:t>SuRo Capital Corp.</w:t>
      </w:r>
    </w:p>
    <w:p>
      <w:pPr>
        <w:spacing w:after="0" w:line="3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2501265</wp:posOffset>
            </wp:positionH>
            <wp:positionV relativeFrom="paragraph">
              <wp:posOffset>125095</wp:posOffset>
            </wp:positionV>
            <wp:extent cx="214503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5030" cy="15240"/>
                    </a:xfrm>
                    <a:prstGeom prst="rect">
                      <a:avLst/>
                    </a:prstGeom>
                    <a:noFill/>
                  </pic:spPr>
                </pic:pic>
              </a:graphicData>
            </a:graphic>
          </wp:anchor>
        </w:drawing>
      </w:r>
    </w:p>
    <w:p>
      <w:pPr>
        <w:spacing w:after="0" w:line="385" w:lineRule="exact"/>
        <w:rPr>
          <w:sz w:val="24"/>
          <w:szCs w:val="24"/>
          <w:color w:val="auto"/>
        </w:rPr>
      </w:pPr>
    </w:p>
    <w:tbl>
      <w:tblPr>
        <w:tblLayout w:type="fixed"/>
        <w:tblInd w:w="5" w:type="dxa"/>
        <w:tblCellMar>
          <w:top w:w="0" w:type="dxa"/>
          <w:left w:w="0" w:type="dxa"/>
          <w:bottom w:w="0" w:type="dxa"/>
          <w:right w:w="0" w:type="dxa"/>
        </w:tblCellMar>
      </w:tblPr>
      <w:tr>
        <w:trPr>
          <w:trHeight w:val="193"/>
        </w:trPr>
        <w:tc>
          <w:tcPr>
            <w:tcW w:w="4740" w:type="dxa"/>
            <w:vAlign w:val="bottom"/>
            <w:gridSpan w:val="3"/>
          </w:tcPr>
          <w:p>
            <w:pPr>
              <w:jc w:val="center"/>
              <w:ind w:left="82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40" w:type="dxa"/>
            <w:vAlign w:val="bottom"/>
          </w:tcPr>
          <w:p>
            <w:pPr>
              <w:jc w:val="right"/>
              <w:ind w:right="2360"/>
              <w:spacing w:after="0"/>
              <w:rPr>
                <w:sz w:val="20"/>
                <w:szCs w:val="20"/>
                <w:color w:val="auto"/>
              </w:rPr>
            </w:pPr>
            <w:r>
              <w:rPr>
                <w:rFonts w:ascii="Times New Roman" w:cs="Times New Roman" w:eastAsia="Times New Roman" w:hAnsi="Times New Roman"/>
                <w:sz w:val="16"/>
                <w:szCs w:val="16"/>
                <w:b w:val="1"/>
                <w:bCs w:val="1"/>
                <w:color w:val="auto"/>
              </w:rPr>
              <w:t>27-4443543</w:t>
            </w:r>
          </w:p>
        </w:tc>
      </w:tr>
      <w:tr>
        <w:trPr>
          <w:trHeight w:val="208"/>
        </w:trPr>
        <w:tc>
          <w:tcPr>
            <w:tcW w:w="4740" w:type="dxa"/>
            <w:vAlign w:val="bottom"/>
            <w:gridSpan w:val="3"/>
          </w:tcPr>
          <w:p>
            <w:pPr>
              <w:jc w:val="center"/>
              <w:ind w:left="820"/>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tcPr>
          <w:p>
            <w:pPr>
              <w:jc w:val="center"/>
              <w:ind w:right="82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365"/>
        </w:trPr>
        <w:tc>
          <w:tcPr>
            <w:tcW w:w="4740" w:type="dxa"/>
            <w:vAlign w:val="bottom"/>
            <w:gridSpan w:val="3"/>
          </w:tcPr>
          <w:p>
            <w:pPr>
              <w:jc w:val="center"/>
              <w:ind w:left="800"/>
              <w:spacing w:after="0"/>
              <w:rPr>
                <w:sz w:val="20"/>
                <w:szCs w:val="20"/>
                <w:color w:val="auto"/>
              </w:rPr>
            </w:pPr>
            <w:r>
              <w:rPr>
                <w:rFonts w:ascii="Times New Roman" w:cs="Times New Roman" w:eastAsia="Times New Roman" w:hAnsi="Times New Roman"/>
                <w:sz w:val="16"/>
                <w:szCs w:val="16"/>
                <w:b w:val="1"/>
                <w:bCs w:val="1"/>
                <w:color w:val="auto"/>
                <w:w w:val="98"/>
              </w:rPr>
              <w:t>640 Fifth Avenue, 12th Floor, New York, NY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tcPr>
          <w:p>
            <w:pPr>
              <w:jc w:val="right"/>
              <w:ind w:right="2540"/>
              <w:spacing w:after="0"/>
              <w:rPr>
                <w:sz w:val="20"/>
                <w:szCs w:val="20"/>
                <w:color w:val="auto"/>
              </w:rPr>
            </w:pPr>
            <w:r>
              <w:rPr>
                <w:rFonts w:ascii="Times New Roman" w:cs="Times New Roman" w:eastAsia="Times New Roman" w:hAnsi="Times New Roman"/>
                <w:sz w:val="16"/>
                <w:szCs w:val="16"/>
                <w:b w:val="1"/>
                <w:bCs w:val="1"/>
                <w:color w:val="auto"/>
              </w:rPr>
              <w:t>10019</w:t>
            </w:r>
          </w:p>
        </w:tc>
      </w:tr>
      <w:tr>
        <w:trPr>
          <w:trHeight w:val="208"/>
        </w:trPr>
        <w:tc>
          <w:tcPr>
            <w:tcW w:w="4740" w:type="dxa"/>
            <w:vAlign w:val="bottom"/>
            <w:gridSpan w:val="3"/>
          </w:tcPr>
          <w:p>
            <w:pPr>
              <w:jc w:val="center"/>
              <w:ind w:left="82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tcPr>
          <w:p>
            <w:pPr>
              <w:jc w:val="center"/>
              <w:ind w:right="800"/>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65"/>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(212) 931-6331</w:t>
            </w:r>
          </w:p>
        </w:tc>
        <w:tc>
          <w:tcPr>
            <w:tcW w:w="2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8"/>
        </w:trPr>
        <w:tc>
          <w:tcPr>
            <w:tcW w:w="1126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r>
      <w:tr>
        <w:trPr>
          <w:trHeight w:val="382"/>
        </w:trPr>
        <w:tc>
          <w:tcPr>
            <w:tcW w:w="112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r>
      <w:tr>
        <w:trPr>
          <w:trHeight w:val="398"/>
        </w:trPr>
        <w:tc>
          <w:tcPr>
            <w:tcW w:w="474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78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74"/>
        </w:trPr>
        <w:tc>
          <w:tcPr>
            <w:tcW w:w="406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Common Stock, par value $0.01 per share</w:t>
            </w:r>
          </w:p>
        </w:tc>
        <w:tc>
          <w:tcPr>
            <w:tcW w:w="2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ind w:right="380"/>
              <w:spacing w:after="0" w:line="175" w:lineRule="exact"/>
              <w:rPr>
                <w:sz w:val="20"/>
                <w:szCs w:val="20"/>
                <w:color w:val="auto"/>
              </w:rPr>
            </w:pPr>
            <w:r>
              <w:rPr>
                <w:rFonts w:ascii="Times New Roman" w:cs="Times New Roman" w:eastAsia="Times New Roman" w:hAnsi="Times New Roman"/>
                <w:sz w:val="16"/>
                <w:szCs w:val="16"/>
                <w:color w:val="auto"/>
              </w:rPr>
              <w:t>SSSS</w:t>
            </w:r>
          </w:p>
        </w:tc>
        <w:tc>
          <w:tcPr>
            <w:tcW w:w="200" w:type="dxa"/>
            <w:vAlign w:val="bottom"/>
          </w:tcPr>
          <w:p>
            <w:pPr>
              <w:spacing w:after="0"/>
              <w:rPr>
                <w:sz w:val="15"/>
                <w:szCs w:val="15"/>
                <w:color w:val="auto"/>
              </w:rPr>
            </w:pPr>
          </w:p>
        </w:tc>
        <w:tc>
          <w:tcPr>
            <w:tcW w:w="47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Nasdaq Global Select Market</w:t>
            </w:r>
          </w:p>
        </w:tc>
      </w:tr>
      <w:tr>
        <w:trPr>
          <w:trHeight w:val="208"/>
        </w:trPr>
        <w:tc>
          <w:tcPr>
            <w:tcW w:w="474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color w:val="auto"/>
                <w:w w:val="98"/>
              </w:rPr>
              <w:t>6.00% Notes due 2026</w:t>
            </w:r>
          </w:p>
        </w:tc>
        <w:tc>
          <w:tcPr>
            <w:tcW w:w="178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color w:val="auto"/>
                <w:w w:val="96"/>
              </w:rPr>
              <w:t>SSSSL</w:t>
            </w:r>
          </w:p>
        </w:tc>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r>
    </w:tbl>
    <w:p>
      <w:pPr>
        <w:spacing w:after="0" w:line="174" w:lineRule="exact"/>
        <w:rPr>
          <w:sz w:val="24"/>
          <w:szCs w:val="24"/>
          <w:color w:val="auto"/>
        </w:rPr>
      </w:pPr>
    </w:p>
    <w:p>
      <w:pPr>
        <w:jc w:val="both"/>
        <w:ind w:left="5" w:firstLine="287"/>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2" w:lineRule="exact"/>
        <w:rPr>
          <w:sz w:val="24"/>
          <w:szCs w:val="24"/>
          <w:color w:val="auto"/>
        </w:rPr>
      </w:pPr>
    </w:p>
    <w:p>
      <w:pPr>
        <w:jc w:val="both"/>
        <w:ind w:left="5" w:right="20"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left="5" w:right="20" w:firstLine="287"/>
        <w:spacing w:after="0" w:line="31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5"/>
          </w:cols>
          <w:pgMar w:left="315" w:top="670" w:right="319" w:bottom="1440" w:gutter="0" w:footer="0" w:header="0"/>
        </w:sectPr>
      </w:pPr>
    </w:p>
    <w:p>
      <w:pPr>
        <w:spacing w:after="0" w:line="86"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61"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7" w:lineRule="exact"/>
        <w:rPr>
          <w:sz w:val="24"/>
          <w:szCs w:val="24"/>
          <w:color w:val="auto"/>
        </w:rPr>
      </w:pPr>
    </w:p>
    <w:p>
      <w:pPr>
        <w:ind w:left="5"/>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382" w:lineRule="exact"/>
        <w:rPr>
          <w:sz w:val="24"/>
          <w:szCs w:val="24"/>
          <w:color w:val="auto"/>
        </w:rPr>
      </w:pPr>
    </w:p>
    <w:p>
      <w:pPr>
        <w:sectPr>
          <w:pgSz w:w="11900" w:h="16838" w:orient="portrait"/>
          <w:cols w:equalWidth="0" w:num="2">
            <w:col w:w="6045" w:space="720"/>
            <w:col w:w="4500"/>
          </w:cols>
          <w:pgMar w:left="315" w:top="670" w:right="319" w:bottom="1440" w:gutter="0" w:footer="0" w:header="0"/>
          <w:type w:val="continuous"/>
        </w:sectPr>
      </w:pPr>
    </w:p>
    <w:p>
      <w:pPr>
        <w:ind w:left="5" w:right="20"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5" w:lineRule="exact"/>
        <w:rPr>
          <w:sz w:val="24"/>
          <w:szCs w:val="24"/>
          <w:color w:val="auto"/>
        </w:rPr>
      </w:pPr>
    </w:p>
    <w:p>
      <w:pPr>
        <w:ind w:left="285"/>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4" w:lineRule="exact"/>
        <w:rPr>
          <w:sz w:val="24"/>
          <w:szCs w:val="24"/>
          <w:color w:val="auto"/>
        </w:rPr>
      </w:pPr>
    </w:p>
    <w:p>
      <w:pPr>
        <w:ind w:left="285"/>
        <w:spacing w:after="0"/>
        <w:rPr>
          <w:sz w:val="20"/>
          <w:szCs w:val="20"/>
          <w:color w:val="auto"/>
        </w:rPr>
      </w:pPr>
      <w:r>
        <w:rPr>
          <w:rFonts w:ascii="Times New Roman" w:cs="Times New Roman" w:eastAsia="Times New Roman" w:hAnsi="Times New Roman"/>
          <w:sz w:val="16"/>
          <w:szCs w:val="16"/>
          <w:color w:val="auto"/>
        </w:rPr>
        <w:t>The issuer had 23,353,284 shares of common stock, $0.01 par value per share, outstanding as of May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166370</wp:posOffset>
            </wp:positionV>
            <wp:extent cx="714819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447040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670"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80" w:type="dxa"/>
            <w:vAlign w:val="bottom"/>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SURO CAPITAL CORP.</w:t>
            </w:r>
          </w:p>
        </w:tc>
        <w:tc>
          <w:tcPr>
            <w:tcW w:w="580" w:type="dxa"/>
            <w:vAlign w:val="bottom"/>
          </w:tcPr>
          <w:p>
            <w:pPr>
              <w:spacing w:after="0"/>
              <w:rPr>
                <w:sz w:val="18"/>
                <w:szCs w:val="18"/>
                <w:color w:val="auto"/>
              </w:rPr>
            </w:pPr>
          </w:p>
        </w:tc>
      </w:tr>
      <w:tr>
        <w:trPr>
          <w:trHeight w:val="382"/>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980" w:type="dxa"/>
            <w:vAlign w:val="bottom"/>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580" w:type="dxa"/>
            <w:vAlign w:val="bottom"/>
          </w:tcPr>
          <w:p>
            <w:pPr>
              <w:spacing w:after="0"/>
              <w:rPr>
                <w:sz w:val="24"/>
                <w:szCs w:val="24"/>
                <w:color w:val="auto"/>
              </w:rPr>
            </w:pPr>
          </w:p>
        </w:tc>
      </w:tr>
      <w:tr>
        <w:trPr>
          <w:trHeight w:val="398"/>
        </w:trPr>
        <w:tc>
          <w:tcPr>
            <w:tcW w:w="6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1"/>
        </w:trPr>
        <w:tc>
          <w:tcPr>
            <w:tcW w:w="1068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0000EE"/>
              </w:rPr>
              <w:t>PART I. FINANCIAL INFORMATION</w:t>
            </w:r>
          </w:p>
        </w:tc>
        <w:tc>
          <w:tcPr>
            <w:tcW w:w="580" w:type="dxa"/>
            <w:vAlign w:val="bottom"/>
            <w:shd w:val="clear" w:color="auto" w:fill="CCEEFF"/>
          </w:tcPr>
          <w:p>
            <w:pPr>
              <w:spacing w:after="0"/>
              <w:rPr>
                <w:sz w:val="14"/>
                <w:szCs w:val="14"/>
                <w:color w:val="auto"/>
              </w:rPr>
            </w:pPr>
          </w:p>
        </w:tc>
      </w:tr>
      <w:tr>
        <w:trPr>
          <w:trHeight w:val="155"/>
        </w:trPr>
        <w:tc>
          <w:tcPr>
            <w:tcW w:w="860" w:type="dxa"/>
            <w:vAlign w:val="bottom"/>
            <w:tcBorders>
              <w:top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w:t>
            </w:r>
          </w:p>
        </w:tc>
        <w:tc>
          <w:tcPr>
            <w:tcW w:w="1840" w:type="dxa"/>
            <w:vAlign w:val="bottom"/>
            <w:tcBorders>
              <w:top w:val="single" w:sz="8" w:color="0000EE"/>
            </w:tcBorders>
            <w:gridSpan w:val="8"/>
          </w:tcPr>
          <w:p>
            <w:pPr>
              <w:spacing w:after="0" w:line="155" w:lineRule="exact"/>
              <w:rPr>
                <w:sz w:val="20"/>
                <w:szCs w:val="20"/>
                <w:color w:val="auto"/>
              </w:rPr>
            </w:pPr>
            <w:r>
              <w:rPr>
                <w:rFonts w:ascii="Times New Roman" w:cs="Times New Roman" w:eastAsia="Times New Roman" w:hAnsi="Times New Roman"/>
                <w:sz w:val="16"/>
                <w:szCs w:val="16"/>
                <w:color w:val="0000EE"/>
              </w:rPr>
              <w:t>Financial Statements</w:t>
            </w:r>
          </w:p>
        </w:tc>
        <w:tc>
          <w:tcPr>
            <w:tcW w:w="7980" w:type="dxa"/>
            <w:vAlign w:val="bottom"/>
            <w:tcBorders>
              <w:top w:val="single" w:sz="8" w:color="CCEEFF"/>
            </w:tcBorders>
            <w:gridSpan w:val="11"/>
          </w:tcPr>
          <w:p>
            <w:pPr>
              <w:spacing w:after="0"/>
              <w:rPr>
                <w:sz w:val="13"/>
                <w:szCs w:val="13"/>
                <w:color w:val="auto"/>
              </w:rPr>
            </w:pPr>
          </w:p>
        </w:tc>
        <w:tc>
          <w:tcPr>
            <w:tcW w:w="580" w:type="dxa"/>
            <w:vAlign w:val="bottom"/>
            <w:tcBorders>
              <w:top w:val="single" w:sz="8" w:color="CCEEFF"/>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w:t>
            </w: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7"/>
        </w:trPr>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20" w:type="dxa"/>
            <w:vAlign w:val="bottom"/>
            <w:gridSpan w:val="19"/>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Condensed Consolidated Statements of Assets and Liabilities as of March 31, 2024 (Unaudited) and December 31, 2023</w:t>
            </w:r>
          </w:p>
        </w:tc>
        <w:tc>
          <w:tcPr>
            <w:tcW w:w="5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1</w:t>
            </w:r>
          </w:p>
        </w:tc>
      </w:tr>
      <w:tr>
        <w:trPr>
          <w:trHeight w:val="155"/>
        </w:trPr>
        <w:tc>
          <w:tcPr>
            <w:tcW w:w="6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7560" w:type="dxa"/>
            <w:vAlign w:val="bottom"/>
            <w:tcBorders>
              <w:top w:val="single" w:sz="8" w:color="0000EE"/>
              <w:bottom w:val="single" w:sz="8" w:color="0000EE"/>
            </w:tcBorders>
            <w:gridSpan w:val="15"/>
          </w:tcPr>
          <w:p>
            <w:pPr>
              <w:spacing w:after="0" w:line="155" w:lineRule="exact"/>
              <w:rPr>
                <w:sz w:val="20"/>
                <w:szCs w:val="20"/>
                <w:color w:val="auto"/>
              </w:rPr>
            </w:pPr>
            <w:r>
              <w:rPr>
                <w:rFonts w:ascii="Times New Roman" w:cs="Times New Roman" w:eastAsia="Times New Roman" w:hAnsi="Times New Roman"/>
                <w:sz w:val="16"/>
                <w:szCs w:val="16"/>
                <w:color w:val="0000EE"/>
                <w:w w:val="99"/>
              </w:rPr>
              <w:t>Condensed Consolidated Statements of Operations for the Three Months Ended March 31, 2024 and 2023 (Unaudited)</w:t>
            </w:r>
          </w:p>
        </w:tc>
        <w:tc>
          <w:tcPr>
            <w:tcW w:w="100" w:type="dxa"/>
            <w:vAlign w:val="bottom"/>
            <w:tcBorders>
              <w:top w:val="single" w:sz="8" w:color="0000EE"/>
            </w:tcBorders>
            <w:gridSpan w:val="2"/>
          </w:tcPr>
          <w:p>
            <w:pPr>
              <w:spacing w:after="0"/>
              <w:rPr>
                <w:sz w:val="13"/>
                <w:szCs w:val="13"/>
                <w:color w:val="auto"/>
              </w:rPr>
            </w:pPr>
          </w:p>
        </w:tc>
        <w:tc>
          <w:tcPr>
            <w:tcW w:w="2160" w:type="dxa"/>
            <w:vAlign w:val="bottom"/>
            <w:tcBorders>
              <w:top w:val="single" w:sz="8" w:color="CCEEFF"/>
            </w:tcBorders>
            <w:gridSpan w:val="2"/>
          </w:tcPr>
          <w:p>
            <w:pPr>
              <w:spacing w:after="0"/>
              <w:rPr>
                <w:sz w:val="13"/>
                <w:szCs w:val="13"/>
                <w:color w:val="auto"/>
              </w:rPr>
            </w:pPr>
          </w:p>
        </w:tc>
        <w:tc>
          <w:tcPr>
            <w:tcW w:w="580" w:type="dxa"/>
            <w:vAlign w:val="bottom"/>
            <w:tcBorders>
              <w:top w:val="single" w:sz="8" w:color="CCEEFF"/>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2</w:t>
            </w:r>
          </w:p>
        </w:tc>
      </w:tr>
      <w:tr>
        <w:trPr>
          <w:trHeight w:val="187"/>
        </w:trPr>
        <w:tc>
          <w:tcPr>
            <w:tcW w:w="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300" w:type="dxa"/>
            <w:vAlign w:val="bottom"/>
            <w:tcBorders>
              <w:bottom w:val="single" w:sz="8" w:color="0000EE"/>
            </w:tcBorders>
            <w:gridSpan w:val="18"/>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9"/>
              </w:rPr>
              <w:t>Condensed Consolidated Statements of Changes in Net Assets for the Three Months Ended March 31, 2024 and 2023 (Unaudited)</w:t>
            </w:r>
          </w:p>
        </w:tc>
        <w:tc>
          <w:tcPr>
            <w:tcW w:w="15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3</w:t>
            </w:r>
          </w:p>
        </w:tc>
      </w:tr>
      <w:tr>
        <w:trPr>
          <w:trHeight w:val="155"/>
        </w:trPr>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gridSpan w:val="19"/>
          </w:tcPr>
          <w:p>
            <w:pPr>
              <w:spacing w:after="0" w:line="155" w:lineRule="exact"/>
              <w:rPr>
                <w:sz w:val="20"/>
                <w:szCs w:val="20"/>
                <w:color w:val="auto"/>
              </w:rPr>
            </w:pPr>
            <w:r>
              <w:rPr>
                <w:rFonts w:ascii="Times New Roman" w:cs="Times New Roman" w:eastAsia="Times New Roman" w:hAnsi="Times New Roman"/>
                <w:sz w:val="16"/>
                <w:szCs w:val="16"/>
                <w:color w:val="0000EE"/>
              </w:rPr>
              <w:t>Condensed Consolidated Statements of Cash Flows for the Three Months Ended March 31, 2024 and 2023 (Unaudited)</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4</w:t>
            </w:r>
          </w:p>
        </w:tc>
      </w:tr>
      <w:tr>
        <w:trPr>
          <w:trHeight w:val="187"/>
        </w:trPr>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0" w:type="dxa"/>
            <w:vAlign w:val="bottom"/>
            <w:tcBorders>
              <w:top w:val="single" w:sz="8" w:color="0000EE"/>
            </w:tcBorders>
            <w:gridSpan w:val="16"/>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Condensed Consolidated Schedule of Investments as of March 31, 2024 (Unaudited)</w:t>
            </w:r>
          </w:p>
        </w:tc>
        <w:tc>
          <w:tcPr>
            <w:tcW w:w="2220" w:type="dxa"/>
            <w:vAlign w:val="bottom"/>
            <w:gridSpan w:val="3"/>
            <w:shd w:val="clear" w:color="auto" w:fill="CCEEFF"/>
          </w:tcPr>
          <w:p>
            <w:pPr>
              <w:spacing w:after="0"/>
              <w:rPr>
                <w:sz w:val="16"/>
                <w:szCs w:val="16"/>
                <w:color w:val="auto"/>
              </w:rPr>
            </w:pPr>
          </w:p>
        </w:tc>
        <w:tc>
          <w:tcPr>
            <w:tcW w:w="5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5</w:t>
            </w:r>
          </w:p>
        </w:tc>
      </w:tr>
      <w:tr>
        <w:trPr>
          <w:trHeight w:val="155"/>
        </w:trPr>
        <w:tc>
          <w:tcPr>
            <w:tcW w:w="6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4820" w:type="dxa"/>
            <w:vAlign w:val="bottom"/>
            <w:tcBorders>
              <w:top w:val="single" w:sz="8" w:color="0000EE"/>
              <w:bottom w:val="single" w:sz="8" w:color="0000EE"/>
            </w:tcBorders>
            <w:gridSpan w:val="11"/>
          </w:tcPr>
          <w:p>
            <w:pPr>
              <w:spacing w:after="0" w:line="155" w:lineRule="exact"/>
              <w:rPr>
                <w:sz w:val="20"/>
                <w:szCs w:val="20"/>
                <w:color w:val="auto"/>
              </w:rPr>
            </w:pPr>
            <w:r>
              <w:rPr>
                <w:rFonts w:ascii="Times New Roman" w:cs="Times New Roman" w:eastAsia="Times New Roman" w:hAnsi="Times New Roman"/>
                <w:sz w:val="16"/>
                <w:szCs w:val="16"/>
                <w:color w:val="0000EE"/>
                <w:w w:val="98"/>
              </w:rPr>
              <w:t>Condensed Consolidated Schedule of Investments as of December 31, 2023</w:t>
            </w:r>
          </w:p>
        </w:tc>
        <w:tc>
          <w:tcPr>
            <w:tcW w:w="560" w:type="dxa"/>
            <w:vAlign w:val="bottom"/>
            <w:tcBorders>
              <w:top w:val="single" w:sz="8" w:color="0000EE"/>
            </w:tcBorders>
          </w:tcPr>
          <w:p>
            <w:pPr>
              <w:spacing w:after="0"/>
              <w:rPr>
                <w:sz w:val="13"/>
                <w:szCs w:val="13"/>
                <w:color w:val="auto"/>
              </w:rPr>
            </w:pPr>
          </w:p>
        </w:tc>
        <w:tc>
          <w:tcPr>
            <w:tcW w:w="4440" w:type="dxa"/>
            <w:vAlign w:val="bottom"/>
            <w:tcBorders>
              <w:top w:val="single" w:sz="8" w:color="CCEEFF"/>
            </w:tcBorders>
            <w:gridSpan w:val="7"/>
          </w:tcPr>
          <w:p>
            <w:pPr>
              <w:spacing w:after="0"/>
              <w:rPr>
                <w:sz w:val="13"/>
                <w:szCs w:val="13"/>
                <w:color w:val="auto"/>
              </w:rPr>
            </w:pPr>
          </w:p>
        </w:tc>
        <w:tc>
          <w:tcPr>
            <w:tcW w:w="580" w:type="dxa"/>
            <w:vAlign w:val="bottom"/>
            <w:tcBorders>
              <w:top w:val="single" w:sz="8" w:color="CCEEFF"/>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9</w:t>
            </w:r>
          </w:p>
        </w:tc>
      </w:tr>
      <w:tr>
        <w:trPr>
          <w:trHeight w:val="187"/>
        </w:trPr>
        <w:tc>
          <w:tcPr>
            <w:tcW w:w="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740" w:type="dxa"/>
            <w:vAlign w:val="bottom"/>
            <w:tcBorders>
              <w:bottom w:val="single" w:sz="8" w:color="0000EE"/>
            </w:tcBorders>
            <w:gridSpan w:val="14"/>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9"/>
              </w:rPr>
              <w:t>Notes to Condensed Consolidated Financial Statements as of March 31, 2024 (Unaudited)</w:t>
            </w:r>
          </w:p>
        </w:tc>
        <w:tc>
          <w:tcPr>
            <w:tcW w:w="4080" w:type="dxa"/>
            <w:vAlign w:val="bottom"/>
            <w:tcBorders>
              <w:bottom w:val="single" w:sz="8" w:color="CCEEFF"/>
            </w:tcBorders>
            <w:gridSpan w:val="5"/>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13</w:t>
            </w:r>
          </w:p>
        </w:tc>
      </w:tr>
      <w:tr>
        <w:trPr>
          <w:trHeight w:val="155"/>
        </w:trPr>
        <w:tc>
          <w:tcPr>
            <w:tcW w:w="86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2.</w:t>
            </w:r>
          </w:p>
        </w:tc>
        <w:tc>
          <w:tcPr>
            <w:tcW w:w="9820" w:type="dxa"/>
            <w:vAlign w:val="bottom"/>
            <w:gridSpan w:val="19"/>
          </w:tcPr>
          <w:p>
            <w:pPr>
              <w:spacing w:after="0" w:line="155"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43</w:t>
            </w:r>
          </w:p>
        </w:tc>
      </w:tr>
      <w:tr>
        <w:trPr>
          <w:trHeight w:val="187"/>
        </w:trPr>
        <w:tc>
          <w:tcPr>
            <w:tcW w:w="86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3.</w:t>
            </w:r>
          </w:p>
        </w:tc>
        <w:tc>
          <w:tcPr>
            <w:tcW w:w="5700" w:type="dxa"/>
            <w:vAlign w:val="bottom"/>
            <w:tcBorders>
              <w:top w:val="single" w:sz="8" w:color="0000EE"/>
            </w:tcBorders>
            <w:gridSpan w:val="13"/>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4120" w:type="dxa"/>
            <w:vAlign w:val="bottom"/>
            <w:gridSpan w:val="6"/>
            <w:shd w:val="clear" w:color="auto" w:fill="CCEEFF"/>
          </w:tcPr>
          <w:p>
            <w:pPr>
              <w:spacing w:after="0"/>
              <w:rPr>
                <w:sz w:val="16"/>
                <w:szCs w:val="16"/>
                <w:color w:val="auto"/>
              </w:rPr>
            </w:pPr>
          </w:p>
        </w:tc>
        <w:tc>
          <w:tcPr>
            <w:tcW w:w="5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52</w:t>
            </w:r>
          </w:p>
        </w:tc>
      </w:tr>
      <w:tr>
        <w:trPr>
          <w:trHeight w:val="155"/>
        </w:trPr>
        <w:tc>
          <w:tcPr>
            <w:tcW w:w="860" w:type="dxa"/>
            <w:vAlign w:val="bottom"/>
            <w:tcBorders>
              <w:top w:val="single" w:sz="8" w:color="CCEEFF"/>
            </w:tcBorders>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4.</w:t>
            </w:r>
          </w:p>
        </w:tc>
        <w:tc>
          <w:tcPr>
            <w:tcW w:w="1560" w:type="dxa"/>
            <w:vAlign w:val="bottom"/>
            <w:tcBorders>
              <w:top w:val="single" w:sz="8" w:color="0000EE"/>
              <w:bottom w:val="single" w:sz="8" w:color="0000EE"/>
            </w:tcBorders>
            <w:gridSpan w:val="6"/>
          </w:tcPr>
          <w:p>
            <w:pPr>
              <w:spacing w:after="0" w:line="155" w:lineRule="exact"/>
              <w:rPr>
                <w:sz w:val="20"/>
                <w:szCs w:val="20"/>
                <w:color w:val="auto"/>
              </w:rPr>
            </w:pPr>
            <w:r>
              <w:rPr>
                <w:rFonts w:ascii="Times New Roman" w:cs="Times New Roman" w:eastAsia="Times New Roman" w:hAnsi="Times New Roman"/>
                <w:sz w:val="16"/>
                <w:szCs w:val="16"/>
                <w:color w:val="0000EE"/>
                <w:w w:val="97"/>
              </w:rPr>
              <w:t>Controls and Procedures</w:t>
            </w:r>
          </w:p>
        </w:tc>
        <w:tc>
          <w:tcPr>
            <w:tcW w:w="2280" w:type="dxa"/>
            <w:vAlign w:val="bottom"/>
            <w:tcBorders>
              <w:top w:val="single" w:sz="8" w:color="0000EE"/>
            </w:tcBorders>
            <w:gridSpan w:val="4"/>
          </w:tcPr>
          <w:p>
            <w:pPr>
              <w:spacing w:after="0"/>
              <w:rPr>
                <w:sz w:val="13"/>
                <w:szCs w:val="13"/>
                <w:color w:val="auto"/>
              </w:rPr>
            </w:pPr>
          </w:p>
        </w:tc>
        <w:tc>
          <w:tcPr>
            <w:tcW w:w="5980" w:type="dxa"/>
            <w:vAlign w:val="bottom"/>
            <w:tcBorders>
              <w:top w:val="single" w:sz="8" w:color="CCEEFF"/>
            </w:tcBorders>
            <w:gridSpan w:val="9"/>
          </w:tcPr>
          <w:p>
            <w:pPr>
              <w:spacing w:after="0"/>
              <w:rPr>
                <w:sz w:val="13"/>
                <w:szCs w:val="13"/>
                <w:color w:val="auto"/>
              </w:rPr>
            </w:pPr>
          </w:p>
        </w:tc>
        <w:tc>
          <w:tcPr>
            <w:tcW w:w="580" w:type="dxa"/>
            <w:vAlign w:val="bottom"/>
            <w:tcBorders>
              <w:top w:val="single" w:sz="8" w:color="CCEEFF"/>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53</w:t>
            </w:r>
          </w:p>
        </w:tc>
      </w:tr>
      <w:tr>
        <w:trPr>
          <w:trHeight w:val="199"/>
        </w:trPr>
        <w:tc>
          <w:tcPr>
            <w:tcW w:w="10680" w:type="dxa"/>
            <w:vAlign w:val="bottom"/>
            <w:gridSpan w:val="21"/>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0000EE"/>
              </w:rPr>
              <w:t>PART II. OTHER INFORMATION</w:t>
            </w:r>
          </w:p>
        </w:tc>
        <w:tc>
          <w:tcPr>
            <w:tcW w:w="580" w:type="dxa"/>
            <w:vAlign w:val="bottom"/>
            <w:shd w:val="clear" w:color="auto" w:fill="CCEEFF"/>
          </w:tcPr>
          <w:p>
            <w:pPr>
              <w:spacing w:after="0"/>
              <w:rPr>
                <w:sz w:val="17"/>
                <w:szCs w:val="17"/>
                <w:color w:val="auto"/>
              </w:rPr>
            </w:pPr>
          </w:p>
        </w:tc>
      </w:tr>
      <w:tr>
        <w:trPr>
          <w:trHeight w:val="155"/>
        </w:trPr>
        <w:tc>
          <w:tcPr>
            <w:tcW w:w="860" w:type="dxa"/>
            <w:vAlign w:val="bottom"/>
            <w:tcBorders>
              <w:top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w:t>
            </w:r>
          </w:p>
        </w:tc>
        <w:tc>
          <w:tcPr>
            <w:tcW w:w="1180" w:type="dxa"/>
            <w:vAlign w:val="bottom"/>
            <w:tcBorders>
              <w:top w:val="single" w:sz="8" w:color="0000EE"/>
              <w:bottom w:val="single" w:sz="8" w:color="0000EE"/>
            </w:tcBorders>
            <w:gridSpan w:val="4"/>
          </w:tcPr>
          <w:p>
            <w:pPr>
              <w:spacing w:after="0" w:line="155" w:lineRule="exact"/>
              <w:rPr>
                <w:sz w:val="20"/>
                <w:szCs w:val="20"/>
                <w:color w:val="auto"/>
              </w:rPr>
            </w:pPr>
            <w:r>
              <w:rPr>
                <w:rFonts w:ascii="Times New Roman" w:cs="Times New Roman" w:eastAsia="Times New Roman" w:hAnsi="Times New Roman"/>
                <w:sz w:val="16"/>
                <w:szCs w:val="16"/>
                <w:color w:val="0000EE"/>
                <w:w w:val="97"/>
              </w:rPr>
              <w:t>Legal Proceedings</w:t>
            </w:r>
          </w:p>
        </w:tc>
        <w:tc>
          <w:tcPr>
            <w:tcW w:w="400" w:type="dxa"/>
            <w:vAlign w:val="bottom"/>
            <w:tcBorders>
              <w:top w:val="single" w:sz="8" w:color="0000EE"/>
            </w:tcBorders>
            <w:gridSpan w:val="3"/>
          </w:tcPr>
          <w:p>
            <w:pPr>
              <w:spacing w:after="0"/>
              <w:rPr>
                <w:sz w:val="13"/>
                <w:szCs w:val="13"/>
                <w:color w:val="auto"/>
              </w:rPr>
            </w:pPr>
          </w:p>
        </w:tc>
        <w:tc>
          <w:tcPr>
            <w:tcW w:w="8240" w:type="dxa"/>
            <w:vAlign w:val="bottom"/>
            <w:tcBorders>
              <w:top w:val="single" w:sz="8" w:color="CCEEFF"/>
            </w:tcBorders>
            <w:gridSpan w:val="12"/>
          </w:tcPr>
          <w:p>
            <w:pPr>
              <w:spacing w:after="0"/>
              <w:rPr>
                <w:sz w:val="13"/>
                <w:szCs w:val="13"/>
                <w:color w:val="auto"/>
              </w:rPr>
            </w:pPr>
          </w:p>
        </w:tc>
        <w:tc>
          <w:tcPr>
            <w:tcW w:w="580" w:type="dxa"/>
            <w:vAlign w:val="bottom"/>
            <w:tcBorders>
              <w:top w:val="single" w:sz="8" w:color="CCEEFF"/>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53</w:t>
            </w:r>
          </w:p>
        </w:tc>
      </w:tr>
      <w:tr>
        <w:trPr>
          <w:trHeight w:val="187"/>
        </w:trPr>
        <w:tc>
          <w:tcPr>
            <w:tcW w:w="860" w:type="dxa"/>
            <w:vAlign w:val="bottom"/>
            <w:tcBorders>
              <w:bottom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1A.</w:t>
            </w:r>
          </w:p>
        </w:tc>
        <w:tc>
          <w:tcPr>
            <w:tcW w:w="800" w:type="dxa"/>
            <w:vAlign w:val="bottom"/>
            <w:tcBorders>
              <w:bottom w:val="single" w:sz="8" w:color="0000EE"/>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6"/>
              </w:rPr>
              <w:t>Risk Factors</w:t>
            </w:r>
          </w:p>
        </w:tc>
        <w:tc>
          <w:tcPr>
            <w:tcW w:w="9020" w:type="dxa"/>
            <w:vAlign w:val="bottom"/>
            <w:tcBorders>
              <w:bottom w:val="single" w:sz="8" w:color="CCEEFF"/>
            </w:tcBorders>
            <w:gridSpan w:val="17"/>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53</w:t>
            </w:r>
          </w:p>
        </w:tc>
      </w:tr>
      <w:tr>
        <w:trPr>
          <w:trHeight w:val="155"/>
        </w:trPr>
        <w:tc>
          <w:tcPr>
            <w:tcW w:w="86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2.</w:t>
            </w:r>
          </w:p>
        </w:tc>
        <w:tc>
          <w:tcPr>
            <w:tcW w:w="3840" w:type="dxa"/>
            <w:vAlign w:val="bottom"/>
            <w:tcBorders>
              <w:bottom w:val="single" w:sz="8" w:color="0000EE"/>
            </w:tcBorders>
            <w:gridSpan w:val="10"/>
          </w:tcPr>
          <w:p>
            <w:pPr>
              <w:spacing w:after="0" w:line="155" w:lineRule="exact"/>
              <w:rPr>
                <w:sz w:val="20"/>
                <w:szCs w:val="20"/>
                <w:color w:val="auto"/>
              </w:rPr>
            </w:pPr>
            <w:r>
              <w:rPr>
                <w:rFonts w:ascii="Times New Roman" w:cs="Times New Roman" w:eastAsia="Times New Roman" w:hAnsi="Times New Roman"/>
                <w:sz w:val="16"/>
                <w:szCs w:val="16"/>
                <w:color w:val="0000EE"/>
                <w:w w:val="98"/>
              </w:rPr>
              <w:t>Unregistered Sales of Equity Securities and Use of Proceeds</w:t>
            </w:r>
          </w:p>
        </w:tc>
        <w:tc>
          <w:tcPr>
            <w:tcW w:w="5980" w:type="dxa"/>
            <w:vAlign w:val="bottom"/>
            <w:gridSpan w:val="9"/>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54</w:t>
            </w:r>
          </w:p>
        </w:tc>
      </w:tr>
      <w:tr>
        <w:trPr>
          <w:trHeight w:val="187"/>
        </w:trPr>
        <w:tc>
          <w:tcPr>
            <w:tcW w:w="86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3.</w:t>
            </w:r>
          </w:p>
        </w:tc>
        <w:tc>
          <w:tcPr>
            <w:tcW w:w="9820" w:type="dxa"/>
            <w:vAlign w:val="bottom"/>
            <w:gridSpan w:val="19"/>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Defaults Upon Senior Securities</w:t>
            </w:r>
          </w:p>
        </w:tc>
        <w:tc>
          <w:tcPr>
            <w:tcW w:w="5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54</w:t>
            </w:r>
          </w:p>
        </w:tc>
      </w:tr>
      <w:tr>
        <w:trPr>
          <w:trHeight w:val="155"/>
        </w:trPr>
        <w:tc>
          <w:tcPr>
            <w:tcW w:w="860" w:type="dxa"/>
            <w:vAlign w:val="bottom"/>
            <w:tcBorders>
              <w:top w:val="single" w:sz="8" w:color="CCEEFF"/>
            </w:tcBorders>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4.</w:t>
            </w:r>
          </w:p>
        </w:tc>
        <w:tc>
          <w:tcPr>
            <w:tcW w:w="1560" w:type="dxa"/>
            <w:vAlign w:val="bottom"/>
            <w:tcBorders>
              <w:top w:val="single" w:sz="8" w:color="0000EE"/>
              <w:bottom w:val="single" w:sz="8" w:color="0000EE"/>
            </w:tcBorders>
            <w:gridSpan w:val="6"/>
          </w:tcPr>
          <w:p>
            <w:pPr>
              <w:spacing w:after="0" w:line="155" w:lineRule="exact"/>
              <w:rPr>
                <w:sz w:val="20"/>
                <w:szCs w:val="20"/>
                <w:color w:val="auto"/>
              </w:rPr>
            </w:pPr>
            <w:r>
              <w:rPr>
                <w:rFonts w:ascii="Times New Roman" w:cs="Times New Roman" w:eastAsia="Times New Roman" w:hAnsi="Times New Roman"/>
                <w:sz w:val="16"/>
                <w:szCs w:val="16"/>
                <w:color w:val="0000EE"/>
                <w:w w:val="97"/>
              </w:rPr>
              <w:t>Mine Safety Disclosures</w:t>
            </w:r>
          </w:p>
        </w:tc>
        <w:tc>
          <w:tcPr>
            <w:tcW w:w="480" w:type="dxa"/>
            <w:vAlign w:val="bottom"/>
            <w:tcBorders>
              <w:top w:val="single" w:sz="8" w:color="0000EE"/>
            </w:tcBorders>
            <w:gridSpan w:val="3"/>
          </w:tcPr>
          <w:p>
            <w:pPr>
              <w:spacing w:after="0"/>
              <w:rPr>
                <w:sz w:val="13"/>
                <w:szCs w:val="13"/>
                <w:color w:val="auto"/>
              </w:rPr>
            </w:pPr>
          </w:p>
        </w:tc>
        <w:tc>
          <w:tcPr>
            <w:tcW w:w="7780" w:type="dxa"/>
            <w:vAlign w:val="bottom"/>
            <w:tcBorders>
              <w:top w:val="single" w:sz="8" w:color="CCEEFF"/>
            </w:tcBorders>
            <w:gridSpan w:val="10"/>
          </w:tcPr>
          <w:p>
            <w:pPr>
              <w:spacing w:after="0"/>
              <w:rPr>
                <w:sz w:val="13"/>
                <w:szCs w:val="13"/>
                <w:color w:val="auto"/>
              </w:rPr>
            </w:pPr>
          </w:p>
        </w:tc>
        <w:tc>
          <w:tcPr>
            <w:tcW w:w="580" w:type="dxa"/>
            <w:vAlign w:val="bottom"/>
            <w:tcBorders>
              <w:top w:val="single" w:sz="8" w:color="CCEEFF"/>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54</w:t>
            </w:r>
          </w:p>
        </w:tc>
      </w:tr>
      <w:tr>
        <w:trPr>
          <w:trHeight w:val="187"/>
        </w:trPr>
        <w:tc>
          <w:tcPr>
            <w:tcW w:w="860" w:type="dxa"/>
            <w:vAlign w:val="bottom"/>
            <w:tcBorders>
              <w:bottom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5.</w:t>
            </w:r>
          </w:p>
        </w:tc>
        <w:tc>
          <w:tcPr>
            <w:tcW w:w="1160" w:type="dxa"/>
            <w:vAlign w:val="bottom"/>
            <w:tcBorders>
              <w:bottom w:val="single" w:sz="8" w:color="0000EE"/>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7"/>
              </w:rPr>
              <w:t>Other Information</w:t>
            </w:r>
          </w:p>
        </w:tc>
        <w:tc>
          <w:tcPr>
            <w:tcW w:w="8660" w:type="dxa"/>
            <w:vAlign w:val="bottom"/>
            <w:tcBorders>
              <w:bottom w:val="single" w:sz="8" w:color="CCEEFF"/>
            </w:tcBorders>
            <w:gridSpan w:val="16"/>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54</w:t>
            </w:r>
          </w:p>
        </w:tc>
      </w:tr>
      <w:tr>
        <w:trPr>
          <w:trHeight w:val="155"/>
        </w:trPr>
        <w:tc>
          <w:tcPr>
            <w:tcW w:w="86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6.</w:t>
            </w:r>
          </w:p>
        </w:tc>
        <w:tc>
          <w:tcPr>
            <w:tcW w:w="9820" w:type="dxa"/>
            <w:vAlign w:val="bottom"/>
            <w:gridSpan w:val="19"/>
          </w:tcPr>
          <w:p>
            <w:pPr>
              <w:spacing w:after="0" w:line="155" w:lineRule="exact"/>
              <w:rPr>
                <w:sz w:val="20"/>
                <w:szCs w:val="20"/>
                <w:color w:val="auto"/>
              </w:rPr>
            </w:pPr>
            <w:r>
              <w:rPr>
                <w:rFonts w:ascii="Times New Roman" w:cs="Times New Roman" w:eastAsia="Times New Roman" w:hAnsi="Times New Roman"/>
                <w:sz w:val="16"/>
                <w:szCs w:val="16"/>
                <w:color w:val="0000EE"/>
              </w:rPr>
              <w:t>Exhibits</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55</w:t>
            </w:r>
          </w:p>
        </w:tc>
      </w:tr>
      <w:tr>
        <w:trPr>
          <w:trHeight w:val="171"/>
        </w:trPr>
        <w:tc>
          <w:tcPr>
            <w:tcW w:w="86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Signatures</w:t>
            </w:r>
          </w:p>
        </w:tc>
        <w:tc>
          <w:tcPr>
            <w:tcW w:w="520" w:type="dxa"/>
            <w:vAlign w:val="bottom"/>
            <w:tcBorders>
              <w:top w:val="single" w:sz="8" w:color="0000EE"/>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56</w:t>
            </w:r>
          </w:p>
        </w:tc>
      </w:tr>
      <w:tr>
        <w:trPr>
          <w:trHeight w:val="36"/>
        </w:trPr>
        <w:tc>
          <w:tcPr>
            <w:tcW w:w="66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-1219835</wp:posOffset>
            </wp:positionV>
            <wp:extent cx="678434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4340" cy="128905"/>
                    </a:xfrm>
                    <a:prstGeom prst="rect">
                      <a:avLst/>
                    </a:prstGeom>
                    <a:noFill/>
                  </pic:spPr>
                </pic:pic>
              </a:graphicData>
            </a:graphic>
          </wp:anchor>
        </w:drawing>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2" w:right="319" w:bottom="1440" w:gutter="0" w:footer="0" w:header="0"/>
        </w:sectPr>
      </w:pPr>
    </w:p>
    <w:bookmarkStart w:id="2" w:name="page3"/>
    <w:bookmarkEnd w:id="2"/>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ASSETS AND LIABILITIES (UNAUDITED)</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1"/>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Non-controlled/non-affiliate investments (cost of $170,371,625 and $160,994,161, respectively)</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140,167,986</w:t>
            </w:r>
          </w:p>
        </w:tc>
        <w:tc>
          <w:tcPr>
            <w:tcW w:w="2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147,167,535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Non-controlled/affiliate investments (cost of $32,733,009 and $32,775,940, respectively)</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22,871,704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24,931,333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Controlled investments (cost of $18,771,097 and $18,771,097, respectively)</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11,975,881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11,982,381</w:t>
            </w:r>
          </w:p>
        </w:tc>
        <w:tc>
          <w:tcPr>
            <w:tcW w:w="0" w:type="dxa"/>
            <w:vAlign w:val="bottom"/>
          </w:tcPr>
          <w:p>
            <w:pPr>
              <w:spacing w:after="0"/>
              <w:rPr>
                <w:sz w:val="1"/>
                <w:szCs w:val="1"/>
                <w:color w:val="auto"/>
              </w:rPr>
            </w:pPr>
          </w:p>
        </w:tc>
      </w:tr>
      <w:tr>
        <w:trPr>
          <w:trHeight w:val="175"/>
        </w:trPr>
        <w:tc>
          <w:tcPr>
            <w:tcW w:w="6740" w:type="dxa"/>
            <w:vAlign w:val="bottom"/>
            <w:tcBorders>
              <w:top w:val="single" w:sz="8" w:color="CCEEFF"/>
            </w:tcBorders>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 Portfolio Investments</w:t>
            </w: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175,015,571</w:t>
            </w: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184,081,249</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U.S. Treasury bills (cost of $29,245,079 and $63,792,704, respectively)</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29,621,913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63,810,855</w:t>
            </w:r>
          </w:p>
        </w:tc>
        <w:tc>
          <w:tcPr>
            <w:tcW w:w="0" w:type="dxa"/>
            <w:vAlign w:val="bottom"/>
          </w:tcPr>
          <w:p>
            <w:pPr>
              <w:spacing w:after="0"/>
              <w:rPr>
                <w:sz w:val="1"/>
                <w:szCs w:val="1"/>
                <w:color w:val="auto"/>
              </w:rPr>
            </w:pPr>
          </w:p>
        </w:tc>
      </w:tr>
      <w:tr>
        <w:trPr>
          <w:trHeight w:val="175"/>
        </w:trPr>
        <w:tc>
          <w:tcPr>
            <w:tcW w:w="674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Investments (cost of $251,120,810 and $276,333,902, respectively)</w:t>
            </w: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204,637,484</w:t>
            </w: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247,892,104</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50,814,399</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28,178,352</w:t>
            </w: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236,303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309,293</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137,657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132,607</w:t>
            </w: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594,726</w:t>
            </w:r>
          </w:p>
        </w:tc>
        <w:tc>
          <w:tcPr>
            <w:tcW w:w="0" w:type="dxa"/>
            <w:vAlign w:val="bottom"/>
          </w:tcPr>
          <w:p>
            <w:pPr>
              <w:spacing w:after="0"/>
              <w:rPr>
                <w:sz w:val="1"/>
                <w:szCs w:val="1"/>
                <w:color w:val="auto"/>
              </w:rPr>
            </w:pPr>
          </w:p>
        </w:tc>
      </w:tr>
      <w:tr>
        <w:trPr>
          <w:trHeight w:val="259"/>
        </w:trPr>
        <w:tc>
          <w:tcPr>
            <w:tcW w:w="6740" w:type="dxa"/>
            <w:vAlign w:val="bottom"/>
            <w:shd w:val="clear" w:color="auto" w:fill="CCEEFF"/>
          </w:tcPr>
          <w:p>
            <w:pPr>
              <w:spacing w:after="0" w:line="238" w:lineRule="exact"/>
              <w:rPr>
                <w:sz w:val="20"/>
                <w:szCs w:val="20"/>
                <w:color w:val="auto"/>
              </w:rPr>
            </w:pPr>
            <w:r>
              <w:rPr>
                <w:rFonts w:ascii="Times New Roman" w:cs="Times New Roman" w:eastAsia="Times New Roman" w:hAnsi="Times New Roman"/>
                <w:sz w:val="16"/>
                <w:szCs w:val="16"/>
                <w:color w:val="auto"/>
              </w:rPr>
              <w:t>Prepaid expenses and other assets</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467,149</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494,602</w:t>
            </w:r>
          </w:p>
        </w:tc>
        <w:tc>
          <w:tcPr>
            <w:tcW w:w="0" w:type="dxa"/>
            <w:vAlign w:val="bottom"/>
          </w:tcPr>
          <w:p>
            <w:pPr>
              <w:spacing w:after="0"/>
              <w:rPr>
                <w:sz w:val="1"/>
                <w:szCs w:val="1"/>
                <w:color w:val="auto"/>
              </w:rPr>
            </w:pPr>
          </w:p>
        </w:tc>
      </w:tr>
      <w:tr>
        <w:trPr>
          <w:trHeight w:val="179"/>
        </w:trPr>
        <w:tc>
          <w:tcPr>
            <w:tcW w:w="6740" w:type="dxa"/>
            <w:vAlign w:val="bottom"/>
            <w:tcBorders>
              <w:top w:val="single" w:sz="8" w:color="CCEEFF"/>
              <w:bottom w:val="single" w:sz="8" w:color="CCEEFF"/>
            </w:tcBorders>
          </w:tcPr>
          <w:p>
            <w:pPr>
              <w:ind w:left="320"/>
              <w:spacing w:after="0" w:line="175"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256,870,892</w:t>
            </w:r>
          </w:p>
        </w:tc>
        <w:tc>
          <w:tcPr>
            <w:tcW w:w="2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277,601,684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4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Accounts payable and accrued expenses</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1,270,583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346,308</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payable</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44,700</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152,523</w:t>
            </w:r>
          </w:p>
        </w:tc>
        <w:tc>
          <w:tcPr>
            <w:tcW w:w="0" w:type="dxa"/>
            <w:vAlign w:val="bottom"/>
          </w:tcPr>
          <w:p>
            <w:pPr>
              <w:spacing w:after="0"/>
              <w:rPr>
                <w:sz w:val="1"/>
                <w:szCs w:val="1"/>
                <w:color w:val="auto"/>
              </w:rPr>
            </w:pPr>
          </w:p>
        </w:tc>
      </w:tr>
      <w:tr>
        <w:trPr>
          <w:trHeight w:val="243"/>
        </w:trPr>
        <w:tc>
          <w:tcPr>
            <w:tcW w:w="6740" w:type="dxa"/>
            <w:vAlign w:val="bottom"/>
          </w:tcPr>
          <w:p>
            <w:pPr>
              <w:spacing w:after="0" w:line="238" w:lineRule="exact"/>
              <w:rPr>
                <w:sz w:val="20"/>
                <w:szCs w:val="20"/>
                <w:color w:val="auto"/>
              </w:rPr>
            </w:pPr>
            <w:r>
              <w:rPr>
                <w:rFonts w:ascii="Times New Roman" w:cs="Times New Roman" w:eastAsia="Times New Roman" w:hAnsi="Times New Roman"/>
                <w:sz w:val="16"/>
                <w:szCs w:val="16"/>
                <w:color w:val="auto"/>
              </w:rPr>
              <w:t>6.00% Notes due December 30, 2026</w:t>
            </w:r>
            <w:r>
              <w:rPr>
                <w:rFonts w:ascii="Times New Roman" w:cs="Times New Roman" w:eastAsia="Times New Roman" w:hAnsi="Times New Roman"/>
                <w:sz w:val="26"/>
                <w:szCs w:val="26"/>
                <w:color w:val="auto"/>
                <w:vertAlign w:val="superscript"/>
              </w:rPr>
              <w:t>(2)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73,834,474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73,745,207</w:t>
            </w:r>
          </w:p>
        </w:tc>
        <w:tc>
          <w:tcPr>
            <w:tcW w:w="0" w:type="dxa"/>
            <w:vAlign w:val="bottom"/>
          </w:tcPr>
          <w:p>
            <w:pPr>
              <w:spacing w:after="0"/>
              <w:rPr>
                <w:sz w:val="1"/>
                <w:szCs w:val="1"/>
                <w:color w:val="auto"/>
              </w:rPr>
            </w:pPr>
          </w:p>
        </w:tc>
      </w:tr>
      <w:tr>
        <w:trPr>
          <w:trHeight w:val="191"/>
        </w:trPr>
        <w:tc>
          <w:tcPr>
            <w:tcW w:w="67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75,149,757</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74,244,038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(Notes 7 and 10)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181,721,135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203,357,646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Common stock, par value $0.01 per share (100,000,000 authorized; 25,353,284 and 25,445,805 issued</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outstanding, respectively)</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253,533</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254,458</w:t>
            </w: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Paid-in capital in excess of par</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248,883,867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248,454,107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net investment loss</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(7,527,013)</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(4,304,111)</w:t>
            </w: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net realized loss on investments, net of distributions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(12,772,846)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(12,348,772)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net unrealized appreciation/(depreciation) of investments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(47,116,406)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(28,698,036)</w:t>
            </w:r>
          </w:p>
        </w:tc>
        <w:tc>
          <w:tcPr>
            <w:tcW w:w="0" w:type="dxa"/>
            <w:vAlign w:val="bottom"/>
          </w:tcPr>
          <w:p>
            <w:pPr>
              <w:spacing w:after="0"/>
              <w:rPr>
                <w:sz w:val="1"/>
                <w:szCs w:val="1"/>
                <w:color w:val="auto"/>
              </w:rPr>
            </w:pPr>
          </w:p>
        </w:tc>
      </w:tr>
      <w:tr>
        <w:trPr>
          <w:trHeight w:val="227"/>
        </w:trPr>
        <w:tc>
          <w:tcPr>
            <w:tcW w:w="6740" w:type="dxa"/>
            <w:vAlign w:val="bottom"/>
            <w:tcBorders>
              <w:top w:val="single" w:sz="8" w:color="CCEEFF"/>
              <w:bottom w:val="single" w:sz="8" w:color="CCEEFF"/>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40" w:type="dxa"/>
            <w:vAlign w:val="bottom"/>
            <w:tcBorders>
              <w:top w:val="single" w:sz="8" w:color="CCEEFF"/>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181,721,135</w:t>
            </w:r>
          </w:p>
        </w:tc>
        <w:tc>
          <w:tcPr>
            <w:tcW w:w="20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203,357,646</w:t>
            </w:r>
          </w:p>
        </w:tc>
        <w:tc>
          <w:tcPr>
            <w:tcW w:w="12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740" w:type="dxa"/>
            <w:vAlign w:val="bottom"/>
            <w:tcBorders>
              <w:bottom w:val="single" w:sz="8" w:color="CCEEFF"/>
            </w:tcBorders>
            <w:shd w:val="clear" w:color="auto" w:fill="CCEEFF"/>
          </w:tcPr>
          <w:p>
            <w:pPr>
              <w:ind w:left="320"/>
              <w:spacing w:after="0" w:line="167" w:lineRule="exact"/>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2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7.17</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7.99</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887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214" w:lineRule="exact"/>
        <w:rPr>
          <w:sz w:val="20"/>
          <w:szCs w:val="20"/>
          <w:color w:val="auto"/>
        </w:rPr>
      </w:pPr>
    </w:p>
    <w:p>
      <w:pPr>
        <w:ind w:left="565" w:right="20" w:hanging="565"/>
        <w:spacing w:after="0" w:line="261" w:lineRule="auto"/>
        <w:tabs>
          <w:tab w:leader="none" w:pos="56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includes a right of use asset and corresponding operating lease liability, respectively. Refer to “Note 7—Commitments and Contingencies—</w:t>
      </w:r>
      <w:r>
        <w:rPr>
          <w:rFonts w:ascii="Times New Roman" w:cs="Times New Roman" w:eastAsia="Times New Roman" w:hAnsi="Times New Roman"/>
          <w:sz w:val="16"/>
          <w:szCs w:val="16"/>
          <w:i w:val="1"/>
          <w:iCs w:val="1"/>
          <w:color w:val="auto"/>
        </w:rPr>
        <w:t>Operating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Leases and Related Deposits</w:t>
      </w:r>
      <w:r>
        <w:rPr>
          <w:rFonts w:ascii="Times New Roman" w:cs="Times New Roman" w:eastAsia="Times New Roman" w:hAnsi="Times New Roman"/>
          <w:sz w:val="16"/>
          <w:szCs w:val="16"/>
          <w:color w:val="auto"/>
        </w:rPr>
        <w:t>” for more detail.</w:t>
      </w:r>
    </w:p>
    <w:p>
      <w:pPr>
        <w:jc w:val="both"/>
        <w:ind w:left="565" w:right="20" w:hanging="565"/>
        <w:spacing w:after="0" w:line="253" w:lineRule="auto"/>
        <w:tabs>
          <w:tab w:leader="none" w:pos="56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2024, the 6.00% Notes due December 30, 2026 (the “6.00% Notes due 2026”) (effective interest rate of 6.53%) had a face value $75,000,000. As of December 31, 2023, the 6.00% Notes due 2026 (effective interest rate of 6.53%) had a face value $75,000,000. Refer to “Note 10—Debt Capital Activities” for a reconciliation of the carrying value to the face value.</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622" w:right="319" w:bottom="1440" w:gutter="0" w:footer="0" w:header="0"/>
        </w:sectPr>
      </w:pPr>
    </w:p>
    <w:bookmarkStart w:id="3" w:name="page4"/>
    <w:bookmarkEnd w:id="3"/>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9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Non-controlled/non-affiliate investments:</w:t>
            </w: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CEEFF"/>
          </w:tcPr>
          <w:p>
            <w:pPr>
              <w:ind w:left="320"/>
              <w:spacing w:after="0" w:line="227" w:lineRule="exact"/>
              <w:rPr>
                <w:sz w:val="20"/>
                <w:szCs w:val="20"/>
                <w:color w:val="auto"/>
              </w:rPr>
            </w:pPr>
            <w:r>
              <w:rPr>
                <w:rFonts w:ascii="Times New Roman" w:cs="Times New Roman" w:eastAsia="Times New Roman" w:hAnsi="Times New Roman"/>
                <w:sz w:val="16"/>
                <w:szCs w:val="16"/>
                <w:color w:val="auto"/>
              </w:rPr>
              <w:t>Interest income</w:t>
            </w:r>
            <w:r>
              <w:rPr>
                <w:rFonts w:ascii="Times New Roman" w:cs="Times New Roman" w:eastAsia="Times New Roman" w:hAnsi="Times New Roman"/>
                <w:sz w:val="26"/>
                <w:szCs w:val="26"/>
                <w:color w:val="auto"/>
                <w:vertAlign w:val="superscript"/>
              </w:rPr>
              <w:t>(1)</w:t>
            </w:r>
          </w:p>
        </w:tc>
        <w:tc>
          <w:tcPr>
            <w:tcW w:w="20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242,007</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49,475</w:t>
            </w:r>
          </w:p>
        </w:tc>
        <w:tc>
          <w:tcPr>
            <w:tcW w:w="0" w:type="dxa"/>
            <w:vAlign w:val="bottom"/>
          </w:tcPr>
          <w:p>
            <w:pPr>
              <w:spacing w:after="0"/>
              <w:rPr>
                <w:sz w:val="1"/>
                <w:szCs w:val="1"/>
                <w:color w:val="auto"/>
              </w:rPr>
            </w:pPr>
          </w:p>
        </w:tc>
      </w:tr>
      <w:tr>
        <w:trPr>
          <w:trHeight w:val="191"/>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Dividend income</w:t>
            </w: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21,875</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63,145</w:t>
            </w: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Controlled investments:</w:t>
            </w:r>
          </w:p>
        </w:tc>
        <w:tc>
          <w:tcPr>
            <w:tcW w:w="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236,000</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from U.S. Treasury bills</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829,209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950,462</w:t>
            </w:r>
          </w:p>
        </w:tc>
        <w:tc>
          <w:tcPr>
            <w:tcW w:w="0" w:type="dxa"/>
            <w:vAlign w:val="bottom"/>
          </w:tcPr>
          <w:p>
            <w:pPr>
              <w:spacing w:after="0"/>
              <w:rPr>
                <w:sz w:val="1"/>
                <w:szCs w:val="1"/>
                <w:color w:val="auto"/>
              </w:rPr>
            </w:pPr>
          </w:p>
        </w:tc>
      </w:tr>
      <w:tr>
        <w:trPr>
          <w:trHeight w:val="179"/>
        </w:trPr>
        <w:tc>
          <w:tcPr>
            <w:tcW w:w="6060" w:type="dxa"/>
            <w:vAlign w:val="bottom"/>
            <w:tcBorders>
              <w:top w:val="single" w:sz="8" w:color="CCEEFF"/>
              <w:bottom w:val="single" w:sz="8" w:color="CCEEFF"/>
            </w:tcBorders>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 Investment Income</w:t>
            </w:r>
          </w:p>
        </w:tc>
        <w:tc>
          <w:tcPr>
            <w:tcW w:w="92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1,528,091</w:t>
            </w:r>
          </w:p>
        </w:tc>
        <w:tc>
          <w:tcPr>
            <w:tcW w:w="2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1,299,082</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2,185,318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2,136,754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Directors’ fees</w:t>
            </w:r>
            <w:r>
              <w:rPr>
                <w:rFonts w:ascii="Times New Roman" w:cs="Times New Roman" w:eastAsia="Times New Roman" w:hAnsi="Times New Roman"/>
                <w:sz w:val="26"/>
                <w:szCs w:val="26"/>
                <w:color w:val="auto"/>
                <w:vertAlign w:val="superscript"/>
              </w:rPr>
              <w:t>(2)</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171,113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160,565</w:t>
            </w:r>
          </w:p>
        </w:tc>
        <w:tc>
          <w:tcPr>
            <w:tcW w:w="0" w:type="dxa"/>
            <w:vAlign w:val="bottom"/>
          </w:tcPr>
          <w:p>
            <w:pPr>
              <w:spacing w:after="0"/>
              <w:rPr>
                <w:sz w:val="1"/>
                <w:szCs w:val="1"/>
                <w:color w:val="auto"/>
              </w:rPr>
            </w:pPr>
          </w:p>
        </w:tc>
      </w:tr>
      <w:tr>
        <w:trPr>
          <w:trHeight w:val="191"/>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728,559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990,834</w:t>
            </w: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1,214,267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1,213,286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529,780</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449,636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489,628</w:t>
            </w:r>
          </w:p>
        </w:tc>
        <w:tc>
          <w:tcPr>
            <w:tcW w:w="0" w:type="dxa"/>
            <w:vAlign w:val="bottom"/>
          </w:tcPr>
          <w:p>
            <w:pPr>
              <w:spacing w:after="0"/>
              <w:rPr>
                <w:sz w:val="1"/>
                <w:szCs w:val="1"/>
                <w:color w:val="auto"/>
              </w:rPr>
            </w:pPr>
          </w:p>
        </w:tc>
      </w:tr>
      <w:tr>
        <w:trPr>
          <w:trHeight w:val="179"/>
        </w:trPr>
        <w:tc>
          <w:tcPr>
            <w:tcW w:w="6060" w:type="dxa"/>
            <w:vAlign w:val="bottom"/>
            <w:tcBorders>
              <w:top w:val="single" w:sz="8" w:color="CCEEFF"/>
              <w:bottom w:val="single" w:sz="8" w:color="CCEEFF"/>
            </w:tcBorders>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 Operating Expenses</w:t>
            </w:r>
          </w:p>
        </w:tc>
        <w:tc>
          <w:tcPr>
            <w:tcW w:w="92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4,750,993</w:t>
            </w:r>
          </w:p>
        </w:tc>
        <w:tc>
          <w:tcPr>
            <w:tcW w:w="2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5,520,847</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(3,222,902)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(4,221,765)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Realized Gain/(Loss) on Investments:</w:t>
            </w: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(484,141)</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189,343</w:t>
            </w:r>
          </w:p>
        </w:tc>
        <w:tc>
          <w:tcPr>
            <w:tcW w:w="0" w:type="dxa"/>
            <w:vAlign w:val="bottom"/>
          </w:tcPr>
          <w:p>
            <w:pPr>
              <w:spacing w:after="0"/>
              <w:rPr>
                <w:sz w:val="1"/>
                <w:szCs w:val="1"/>
                <w:color w:val="auto"/>
              </w:rPr>
            </w:pPr>
          </w:p>
        </w:tc>
      </w:tr>
      <w:tr>
        <w:trPr>
          <w:trHeight w:val="207"/>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60,067</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60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Net Realized Gain/(Loss) on Investments</w:t>
            </w:r>
          </w:p>
        </w:tc>
        <w:tc>
          <w:tcPr>
            <w:tcW w:w="9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(424,074)</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189,343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Unrealized Appreciation/(Depreciation) of Investments:</w:t>
            </w: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(16,395,171)</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(2,063,577)</w:t>
            </w:r>
          </w:p>
        </w:tc>
        <w:tc>
          <w:tcPr>
            <w:tcW w:w="0" w:type="dxa"/>
            <w:vAlign w:val="bottom"/>
          </w:tcPr>
          <w:p>
            <w:pPr>
              <w:spacing w:after="0"/>
              <w:rPr>
                <w:sz w:val="1"/>
                <w:szCs w:val="1"/>
                <w:color w:val="auto"/>
              </w:rPr>
            </w:pPr>
          </w:p>
        </w:tc>
      </w:tr>
      <w:tr>
        <w:trPr>
          <w:trHeight w:val="191"/>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(2,016,699)</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(1,320,364)</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Controlled investments</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(6,500)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12,032,872</w:t>
            </w:r>
          </w:p>
        </w:tc>
        <w:tc>
          <w:tcPr>
            <w:tcW w:w="0" w:type="dxa"/>
            <w:vAlign w:val="bottom"/>
          </w:tcPr>
          <w:p>
            <w:pPr>
              <w:spacing w:after="0"/>
              <w:rPr>
                <w:sz w:val="1"/>
                <w:szCs w:val="1"/>
                <w:color w:val="auto"/>
              </w:rPr>
            </w:pPr>
          </w:p>
        </w:tc>
      </w:tr>
      <w:tr>
        <w:trPr>
          <w:trHeight w:val="179"/>
        </w:trPr>
        <w:tc>
          <w:tcPr>
            <w:tcW w:w="6060" w:type="dxa"/>
            <w:vAlign w:val="bottom"/>
            <w:tcBorders>
              <w:top w:val="single" w:sz="8" w:color="CCEEFF"/>
              <w:bottom w:val="single" w:sz="8" w:color="CCEEFF"/>
            </w:tcBorders>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Net Change in Unrealized Appreciation/(Depreciation) of Investments</w:t>
            </w:r>
          </w:p>
        </w:tc>
        <w:tc>
          <w:tcPr>
            <w:tcW w:w="92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98"/>
              </w:rPr>
              <w:t>(18,418,370</w:t>
            </w:r>
          </w:p>
        </w:tc>
        <w:tc>
          <w:tcPr>
            <w:tcW w:w="200" w:type="dxa"/>
            <w:vAlign w:val="bottom"/>
            <w:tcBorders>
              <w:top w:val="single" w:sz="8" w:color="CCEEFF"/>
              <w:bottom w:val="single" w:sz="8" w:color="CCEEFF"/>
            </w:tcBorders>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8,648,931</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9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(22,065,346</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4,616,509</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 per Common Share:</w:t>
            </w:r>
          </w:p>
        </w:tc>
        <w:tc>
          <w:tcPr>
            <w:tcW w:w="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20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(0.87)</w:t>
            </w:r>
          </w:p>
        </w:tc>
        <w:tc>
          <w:tcPr>
            <w:tcW w:w="13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20"/>
              <w:spacing w:after="0" w:line="242"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6"/>
                <w:szCs w:val="26"/>
                <w:color w:val="auto"/>
                <w:vertAlign w:val="superscript"/>
              </w:rPr>
              <w:t>(3)</w:t>
            </w:r>
          </w:p>
        </w:tc>
        <w:tc>
          <w:tcPr>
            <w:tcW w:w="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vMerge w:val="continue"/>
          </w:tcPr>
          <w:p>
            <w:pPr>
              <w:spacing w:after="0"/>
              <w:rPr>
                <w:sz w:val="21"/>
                <w:szCs w:val="21"/>
                <w:color w:val="auto"/>
              </w:rPr>
            </w:pPr>
          </w:p>
        </w:tc>
        <w:tc>
          <w:tcPr>
            <w:tcW w:w="20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167"/>
        </w:trPr>
        <w:tc>
          <w:tcPr>
            <w:tcW w:w="60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9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25,393,490</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28,378,529</w:t>
            </w:r>
          </w:p>
        </w:tc>
        <w:tc>
          <w:tcPr>
            <w:tcW w:w="0" w:type="dxa"/>
            <w:vAlign w:val="bottom"/>
          </w:tcPr>
          <w:p>
            <w:pPr>
              <w:spacing w:after="0"/>
              <w:rPr>
                <w:sz w:val="1"/>
                <w:szCs w:val="1"/>
                <w:color w:val="auto"/>
              </w:rPr>
            </w:pPr>
          </w:p>
        </w:tc>
      </w:tr>
      <w:tr>
        <w:trPr>
          <w:trHeight w:val="227"/>
        </w:trPr>
        <w:tc>
          <w:tcPr>
            <w:tcW w:w="6060" w:type="dxa"/>
            <w:vAlign w:val="bottom"/>
            <w:shd w:val="clear" w:color="auto" w:fill="CCEEFF"/>
          </w:tcPr>
          <w:p>
            <w:pPr>
              <w:ind w:left="320"/>
              <w:spacing w:after="0" w:line="227"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6"/>
                <w:szCs w:val="26"/>
                <w:color w:val="auto"/>
                <w:vertAlign w:val="superscript"/>
              </w:rPr>
              <w:t>(3)</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25,393,490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28,378,529</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887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216" w:lineRule="exact"/>
        <w:rPr>
          <w:sz w:val="20"/>
          <w:szCs w:val="20"/>
          <w:color w:val="auto"/>
        </w:rPr>
      </w:pPr>
    </w:p>
    <w:p>
      <w:pPr>
        <w:ind w:left="565" w:hanging="565"/>
        <w:spacing w:after="0"/>
        <w:tabs>
          <w:tab w:leader="none" w:pos="56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income earned on idle cash.</w:t>
      </w:r>
    </w:p>
    <w:p>
      <w:pPr>
        <w:spacing w:after="0" w:line="23"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11 — Stock-Based Compensation” for more detail.</w:t>
      </w:r>
    </w:p>
    <w:p>
      <w:pPr>
        <w:spacing w:after="0" w:line="7" w:lineRule="exact"/>
        <w:rPr>
          <w:rFonts w:ascii="Times New Roman" w:cs="Times New Roman" w:eastAsia="Times New Roman" w:hAnsi="Times New Roman"/>
          <w:sz w:val="16"/>
          <w:szCs w:val="16"/>
          <w:color w:val="auto"/>
        </w:rPr>
      </w:pPr>
    </w:p>
    <w:p>
      <w:pPr>
        <w:ind w:left="565" w:right="20" w:hanging="565"/>
        <w:spacing w:after="0" w:line="258" w:lineRule="auto"/>
        <w:tabs>
          <w:tab w:leader="none" w:pos="56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2024 and March 31, 2023, there were no potentially dilutive securities outstanding. Refer to “Note 6 — Net Change in Net Assets Resulting from Operations per Common Share — Basic and Diluted”.</w:t>
      </w:r>
    </w:p>
    <w:p>
      <w:pPr>
        <w:spacing w:after="0" w:line="1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4" w:name="page5"/>
    <w:bookmarkEnd w:id="4"/>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NET ASSETS (UNAUDITED)</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80" w:type="dxa"/>
            <w:vAlign w:val="bottom"/>
            <w:gridSpan w:val="7"/>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Assets at Beginning of Year</w:t>
            </w: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203,357,646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210,020,702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investment loss</w:t>
            </w: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(3,222,902)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(4,221,765)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(424,074)</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189,343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(18,418,370)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8,648,931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1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(22,065,346)</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4,616,509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428,835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405,858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740" w:type="dxa"/>
            <w:vAlign w:val="bottom"/>
            <w:tcBorders>
              <w:top w:val="single" w:sz="8" w:color="CCEEFF"/>
              <w:bottom w:val="single" w:sz="8" w:color="CCEEFF"/>
            </w:tcBorders>
          </w:tcPr>
          <w:p>
            <w:pPr>
              <w:ind w:left="300"/>
              <w:spacing w:after="0" w:line="175" w:lineRule="exact"/>
              <w:rPr>
                <w:sz w:val="20"/>
                <w:szCs w:val="20"/>
                <w:color w:val="auto"/>
              </w:rPr>
            </w:pPr>
            <w:r>
              <w:rPr>
                <w:rFonts w:ascii="Times New Roman" w:cs="Times New Roman" w:eastAsia="Times New Roman" w:hAnsi="Times New Roman"/>
                <w:sz w:val="16"/>
                <w:szCs w:val="16"/>
                <w:b w:val="1"/>
                <w:bCs w:val="1"/>
                <w:color w:val="auto"/>
              </w:rPr>
              <w:t>Net Change in Net Assets Resulting from Capital Transactions</w:t>
            </w:r>
          </w:p>
        </w:tc>
        <w:tc>
          <w:tcPr>
            <w:tcW w:w="12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428,835</w:t>
            </w:r>
          </w:p>
        </w:tc>
        <w:tc>
          <w:tcPr>
            <w:tcW w:w="2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405,858</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1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(21,636,511</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5,022,367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Assets at March 31</w:t>
            </w:r>
          </w:p>
        </w:tc>
        <w:tc>
          <w:tcPr>
            <w:tcW w:w="1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181,721,135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215,043,069</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5"/>
          </w:cols>
          <w:pgMar w:left="315" w:top="218" w:right="319" w:bottom="1440" w:gutter="0" w:footer="0" w:header="0"/>
        </w:sectPr>
      </w:pPr>
    </w:p>
    <w:p>
      <w:pPr>
        <w:ind w:left="5"/>
        <w:spacing w:after="0"/>
        <w:rPr>
          <w:sz w:val="20"/>
          <w:szCs w:val="20"/>
          <w:color w:val="auto"/>
        </w:rPr>
      </w:pPr>
      <w:r>
        <w:rPr>
          <w:rFonts w:ascii="Times New Roman" w:cs="Times New Roman" w:eastAsia="Times New Roman" w:hAnsi="Times New Roman"/>
          <w:sz w:val="16"/>
          <w:szCs w:val="16"/>
          <w:b w:val="1"/>
          <w:bCs w:val="1"/>
          <w:color w:val="auto"/>
        </w:rPr>
        <w:t>Capital Share Activity</w:t>
      </w:r>
    </w:p>
    <w:p>
      <w:pPr>
        <w:spacing w:after="0" w:line="7"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6"/>
          <w:szCs w:val="16"/>
          <w:color w:val="auto"/>
        </w:rPr>
        <w:t>Shares outstanding at beginning of year</w:t>
      </w:r>
    </w:p>
    <w:p>
      <w:pPr>
        <w:ind w:left="165"/>
        <w:spacing w:after="0" w:line="216" w:lineRule="auto"/>
        <w:rPr>
          <w:sz w:val="20"/>
          <w:szCs w:val="20"/>
          <w:color w:val="auto"/>
        </w:rPr>
      </w:pPr>
      <w:r>
        <w:rPr>
          <w:rFonts w:ascii="Times New Roman" w:cs="Times New Roman" w:eastAsia="Times New Roman" w:hAnsi="Times New Roman"/>
          <w:sz w:val="15"/>
          <w:szCs w:val="15"/>
          <w:color w:val="auto"/>
        </w:rPr>
        <w:t>Issuance of common stock under restricted stock plan, net</w:t>
      </w:r>
      <w:r>
        <w:rPr>
          <w:rFonts w:ascii="Times New Roman" w:cs="Times New Roman" w:eastAsia="Times New Roman" w:hAnsi="Times New Roman"/>
          <w:sz w:val="25"/>
          <w:szCs w:val="25"/>
          <w:color w:val="auto"/>
          <w:vertAlign w:val="superscript"/>
        </w:rPr>
        <w:t>(1)</w:t>
      </w:r>
    </w:p>
    <w:p>
      <w:pPr>
        <w:ind w:left="5"/>
        <w:spacing w:after="0"/>
        <w:rPr>
          <w:sz w:val="20"/>
          <w:szCs w:val="20"/>
          <w:color w:val="auto"/>
        </w:rPr>
      </w:pPr>
      <w:r>
        <w:rPr>
          <w:rFonts w:ascii="Times New Roman" w:cs="Times New Roman" w:eastAsia="Times New Roman" w:hAnsi="Times New Roman"/>
          <w:sz w:val="16"/>
          <w:szCs w:val="16"/>
          <w:b w:val="1"/>
          <w:bCs w:val="1"/>
          <w:color w:val="auto"/>
        </w:rPr>
        <w:t>Shares Outstanding at End of Period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25,445,805</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28,429,499</w:t>
            </w:r>
          </w:p>
        </w:tc>
        <w:tc>
          <w:tcPr>
            <w:tcW w:w="60" w:type="dxa"/>
            <w:vAlign w:val="bottom"/>
          </w:tcPr>
          <w:p>
            <w:pPr>
              <w:spacing w:after="0"/>
              <w:rPr>
                <w:sz w:val="18"/>
                <w:szCs w:val="18"/>
                <w:color w:val="auto"/>
              </w:rPr>
            </w:pPr>
          </w:p>
        </w:tc>
      </w:tr>
      <w:tr>
        <w:trPr>
          <w:trHeight w:val="242"/>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(92,521)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(90,919)</w:t>
            </w:r>
          </w:p>
        </w:tc>
      </w:tr>
      <w:tr>
        <w:trPr>
          <w:trHeight w:val="20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25,353,284</w:t>
            </w:r>
          </w:p>
        </w:tc>
        <w:tc>
          <w:tcPr>
            <w:tcW w:w="340" w:type="dxa"/>
            <w:vAlign w:val="bottom"/>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28,338,580</w:t>
            </w:r>
          </w:p>
        </w:tc>
        <w:tc>
          <w:tcPr>
            <w:tcW w:w="60" w:type="dxa"/>
            <w:vAlign w:val="bottom"/>
          </w:tcPr>
          <w:p>
            <w:pPr>
              <w:spacing w:after="0"/>
              <w:rPr>
                <w:sz w:val="17"/>
                <w:szCs w:val="17"/>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-438785</wp:posOffset>
            </wp:positionV>
            <wp:extent cx="7148195" cy="121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-158750</wp:posOffset>
            </wp:positionV>
            <wp:extent cx="7148195" cy="144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6265" w:space="720"/>
            <w:col w:w="4280"/>
          </w:cols>
          <w:pgMar w:left="315" w:top="218" w:right="31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17887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227" w:lineRule="exact"/>
        <w:rPr>
          <w:sz w:val="20"/>
          <w:szCs w:val="20"/>
          <w:color w:val="auto"/>
        </w:rPr>
      </w:pPr>
    </w:p>
    <w:p>
      <w:pPr>
        <w:ind w:left="565" w:hanging="565"/>
        <w:spacing w:after="0"/>
        <w:tabs>
          <w:tab w:leader="none" w:pos="56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11 — Stock-Based Compensation” for more detail.</w:t>
      </w:r>
    </w:p>
    <w:p>
      <w:pPr>
        <w:spacing w:after="0" w:line="19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140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(22,065,346)</w:t>
            </w:r>
          </w:p>
        </w:tc>
        <w:tc>
          <w:tcPr>
            <w:tcW w:w="126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4,616,509</w:t>
            </w:r>
          </w:p>
        </w:tc>
        <w:tc>
          <w:tcPr>
            <w:tcW w:w="120" w:type="dxa"/>
            <w:vAlign w:val="bottom"/>
          </w:tcPr>
          <w:p>
            <w:pPr>
              <w:spacing w:after="0"/>
              <w:rPr>
                <w:sz w:val="16"/>
                <w:szCs w:val="16"/>
                <w:color w:val="auto"/>
              </w:rPr>
            </w:pPr>
          </w:p>
        </w:tc>
      </w:tr>
      <w:tr>
        <w:trPr>
          <w:trHeight w:val="174"/>
        </w:trPr>
        <w:tc>
          <w:tcPr>
            <w:tcW w:w="672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Adjustments to reconcile net change in net assets resulting from operations to net cash provided by</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8"/>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1"/>
        </w:trPr>
        <w:tc>
          <w:tcPr>
            <w:tcW w:w="6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424,074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(189,343)</w:t>
            </w:r>
          </w:p>
        </w:tc>
      </w:tr>
      <w:tr>
        <w:trPr>
          <w:trHeight w:val="191"/>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18,418,370</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(8,648,931)</w:t>
            </w:r>
          </w:p>
        </w:tc>
      </w:tr>
      <w:tr>
        <w:trPr>
          <w:trHeight w:val="191"/>
        </w:trPr>
        <w:tc>
          <w:tcPr>
            <w:tcW w:w="6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discount on 6.00% Notes due 2026</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106,093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104,936</w:t>
            </w:r>
          </w:p>
        </w:tc>
      </w:tr>
      <w:tr>
        <w:trPr>
          <w:trHeight w:val="191"/>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428,835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405,858</w:t>
            </w:r>
          </w:p>
        </w:tc>
      </w:tr>
      <w:tr>
        <w:trPr>
          <w:trHeight w:val="191"/>
        </w:trPr>
        <w:tc>
          <w:tcPr>
            <w:tcW w:w="6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 to escrow proceeds receivable</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(72,997)</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108,394</w:t>
            </w:r>
          </w:p>
        </w:tc>
      </w:tr>
      <w:tr>
        <w:trPr>
          <w:trHeight w:val="191"/>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interest on U.S. Treasury bills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(376,834)</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(458,580)</w:t>
            </w:r>
          </w:p>
        </w:tc>
      </w:tr>
      <w:tr>
        <w:trPr>
          <w:trHeight w:val="191"/>
        </w:trPr>
        <w:tc>
          <w:tcPr>
            <w:tcW w:w="6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investments in:</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Portfolio investments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(10,003,934)</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(2,003,698)</w:t>
            </w:r>
          </w:p>
        </w:tc>
      </w:tr>
      <w:tr>
        <w:trPr>
          <w:trHeight w:val="191"/>
        </w:trPr>
        <w:tc>
          <w:tcPr>
            <w:tcW w:w="6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U.S. Treasury bills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(35,497,676)</w:t>
            </w:r>
          </w:p>
        </w:tc>
      </w:tr>
      <w:tr>
        <w:trPr>
          <w:trHeight w:val="191"/>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sales or maturity of investments in:</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Portfolio investments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318,316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2,860,159</w:t>
            </w:r>
          </w:p>
        </w:tc>
        <w:tc>
          <w:tcPr>
            <w:tcW w:w="120" w:type="dxa"/>
            <w:vAlign w:val="bottom"/>
          </w:tcPr>
          <w:p>
            <w:pPr>
              <w:spacing w:after="0"/>
              <w:rPr>
                <w:sz w:val="16"/>
                <w:szCs w:val="16"/>
                <w:color w:val="auto"/>
              </w:rPr>
            </w:pPr>
          </w:p>
        </w:tc>
      </w:tr>
      <w:tr>
        <w:trPr>
          <w:trHeight w:val="191"/>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U.S. Treasury bills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34,547,625</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45,000,118</w:t>
            </w:r>
          </w:p>
        </w:tc>
      </w:tr>
      <w:tr>
        <w:trPr>
          <w:trHeight w:val="191"/>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27,453</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72,804</w:t>
            </w:r>
          </w:p>
        </w:tc>
      </w:tr>
      <w:tr>
        <w:trPr>
          <w:trHeight w:val="191"/>
        </w:trPr>
        <w:tc>
          <w:tcPr>
            <w:tcW w:w="6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(5,050)</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33,758</w:t>
            </w:r>
          </w:p>
        </w:tc>
      </w:tr>
      <w:tr>
        <w:trPr>
          <w:trHeight w:val="191"/>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72,990</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18,647</w:t>
            </w:r>
          </w:p>
        </w:tc>
      </w:tr>
      <w:tr>
        <w:trPr>
          <w:trHeight w:val="207"/>
        </w:trPr>
        <w:tc>
          <w:tcPr>
            <w:tcW w:w="67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924,275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1,680,946</w:t>
            </w:r>
          </w:p>
        </w:tc>
        <w:tc>
          <w:tcPr>
            <w:tcW w:w="120" w:type="dxa"/>
            <w:vAlign w:val="bottom"/>
            <w:tcBorders>
              <w:bottom w:val="single" w:sz="8" w:color="CCEEFF"/>
            </w:tcBorders>
          </w:tcPr>
          <w:p>
            <w:pPr>
              <w:spacing w:after="0"/>
              <w:rPr>
                <w:sz w:val="17"/>
                <w:szCs w:val="17"/>
                <w:color w:val="auto"/>
              </w:rPr>
            </w:pPr>
          </w:p>
        </w:tc>
      </w:tr>
      <w:tr>
        <w:trPr>
          <w:trHeight w:val="211"/>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22,743,870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8,103,901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79"/>
        </w:trPr>
        <w:tc>
          <w:tcPr>
            <w:tcW w:w="672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r>
      <w:tr>
        <w:trPr>
          <w:trHeight w:val="211"/>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(107,823</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9"/>
        </w:trPr>
        <w:tc>
          <w:tcPr>
            <w:tcW w:w="672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(107,823</w:t>
            </w:r>
          </w:p>
        </w:tc>
        <w:tc>
          <w:tcPr>
            <w:tcW w:w="200" w:type="dxa"/>
            <w:vAlign w:val="bottom"/>
            <w:tcBorders>
              <w:bottom w:val="single" w:sz="8" w:color="CCEEFF"/>
            </w:tcBorders>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(107,823</w:t>
            </w:r>
          </w:p>
        </w:tc>
        <w:tc>
          <w:tcPr>
            <w:tcW w:w="120" w:type="dxa"/>
            <w:vAlign w:val="bottom"/>
            <w:tcBorders>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r>
      <w:tr>
        <w:trPr>
          <w:trHeight w:val="211"/>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Increase in Cash Balance</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22,636,047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7,996,078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79"/>
        </w:trPr>
        <w:tc>
          <w:tcPr>
            <w:tcW w:w="672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Cash Balance at Beginning of Year</w:t>
            </w:r>
          </w:p>
        </w:tc>
        <w:tc>
          <w:tcPr>
            <w:tcW w:w="2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28,178,352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40,117,598</w:t>
            </w:r>
          </w:p>
        </w:tc>
        <w:tc>
          <w:tcPr>
            <w:tcW w:w="120" w:type="dxa"/>
            <w:vAlign w:val="bottom"/>
            <w:tcBorders>
              <w:bottom w:val="single" w:sz="8" w:color="CCEEFF"/>
            </w:tcBorders>
          </w:tcPr>
          <w:p>
            <w:pPr>
              <w:spacing w:after="0"/>
              <w:rPr>
                <w:sz w:val="15"/>
                <w:szCs w:val="15"/>
                <w:color w:val="auto"/>
              </w:rPr>
            </w:pPr>
          </w:p>
        </w:tc>
      </w:tr>
      <w:tr>
        <w:trPr>
          <w:trHeight w:val="195"/>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Balance at End of Period</w:t>
            </w: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50,814,399</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48,113,676</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75"/>
        </w:trPr>
        <w:tc>
          <w:tcPr>
            <w:tcW w:w="69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Interest paid</w:t>
            </w:r>
          </w:p>
        </w:tc>
        <w:tc>
          <w:tcPr>
            <w:tcW w:w="680" w:type="dxa"/>
            <w:vAlign w:val="bottom"/>
          </w:tcPr>
          <w:p>
            <w:pPr>
              <w:jc w:val="right"/>
              <w:ind w:right="52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1,125,000</w:t>
            </w:r>
          </w:p>
        </w:tc>
        <w:tc>
          <w:tcPr>
            <w:tcW w:w="340" w:type="dxa"/>
            <w:vAlign w:val="bottom"/>
          </w:tcPr>
          <w:p>
            <w:pPr>
              <w:spacing w:after="0"/>
              <w:rPr>
                <w:sz w:val="15"/>
                <w:szCs w:val="15"/>
                <w:color w:val="auto"/>
              </w:rPr>
            </w:pPr>
          </w:p>
        </w:tc>
        <w:tc>
          <w:tcPr>
            <w:tcW w:w="680" w:type="dxa"/>
            <w:vAlign w:val="bottom"/>
          </w:tcPr>
          <w:p>
            <w:pPr>
              <w:jc w:val="right"/>
              <w:ind w:right="52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1,125,000</w:t>
            </w:r>
          </w:p>
        </w:tc>
        <w:tc>
          <w:tcPr>
            <w:tcW w:w="120" w:type="dxa"/>
            <w:vAlign w:val="bottom"/>
          </w:tcPr>
          <w:p>
            <w:pPr>
              <w:spacing w:after="0"/>
              <w:rPr>
                <w:sz w:val="15"/>
                <w:szCs w:val="15"/>
                <w:color w:val="auto"/>
              </w:rPr>
            </w:pPr>
          </w:p>
        </w:tc>
      </w:tr>
      <w:tr>
        <w:trPr>
          <w:trHeight w:val="191"/>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paid</w:t>
            </w:r>
          </w:p>
        </w:tc>
        <w:tc>
          <w:tcPr>
            <w:tcW w:w="6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4,314</w:t>
            </w: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20"/>
        <w:spacing w:after="0" w:line="274" w:lineRule="auto"/>
        <w:rPr>
          <w:sz w:val="20"/>
          <w:szCs w:val="20"/>
          <w:color w:val="auto"/>
        </w:rPr>
      </w:pPr>
      <w:r>
        <w:rPr>
          <w:rFonts w:ascii="Times New Roman" w:cs="Times New Roman" w:eastAsia="Times New Roman" w:hAnsi="Times New Roman"/>
          <w:sz w:val="16"/>
          <w:szCs w:val="16"/>
          <w:b w:val="1"/>
          <w:bCs w:val="1"/>
          <w:color w:val="auto"/>
        </w:rPr>
        <w:t>SURO CAPITAL CORP. AND SUBSIDIARIES CONDENSED CONSOLIDATED SCHEDULE OF INVESTMENTS (UNAUDITED) March 31, 2024</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Headquarters/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Initial</w:t>
            </w:r>
          </w:p>
        </w:tc>
        <w:tc>
          <w:tcPr>
            <w:tcW w:w="1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3"/>
        </w:trPr>
        <w:tc>
          <w:tcPr>
            <w:tcW w:w="350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Principal</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91"/>
        </w:trPr>
        <w:tc>
          <w:tcPr>
            <w:tcW w:w="3380" w:type="dxa"/>
            <w:vAlign w:val="bottom"/>
            <w:tcBorders>
              <w:top w:val="single" w:sz="8" w:color="auto"/>
            </w:tcBorders>
            <w:gridSpan w:val="1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NON-CONTROLLED/NON-AFFILIATE</w:t>
            </w:r>
          </w:p>
        </w:tc>
        <w:tc>
          <w:tcPr>
            <w:tcW w:w="12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Borders>
              <w:bottom w:val="single" w:sz="8" w:color="auto"/>
            </w:tcBorders>
            <w:gridSpan w:val="13"/>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Learneo, Inc. (f/k/a Course Hero, Inc.)</w:t>
            </w:r>
          </w:p>
        </w:tc>
        <w:tc>
          <w:tcPr>
            <w:tcW w:w="880" w:type="dxa"/>
            <w:vAlign w:val="bottom"/>
            <w:gridSpan w:val="4"/>
          </w:tcPr>
          <w:p>
            <w:pPr>
              <w:spacing w:after="0"/>
              <w:rPr>
                <w:sz w:val="13"/>
                <w:szCs w:val="13"/>
                <w:color w:val="auto"/>
              </w:rPr>
            </w:pPr>
          </w:p>
        </w:tc>
        <w:tc>
          <w:tcPr>
            <w:tcW w:w="2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w w:val="97"/>
              </w:rPr>
              <w:t>Redwood City, CA</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 8%</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Online Education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9/18/2014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2,145,509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5,000,001</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$ 32,983,548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0" w:type="dxa"/>
            <w:vAlign w:val="bottom"/>
          </w:tcPr>
          <w:p>
            <w:pPr>
              <w:spacing w:after="0"/>
              <w:rPr>
                <w:sz w:val="1"/>
                <w:szCs w:val="1"/>
                <w:color w:val="auto"/>
              </w:rPr>
            </w:pPr>
          </w:p>
        </w:tc>
      </w:tr>
      <w:tr>
        <w:trPr>
          <w:trHeight w:val="207"/>
        </w:trPr>
        <w:tc>
          <w:tcPr>
            <w:tcW w:w="35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11/5/2021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275,659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9,999,971</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9,999,971</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11"/>
        </w:trPr>
        <w:tc>
          <w:tcPr>
            <w:tcW w:w="3500" w:type="dxa"/>
            <w:vAlign w:val="bottom"/>
            <w:tcBorders>
              <w:top w:val="single" w:sz="8" w:color="CCEEFF"/>
              <w:bottom w:val="single" w:sz="8" w:color="CCEEFF"/>
            </w:tcBorders>
            <w:gridSpan w:val="17"/>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14,999,972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42,983,519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9"/>
        </w:trPr>
        <w:tc>
          <w:tcPr>
            <w:tcW w:w="1200" w:type="dxa"/>
            <w:vAlign w:val="bottom"/>
            <w:tcBorders>
              <w:bottom w:val="single" w:sz="8" w:color="auto"/>
            </w:tcBorders>
            <w:gridSpan w:val="4"/>
          </w:tcPr>
          <w:p>
            <w:pPr>
              <w:spacing w:after="0" w:line="139" w:lineRule="exact"/>
              <w:rPr>
                <w:sz w:val="20"/>
                <w:szCs w:val="20"/>
                <w:color w:val="auto"/>
              </w:rPr>
            </w:pPr>
            <w:r>
              <w:rPr>
                <w:rFonts w:ascii="Times New Roman" w:cs="Times New Roman" w:eastAsia="Times New Roman" w:hAnsi="Times New Roman"/>
                <w:sz w:val="16"/>
                <w:szCs w:val="16"/>
                <w:b w:val="1"/>
                <w:bCs w:val="1"/>
                <w:color w:val="auto"/>
                <w:w w:val="95"/>
              </w:rPr>
              <w:t>ServiceTitan, Inc.</w:t>
            </w:r>
          </w:p>
        </w:tc>
        <w:tc>
          <w:tcPr>
            <w:tcW w:w="2300" w:type="dxa"/>
            <w:vAlign w:val="bottom"/>
            <w:gridSpan w:val="13"/>
          </w:tcPr>
          <w:p>
            <w:pPr>
              <w:spacing w:after="0"/>
              <w:rPr>
                <w:sz w:val="12"/>
                <w:szCs w:val="12"/>
                <w:color w:val="auto"/>
              </w:rPr>
            </w:pPr>
          </w:p>
        </w:tc>
        <w:tc>
          <w:tcPr>
            <w:tcW w:w="248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6"/>
                <w:szCs w:val="16"/>
                <w:color w:val="auto"/>
                <w:w w:val="99"/>
              </w:rPr>
              <w:t>Glendale, CA</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Contractor Management Software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6/30/2023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151,515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10,008,233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13,406,349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155"/>
        </w:trPr>
        <w:tc>
          <w:tcPr>
            <w:tcW w:w="3500" w:type="dxa"/>
            <w:vAlign w:val="bottom"/>
            <w:gridSpan w:val="17"/>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Blink Health, Inc.</w:t>
            </w:r>
          </w:p>
        </w:tc>
        <w:tc>
          <w:tcPr>
            <w:tcW w:w="2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w w:val="97"/>
              </w:rPr>
              <w:t>New York, NY</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Pharmaceutical Technology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10/27/2020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238,095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5,000,423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1,558,654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0" w:type="dxa"/>
            <w:vAlign w:val="bottom"/>
          </w:tcPr>
          <w:p>
            <w:pPr>
              <w:spacing w:after="0"/>
              <w:rPr>
                <w:sz w:val="1"/>
                <w:szCs w:val="1"/>
                <w:color w:val="auto"/>
              </w:rPr>
            </w:pPr>
          </w:p>
        </w:tc>
      </w:tr>
      <w:tr>
        <w:trPr>
          <w:trHeight w:val="207"/>
        </w:trPr>
        <w:tc>
          <w:tcPr>
            <w:tcW w:w="35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10/27/2020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261,944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10,003,917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9,999,974</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11"/>
        </w:trPr>
        <w:tc>
          <w:tcPr>
            <w:tcW w:w="3500" w:type="dxa"/>
            <w:vAlign w:val="bottom"/>
            <w:tcBorders>
              <w:top w:val="single" w:sz="8" w:color="CCEEFF"/>
              <w:bottom w:val="single" w:sz="8" w:color="CCEEFF"/>
            </w:tcBorders>
            <w:gridSpan w:val="17"/>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15,004,340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11,558,628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9"/>
        </w:trPr>
        <w:tc>
          <w:tcPr>
            <w:tcW w:w="3500" w:type="dxa"/>
            <w:vAlign w:val="bottom"/>
            <w:gridSpan w:val="17"/>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Locus Robotics Corp.</w:t>
            </w:r>
          </w:p>
        </w:tc>
        <w:tc>
          <w:tcPr>
            <w:tcW w:w="24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6"/>
                <w:szCs w:val="16"/>
                <w:color w:val="auto"/>
                <w:w w:val="98"/>
              </w:rPr>
              <w:t>Wilmington, MA</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F 6%</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Warehouse Automation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11/30/2022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232,568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10,004,286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10,886,060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155"/>
        </w:trPr>
        <w:tc>
          <w:tcPr>
            <w:tcW w:w="3080" w:type="dxa"/>
            <w:vAlign w:val="bottom"/>
            <w:tcBorders>
              <w:bottom w:val="single" w:sz="8" w:color="auto"/>
            </w:tcBorders>
            <w:gridSpan w:val="15"/>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Supplying Demand, Inc. (d/b/a Liquid Death)</w:t>
            </w:r>
          </w:p>
        </w:tc>
        <w:tc>
          <w:tcPr>
            <w:tcW w:w="420" w:type="dxa"/>
            <w:vAlign w:val="bottom"/>
            <w:gridSpan w:val="2"/>
          </w:tcPr>
          <w:p>
            <w:pPr>
              <w:spacing w:after="0"/>
              <w:rPr>
                <w:sz w:val="13"/>
                <w:szCs w:val="13"/>
                <w:color w:val="auto"/>
              </w:rPr>
            </w:pPr>
          </w:p>
        </w:tc>
        <w:tc>
          <w:tcPr>
            <w:tcW w:w="24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9"/>
              </w:rPr>
              <w:t>Los Angeles, CA</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F-1</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Lifestyle Beverage Brand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1/18/2024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776,747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10,003,934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9,999,996</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155"/>
        </w:trPr>
        <w:tc>
          <w:tcPr>
            <w:tcW w:w="840" w:type="dxa"/>
            <w:vAlign w:val="bottom"/>
            <w:tcBorders>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7"/>
              </w:rPr>
              <w:t>Whoop, Inc.</w:t>
            </w:r>
          </w:p>
        </w:tc>
        <w:tc>
          <w:tcPr>
            <w:tcW w:w="2660" w:type="dxa"/>
            <w:vAlign w:val="bottom"/>
            <w:gridSpan w:val="15"/>
          </w:tcPr>
          <w:p>
            <w:pPr>
              <w:spacing w:after="0"/>
              <w:rPr>
                <w:sz w:val="13"/>
                <w:szCs w:val="13"/>
                <w:color w:val="auto"/>
              </w:rPr>
            </w:pPr>
          </w:p>
        </w:tc>
        <w:tc>
          <w:tcPr>
            <w:tcW w:w="2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rPr>
              <w:t>Boston, MA</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Fitness Technology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6/30/2022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13,293,450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10,011,460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8,817,987</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155"/>
        </w:trPr>
        <w:tc>
          <w:tcPr>
            <w:tcW w:w="3500" w:type="dxa"/>
            <w:vAlign w:val="bottom"/>
            <w:gridSpan w:val="17"/>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FourKites, Inc.</w:t>
            </w:r>
          </w:p>
        </w:tc>
        <w:tc>
          <w:tcPr>
            <w:tcW w:w="2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w w:val="99"/>
              </w:rPr>
              <w:t>Chicago, IL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Supply Chain Technology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7/7/2023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1,398,024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8,530,389</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7,980,900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155"/>
        </w:trPr>
        <w:tc>
          <w:tcPr>
            <w:tcW w:w="2700" w:type="dxa"/>
            <w:vAlign w:val="bottom"/>
            <w:tcBorders>
              <w:bottom w:val="single" w:sz="8" w:color="auto"/>
            </w:tcBorders>
            <w:gridSpan w:val="14"/>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Shogun Enterprises, Inc. (d/b/a Hearth)</w:t>
            </w:r>
          </w:p>
        </w:tc>
        <w:tc>
          <w:tcPr>
            <w:tcW w:w="800" w:type="dxa"/>
            <w:vAlign w:val="bottom"/>
            <w:gridSpan w:val="3"/>
          </w:tcPr>
          <w:p>
            <w:pPr>
              <w:spacing w:after="0"/>
              <w:rPr>
                <w:sz w:val="13"/>
                <w:szCs w:val="13"/>
                <w:color w:val="auto"/>
              </w:rPr>
            </w:pPr>
          </w:p>
        </w:tc>
        <w:tc>
          <w:tcPr>
            <w:tcW w:w="2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w w:val="99"/>
              </w:rPr>
              <w:t>Austin, TX</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B-1</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Home Improvement Finance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436,844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3,501,657</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2,983,237</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191"/>
        </w:trPr>
        <w:tc>
          <w:tcPr>
            <w:tcW w:w="35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Preferred shares, Series B-2</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301,750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3,501,661</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2,983,241</w:t>
            </w:r>
          </w:p>
        </w:tc>
        <w:tc>
          <w:tcPr>
            <w:tcW w:w="2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191"/>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B-3</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5/2/2022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56,936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530,822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452,447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191"/>
        </w:trPr>
        <w:tc>
          <w:tcPr>
            <w:tcW w:w="35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Preferred shares, Series B-4</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7/12/2023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48,267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366,606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356,146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174"/>
        </w:trPr>
        <w:tc>
          <w:tcPr>
            <w:tcW w:w="3500" w:type="dxa"/>
            <w:vAlign w:val="bottom"/>
            <w:gridSpan w:val="1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Common Warrants, Strike Price $0.01, Expiration</w:t>
            </w:r>
          </w:p>
        </w:tc>
        <w:tc>
          <w:tcPr>
            <w:tcW w:w="2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Date 7/12/2026</w:t>
            </w: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7/12/2023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86,076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140,060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3500" w:type="dxa"/>
            <w:vAlign w:val="bottom"/>
            <w:tcBorders>
              <w:top w:val="single" w:sz="8" w:color="CCEEFF"/>
              <w:bottom w:val="single" w:sz="8" w:color="CCEEFF"/>
            </w:tcBorders>
            <w:gridSpan w:val="17"/>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8,040,806</w:t>
            </w:r>
          </w:p>
        </w:tc>
        <w:tc>
          <w:tcPr>
            <w:tcW w:w="22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6,775,071</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3.73</w:t>
            </w:r>
          </w:p>
        </w:tc>
        <w:tc>
          <w:tcPr>
            <w:tcW w:w="16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1"/>
        </w:trPr>
        <w:tc>
          <w:tcPr>
            <w:tcW w:w="1840" w:type="dxa"/>
            <w:vAlign w:val="bottom"/>
            <w:tcBorders>
              <w:bottom w:val="single" w:sz="8" w:color="auto"/>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7"/>
              </w:rPr>
              <w:t>Orchard Technologies, Inc.</w:t>
            </w:r>
          </w:p>
        </w:tc>
        <w:tc>
          <w:tcPr>
            <w:tcW w:w="1660" w:type="dxa"/>
            <w:vAlign w:val="bottom"/>
            <w:tcBorders>
              <w:bottom w:val="single" w:sz="8" w:color="CCEEFF"/>
            </w:tcBorders>
            <w:gridSpan w:val="8"/>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w w:val="97"/>
              </w:rPr>
              <w:t>New York, NY</w:t>
            </w: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5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Preferred shares, Series D 8%</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Real Estate Platform</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8/9/2021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558,053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3,751,518</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Preferred shares, Series 2</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8/9/2021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58,771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587,951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5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Senior Preferred shares, Series 1 7%</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1/13/2023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441,228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4,418,406</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4,412,280</w:t>
            </w:r>
          </w:p>
        </w:tc>
        <w:tc>
          <w:tcPr>
            <w:tcW w:w="2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23"/>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8/9/2021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558,053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3,751,518</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3500" w:type="dxa"/>
            <w:vAlign w:val="bottom"/>
            <w:tcBorders>
              <w:top w:val="single" w:sz="8" w:color="CCEEFF"/>
              <w:bottom w:val="single" w:sz="8" w:color="CCEEFF"/>
            </w:tcBorders>
            <w:gridSpan w:val="17"/>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12,509,393</w:t>
            </w:r>
          </w:p>
        </w:tc>
        <w:tc>
          <w:tcPr>
            <w:tcW w:w="22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4,412,280</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2.43</w:t>
            </w:r>
          </w:p>
        </w:tc>
        <w:tc>
          <w:tcPr>
            <w:tcW w:w="16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19"/>
        </w:trPr>
        <w:tc>
          <w:tcPr>
            <w:tcW w:w="2460" w:type="dxa"/>
            <w:vAlign w:val="bottom"/>
            <w:tcBorders>
              <w:bottom w:val="single" w:sz="8" w:color="CCEEFF"/>
            </w:tcBorders>
            <w:gridSpan w:val="10"/>
            <w:vMerge w:val="restart"/>
            <w:shd w:val="clear" w:color="auto" w:fill="CCEEFF"/>
          </w:tcPr>
          <w:p>
            <w:pPr>
              <w:spacing w:after="0" w:line="179" w:lineRule="exact"/>
              <w:rPr>
                <w:sz w:val="20"/>
                <w:szCs w:val="20"/>
                <w:color w:val="auto"/>
              </w:rPr>
            </w:pPr>
            <w:r>
              <w:rPr>
                <w:rFonts w:ascii="Times New Roman" w:cs="Times New Roman" w:eastAsia="Times New Roman" w:hAnsi="Times New Roman"/>
                <w:sz w:val="16"/>
                <w:szCs w:val="16"/>
                <w:b w:val="1"/>
                <w:bCs w:val="1"/>
                <w:color w:val="auto"/>
                <w:w w:val="97"/>
              </w:rPr>
              <w:t>True Global Ventures 4 Plus Pte Ltd</w:t>
            </w:r>
          </w:p>
        </w:tc>
        <w:tc>
          <w:tcPr>
            <w:tcW w:w="140" w:type="dxa"/>
            <w:vAlign w:val="bottom"/>
            <w:tcBorders>
              <w:bottom w:val="single" w:sz="8" w:color="auto"/>
            </w:tcBorders>
            <w:gridSpan w:val="2"/>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CCEEFF"/>
            </w:tcBorders>
            <w:gridSpan w:val="5"/>
            <w:vMerge w:val="restart"/>
            <w:shd w:val="clear" w:color="auto" w:fill="CCEEFF"/>
          </w:tcPr>
          <w:p>
            <w:pPr>
              <w:spacing w:after="0"/>
              <w:rPr>
                <w:sz w:val="10"/>
                <w:szCs w:val="10"/>
                <w:color w:val="auto"/>
              </w:rPr>
            </w:pPr>
          </w:p>
        </w:tc>
        <w:tc>
          <w:tcPr>
            <w:tcW w:w="2480" w:type="dxa"/>
            <w:vAlign w:val="bottom"/>
            <w:tcBorders>
              <w:bottom w:val="single" w:sz="8" w:color="CCEEFF"/>
            </w:tcBorders>
            <w:gridSpan w:val="2"/>
            <w:vMerge w:val="restart"/>
            <w:shd w:val="clear" w:color="auto" w:fill="CCEEFF"/>
          </w:tcPr>
          <w:p>
            <w:pPr>
              <w:jc w:val="center"/>
              <w:ind w:right="120"/>
              <w:spacing w:after="0" w:line="179" w:lineRule="exact"/>
              <w:rPr>
                <w:sz w:val="20"/>
                <w:szCs w:val="20"/>
                <w:color w:val="auto"/>
              </w:rPr>
            </w:pPr>
            <w:r>
              <w:rPr>
                <w:rFonts w:ascii="Times New Roman" w:cs="Times New Roman" w:eastAsia="Times New Roman" w:hAnsi="Times New Roman"/>
                <w:sz w:val="16"/>
                <w:szCs w:val="16"/>
                <w:color w:val="auto"/>
                <w:w w:val="98"/>
              </w:rPr>
              <w:t>Singapore, Singapore</w:t>
            </w: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460" w:type="dxa"/>
            <w:vAlign w:val="bottom"/>
            <w:tcBorders>
              <w:bottom w:val="single" w:sz="8" w:color="auto"/>
            </w:tcBorders>
            <w:gridSpan w:val="10"/>
            <w:vMerge w:val="continue"/>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gridSpan w:val="5"/>
            <w:vMerge w:val="continue"/>
            <w:shd w:val="clear" w:color="auto" w:fill="CCEEFF"/>
          </w:tcPr>
          <w:p>
            <w:pPr>
              <w:spacing w:after="0"/>
              <w:rPr>
                <w:sz w:val="4"/>
                <w:szCs w:val="4"/>
                <w:color w:val="auto"/>
              </w:rPr>
            </w:pPr>
          </w:p>
        </w:tc>
        <w:tc>
          <w:tcPr>
            <w:tcW w:w="2480" w:type="dxa"/>
            <w:vAlign w:val="bottom"/>
            <w:tcBorders>
              <w:bottom w:val="single" w:sz="8" w:color="CCEEFF"/>
            </w:tcBorders>
            <w:gridSpan w:val="2"/>
            <w:vMerge w:val="continue"/>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500" w:type="dxa"/>
            <w:vAlign w:val="bottom"/>
            <w:gridSpan w:val="17"/>
          </w:tcPr>
          <w:p>
            <w:pPr>
              <w:spacing w:after="0" w:line="227" w:lineRule="exact"/>
              <w:rPr>
                <w:sz w:val="20"/>
                <w:szCs w:val="20"/>
                <w:color w:val="auto"/>
              </w:rPr>
            </w:pPr>
            <w:r>
              <w:rPr>
                <w:rFonts w:ascii="Times New Roman" w:cs="Times New Roman" w:eastAsia="Times New Roman" w:hAnsi="Times New Roman"/>
                <w:sz w:val="16"/>
                <w:szCs w:val="16"/>
                <w:color w:val="auto"/>
              </w:rPr>
              <w:t>Limited Partner Fund Investment</w:t>
            </w:r>
            <w:r>
              <w:rPr>
                <w:rFonts w:ascii="Times New Roman" w:cs="Times New Roman" w:eastAsia="Times New Roman" w:hAnsi="Times New Roman"/>
                <w:sz w:val="26"/>
                <w:szCs w:val="26"/>
                <w:color w:val="auto"/>
                <w:vertAlign w:val="superscript"/>
              </w:rPr>
              <w:t>(8)</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Venture Investment Fund</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8/27/2021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960,778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4,054,309</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gridSpan w:val="11"/>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Neutron Holdings, Inc. (d/b/a/ Lime)</w:t>
            </w:r>
          </w:p>
        </w:tc>
        <w:tc>
          <w:tcPr>
            <w:tcW w:w="1020" w:type="dxa"/>
            <w:vAlign w:val="bottom"/>
            <w:tcBorders>
              <w:bottom w:val="single" w:sz="8" w:color="CCEEFF"/>
            </w:tcBorders>
            <w:gridSpan w:val="6"/>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w w:val="99"/>
              </w:rPr>
              <w:t>San Francisco, CA</w:t>
            </w: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5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Junior Preferred shares, Series 1-D</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Micromobility</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1/25/2019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41,237,113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10,007,322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3,485,014</w:t>
            </w:r>
          </w:p>
        </w:tc>
        <w:tc>
          <w:tcPr>
            <w:tcW w:w="2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178"/>
        </w:trPr>
        <w:tc>
          <w:tcPr>
            <w:tcW w:w="3500" w:type="dxa"/>
            <w:vAlign w:val="bottom"/>
            <w:gridSpan w:val="17"/>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Junior Preferred Convertible Note 4% Due</w:t>
            </w:r>
          </w:p>
        </w:tc>
        <w:tc>
          <w:tcPr>
            <w:tcW w:w="2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020" w:type="dxa"/>
            <w:vAlign w:val="bottom"/>
            <w:gridSpan w:val="3"/>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5/11/2027</w:t>
            </w:r>
            <w:r>
              <w:rPr>
                <w:rFonts w:ascii="Times New Roman" w:cs="Times New Roman" w:eastAsia="Times New Roman" w:hAnsi="Times New Roman"/>
                <w:sz w:val="26"/>
                <w:szCs w:val="26"/>
                <w:color w:val="auto"/>
                <w:vertAlign w:val="superscript"/>
              </w:rPr>
              <w:t>***</w:t>
            </w:r>
          </w:p>
        </w:tc>
        <w:tc>
          <w:tcPr>
            <w:tcW w:w="18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5/11/2020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506,339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506,339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506,339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174"/>
        </w:trPr>
        <w:tc>
          <w:tcPr>
            <w:tcW w:w="3500" w:type="dxa"/>
            <w:vAlign w:val="bottom"/>
            <w:gridSpan w:val="17"/>
          </w:tcPr>
          <w:p>
            <w:pPr>
              <w:spacing w:after="0" w:line="175" w:lineRule="exact"/>
              <w:rPr>
                <w:sz w:val="20"/>
                <w:szCs w:val="20"/>
                <w:color w:val="auto"/>
              </w:rPr>
            </w:pPr>
            <w:r>
              <w:rPr>
                <w:rFonts w:ascii="Times New Roman" w:cs="Times New Roman" w:eastAsia="Times New Roman" w:hAnsi="Times New Roman"/>
                <w:sz w:val="16"/>
                <w:szCs w:val="16"/>
                <w:color w:val="auto"/>
              </w:rPr>
              <w:t>Common Warrants, Strike Price $0.01, Expiration</w:t>
            </w: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Date 5/11/2027</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5/11/2020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2,032,967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40,659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1"/>
        </w:trPr>
        <w:tc>
          <w:tcPr>
            <w:tcW w:w="3500" w:type="dxa"/>
            <w:vAlign w:val="bottom"/>
            <w:tcBorders>
              <w:top w:val="single" w:sz="8" w:color="CCEEFF"/>
              <w:bottom w:val="single" w:sz="8" w:color="CCEEFF"/>
            </w:tcBorders>
            <w:gridSpan w:val="17"/>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10,513,661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4,032,012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9"/>
        </w:trPr>
        <w:tc>
          <w:tcPr>
            <w:tcW w:w="3500" w:type="dxa"/>
            <w:vAlign w:val="bottom"/>
            <w:gridSpan w:val="17"/>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PayJoy, Inc.</w:t>
            </w:r>
          </w:p>
        </w:tc>
        <w:tc>
          <w:tcPr>
            <w:tcW w:w="248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6"/>
                <w:szCs w:val="16"/>
                <w:color w:val="auto"/>
                <w:w w:val="99"/>
              </w:rPr>
              <w:t>San Francisco, CA</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w:t>
            </w: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Mobile Access Technology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7/23/2021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244,117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2,501,570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7"/>
        </w:trPr>
        <w:tc>
          <w:tcPr>
            <w:tcW w:w="35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5/25/2023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501,470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211"/>
        </w:trPr>
        <w:tc>
          <w:tcPr>
            <w:tcW w:w="3500" w:type="dxa"/>
            <w:vAlign w:val="bottom"/>
            <w:tcBorders>
              <w:top w:val="single" w:sz="8" w:color="CCEEFF"/>
              <w:bottom w:val="single" w:sz="8" w:color="CCEEFF"/>
            </w:tcBorders>
            <w:gridSpan w:val="17"/>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3,003,040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03"/>
        </w:trPr>
        <w:tc>
          <w:tcPr>
            <w:tcW w:w="1240" w:type="dxa"/>
            <w:vAlign w:val="bottom"/>
            <w:gridSpan w:val="5"/>
            <w:vMerge w:val="restart"/>
          </w:tcPr>
          <w:p>
            <w:pPr>
              <w:spacing w:after="0" w:line="163" w:lineRule="exact"/>
              <w:rPr>
                <w:sz w:val="20"/>
                <w:szCs w:val="20"/>
                <w:color w:val="auto"/>
              </w:rPr>
            </w:pPr>
            <w:r>
              <w:rPr>
                <w:rFonts w:ascii="Times New Roman" w:cs="Times New Roman" w:eastAsia="Times New Roman" w:hAnsi="Times New Roman"/>
                <w:sz w:val="16"/>
                <w:szCs w:val="16"/>
                <w:b w:val="1"/>
                <w:bCs w:val="1"/>
                <w:color w:val="auto"/>
                <w:w w:val="97"/>
              </w:rPr>
              <w:t>Forge Global, Inc.</w:t>
            </w:r>
          </w:p>
        </w:tc>
        <w:tc>
          <w:tcPr>
            <w:tcW w:w="120" w:type="dxa"/>
            <w:vAlign w:val="bottom"/>
            <w:tcBorders>
              <w:bottom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w w:val="99"/>
              </w:rPr>
              <w:t>**</w:t>
            </w:r>
          </w:p>
        </w:tc>
        <w:tc>
          <w:tcPr>
            <w:tcW w:w="2140" w:type="dxa"/>
            <w:vAlign w:val="bottom"/>
            <w:gridSpan w:val="10"/>
            <w:vMerge w:val="restart"/>
          </w:tcPr>
          <w:p>
            <w:pPr>
              <w:spacing w:after="0"/>
              <w:rPr>
                <w:sz w:val="8"/>
                <w:szCs w:val="8"/>
                <w:color w:val="auto"/>
              </w:rPr>
            </w:pPr>
          </w:p>
        </w:tc>
        <w:tc>
          <w:tcPr>
            <w:tcW w:w="2480" w:type="dxa"/>
            <w:vAlign w:val="bottom"/>
            <w:gridSpan w:val="2"/>
            <w:vMerge w:val="restart"/>
          </w:tcPr>
          <w:p>
            <w:pPr>
              <w:jc w:val="center"/>
              <w:ind w:right="120"/>
              <w:spacing w:after="0" w:line="163" w:lineRule="exact"/>
              <w:rPr>
                <w:sz w:val="20"/>
                <w:szCs w:val="20"/>
                <w:color w:val="auto"/>
              </w:rPr>
            </w:pPr>
            <w:r>
              <w:rPr>
                <w:rFonts w:ascii="Times New Roman" w:cs="Times New Roman" w:eastAsia="Times New Roman" w:hAnsi="Times New Roman"/>
                <w:sz w:val="16"/>
                <w:szCs w:val="16"/>
                <w:color w:val="auto"/>
                <w:w w:val="99"/>
              </w:rPr>
              <w:t>San Francisco, CA</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240" w:type="dxa"/>
            <w:vAlign w:val="bottom"/>
            <w:tcBorders>
              <w:bottom w:val="single" w:sz="8" w:color="auto"/>
            </w:tcBorders>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140" w:type="dxa"/>
            <w:vAlign w:val="bottom"/>
            <w:gridSpan w:val="10"/>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00" w:type="dxa"/>
            <w:vAlign w:val="bottom"/>
            <w:gridSpan w:val="17"/>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(3)</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Online Marketplace Finance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7/20/2011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1,145,875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2,093,988</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2,211,539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31"/>
        </w:trPr>
        <w:tc>
          <w:tcPr>
            <w:tcW w:w="12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Varo Money, Inc.</w:t>
            </w:r>
          </w:p>
        </w:tc>
        <w:tc>
          <w:tcPr>
            <w:tcW w:w="100" w:type="dxa"/>
            <w:vAlign w:val="bottom"/>
            <w:tcBorders>
              <w:bottom w:val="single" w:sz="8" w:color="auto"/>
            </w:tcBorders>
            <w:gridSpan w:val="2"/>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w w:val="72"/>
              </w:rPr>
              <w:t>**</w:t>
            </w:r>
          </w:p>
        </w:tc>
        <w:tc>
          <w:tcPr>
            <w:tcW w:w="2200" w:type="dxa"/>
            <w:vAlign w:val="bottom"/>
            <w:gridSpan w:val="11"/>
            <w:vMerge w:val="restart"/>
          </w:tcPr>
          <w:p>
            <w:pPr>
              <w:spacing w:after="0"/>
              <w:rPr>
                <w:sz w:val="11"/>
                <w:szCs w:val="11"/>
                <w:color w:val="auto"/>
              </w:rPr>
            </w:pPr>
          </w:p>
        </w:tc>
        <w:tc>
          <w:tcPr>
            <w:tcW w:w="2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9"/>
              </w:rPr>
              <w:t>San Francisco, CA</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200" w:type="dxa"/>
            <w:vAlign w:val="bottom"/>
            <w:tcBorders>
              <w:bottom w:val="single" w:sz="8" w:color="auto"/>
            </w:tcBorders>
            <w:gridSpan w:val="4"/>
            <w:vMerge w:val="continue"/>
          </w:tcPr>
          <w:p>
            <w:pPr>
              <w:spacing w:after="0"/>
              <w:rPr>
                <w:sz w:val="3"/>
                <w:szCs w:val="3"/>
                <w:color w:val="auto"/>
              </w:rPr>
            </w:pPr>
          </w:p>
        </w:tc>
        <w:tc>
          <w:tcPr>
            <w:tcW w:w="100" w:type="dxa"/>
            <w:vAlign w:val="bottom"/>
            <w:gridSpan w:val="2"/>
          </w:tcPr>
          <w:p>
            <w:pPr>
              <w:spacing w:after="0"/>
              <w:rPr>
                <w:sz w:val="3"/>
                <w:szCs w:val="3"/>
                <w:color w:val="auto"/>
              </w:rPr>
            </w:pPr>
          </w:p>
        </w:tc>
        <w:tc>
          <w:tcPr>
            <w:tcW w:w="2200" w:type="dxa"/>
            <w:vAlign w:val="bottom"/>
            <w:gridSpan w:val="11"/>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Financial Services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8/11/2021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1,079,266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10,005,548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1,858,913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(UNAUDITED)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March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w w:val="98"/>
              </w:rPr>
              <w:t>Headquarters/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3"/>
        </w:trPr>
        <w:tc>
          <w:tcPr>
            <w:tcW w:w="3280" w:type="dxa"/>
            <w:vAlign w:val="bottom"/>
            <w:gridSpan w:val="26"/>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w w:val="97"/>
              </w:rPr>
              <w:t>Industry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07"/>
        </w:trPr>
        <w:tc>
          <w:tcPr>
            <w:tcW w:w="2740" w:type="dxa"/>
            <w:vAlign w:val="bottom"/>
            <w:tcBorders>
              <w:top w:val="single" w:sz="8" w:color="auto"/>
              <w:bottom w:val="single" w:sz="8" w:color="auto"/>
            </w:tcBorders>
            <w:gridSpan w:val="17"/>
            <w:vMerge w:val="restart"/>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Xgroup Holdings Limited (d/b/a Xpoint)</w:t>
            </w:r>
          </w:p>
        </w:tc>
        <w:tc>
          <w:tcPr>
            <w:tcW w:w="140" w:type="dxa"/>
            <w:vAlign w:val="bottom"/>
            <w:tcBorders>
              <w:top w:val="single" w:sz="8" w:color="auto"/>
              <w:bottom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85"/>
              </w:rPr>
              <w:t>(7)</w:t>
            </w:r>
          </w:p>
        </w:tc>
        <w:tc>
          <w:tcPr>
            <w:tcW w:w="6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4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4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2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6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14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4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120" w:type="dxa"/>
            <w:vAlign w:val="bottom"/>
            <w:tcBorders>
              <w:top w:val="single" w:sz="8" w:color="auto"/>
              <w:bottom w:val="single" w:sz="8" w:color="auto"/>
            </w:tcBorders>
            <w:vMerge w:val="restart"/>
            <w:shd w:val="clear" w:color="auto" w:fill="CCEEFF"/>
          </w:tcPr>
          <w:p>
            <w:pPr>
              <w:jc w:val="center"/>
              <w:ind w:left="180"/>
              <w:spacing w:after="0" w:line="155" w:lineRule="exact"/>
              <w:rPr>
                <w:sz w:val="20"/>
                <w:szCs w:val="20"/>
                <w:color w:val="auto"/>
              </w:rPr>
            </w:pPr>
            <w:r>
              <w:rPr>
                <w:rFonts w:ascii="Times New Roman" w:cs="Times New Roman" w:eastAsia="Times New Roman" w:hAnsi="Times New Roman"/>
                <w:sz w:val="16"/>
                <w:szCs w:val="16"/>
                <w:color w:val="auto"/>
                <w:w w:val="97"/>
              </w:rPr>
              <w:t>Philadelphia, PA</w:t>
            </w:r>
          </w:p>
        </w:tc>
        <w:tc>
          <w:tcPr>
            <w:tcW w:w="26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78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80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920" w:type="dxa"/>
            <w:vAlign w:val="bottom"/>
            <w:tcBorders>
              <w:top w:val="single" w:sz="8" w:color="auto"/>
              <w:bottom w:val="single" w:sz="8" w:color="CCEEFF"/>
            </w:tcBorders>
            <w:shd w:val="clear" w:color="auto" w:fill="CCEEFF"/>
          </w:tcPr>
          <w:p>
            <w:pPr>
              <w:spacing w:after="0"/>
              <w:rPr>
                <w:sz w:val="9"/>
                <w:szCs w:val="9"/>
                <w:color w:val="auto"/>
              </w:rPr>
            </w:pPr>
          </w:p>
        </w:tc>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92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88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740" w:type="dxa"/>
            <w:vAlign w:val="bottom"/>
            <w:tcBorders>
              <w:bottom w:val="single" w:sz="8" w:color="auto"/>
            </w:tcBorders>
            <w:gridSpan w:val="17"/>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2120" w:type="dxa"/>
            <w:vAlign w:val="bottom"/>
            <w:tcBorders>
              <w:bottom w:val="single" w:sz="8" w:color="CCEEFF"/>
            </w:tcBorders>
            <w:vMerge w:val="continue"/>
            <w:shd w:val="clear" w:color="auto" w:fill="CCEEFF"/>
          </w:tcPr>
          <w:p>
            <w:pPr>
              <w:spacing w:after="0"/>
              <w:rPr>
                <w:sz w:val="3"/>
                <w:szCs w:val="3"/>
                <w:color w:val="auto"/>
              </w:rPr>
            </w:pPr>
          </w:p>
        </w:tc>
        <w:tc>
          <w:tcPr>
            <w:tcW w:w="26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78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80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92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92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88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280" w:type="dxa"/>
            <w:vAlign w:val="bottom"/>
            <w:gridSpan w:val="26"/>
          </w:tcPr>
          <w:p>
            <w:pPr>
              <w:spacing w:after="0" w:line="227" w:lineRule="exact"/>
              <w:rPr>
                <w:sz w:val="20"/>
                <w:szCs w:val="20"/>
                <w:color w:val="auto"/>
              </w:rPr>
            </w:pPr>
            <w:r>
              <w:rPr>
                <w:rFonts w:ascii="Times New Roman" w:cs="Times New Roman" w:eastAsia="Times New Roman" w:hAnsi="Times New Roman"/>
                <w:sz w:val="16"/>
                <w:szCs w:val="16"/>
                <w:color w:val="auto"/>
              </w:rPr>
              <w:t>Convertible Note 6%, Due 10/17/2024</w:t>
            </w:r>
            <w:r>
              <w:rPr>
                <w:rFonts w:ascii="Times New Roman" w:cs="Times New Roman" w:eastAsia="Times New Roman" w:hAnsi="Times New Roman"/>
                <w:sz w:val="26"/>
                <w:szCs w:val="26"/>
                <w:color w:val="auto"/>
                <w:vertAlign w:val="superscript"/>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jc w:val="center"/>
              <w:ind w:left="220"/>
              <w:spacing w:after="0"/>
              <w:rPr>
                <w:sz w:val="20"/>
                <w:szCs w:val="20"/>
                <w:color w:val="auto"/>
              </w:rPr>
            </w:pPr>
            <w:r>
              <w:rPr>
                <w:rFonts w:ascii="Times New Roman" w:cs="Times New Roman" w:eastAsia="Times New Roman" w:hAnsi="Times New Roman"/>
                <w:sz w:val="16"/>
                <w:szCs w:val="16"/>
                <w:color w:val="auto"/>
                <w:w w:val="99"/>
              </w:rPr>
              <w:t>Geolocation Technology</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8/17/2022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1,325,000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1,338,976</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1,658,332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0" w:type="dxa"/>
            <w:vAlign w:val="bottom"/>
          </w:tcPr>
          <w:p>
            <w:pPr>
              <w:spacing w:after="0"/>
              <w:rPr>
                <w:sz w:val="1"/>
                <w:szCs w:val="1"/>
                <w:color w:val="auto"/>
              </w:rPr>
            </w:pPr>
          </w:p>
        </w:tc>
      </w:tr>
      <w:tr>
        <w:trPr>
          <w:trHeight w:val="171"/>
        </w:trPr>
        <w:tc>
          <w:tcPr>
            <w:tcW w:w="328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Aventine Property Group, Inc.</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shd w:val="clear" w:color="auto" w:fill="CCEEFF"/>
          </w:tcPr>
          <w:p>
            <w:pPr>
              <w:jc w:val="center"/>
              <w:ind w:left="200"/>
              <w:spacing w:after="0" w:line="155" w:lineRule="exact"/>
              <w:rPr>
                <w:sz w:val="20"/>
                <w:szCs w:val="20"/>
                <w:color w:val="auto"/>
              </w:rPr>
            </w:pPr>
            <w:r>
              <w:rPr>
                <w:rFonts w:ascii="Times New Roman" w:cs="Times New Roman" w:eastAsia="Times New Roman" w:hAnsi="Times New Roman"/>
                <w:sz w:val="16"/>
                <w:szCs w:val="16"/>
                <w:color w:val="auto"/>
                <w:w w:val="99"/>
              </w:rPr>
              <w:t>Chicago, IL</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6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220" w:type="dxa"/>
            <w:vAlign w:val="bottom"/>
            <w:tcBorders>
              <w:top w:val="single" w:sz="8" w:color="CCEEFF"/>
            </w:tcBorders>
            <w:gridSpan w:val="13"/>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jc w:val="center"/>
              <w:ind w:left="180"/>
              <w:spacing w:after="0"/>
              <w:rPr>
                <w:sz w:val="20"/>
                <w:szCs w:val="20"/>
                <w:color w:val="auto"/>
              </w:rPr>
            </w:pPr>
            <w:r>
              <w:rPr>
                <w:rFonts w:ascii="Times New Roman" w:cs="Times New Roman" w:eastAsia="Times New Roman" w:hAnsi="Times New Roman"/>
                <w:sz w:val="16"/>
                <w:szCs w:val="16"/>
                <w:color w:val="auto"/>
                <w:w w:val="98"/>
              </w:rPr>
              <w:t>Cannabis REIT</w:t>
            </w:r>
          </w:p>
        </w:tc>
        <w:tc>
          <w:tcPr>
            <w:tcW w:w="1140" w:type="dxa"/>
            <w:vAlign w:val="bottom"/>
            <w:tcBorders>
              <w:top w:val="single" w:sz="8" w:color="CCEEFF"/>
            </w:tcBorders>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9/11/2019</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312,500</w:t>
            </w:r>
          </w:p>
        </w:tc>
        <w:tc>
          <w:tcPr>
            <w:tcW w:w="10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2,580,750</w:t>
            </w:r>
          </w:p>
        </w:tc>
        <w:tc>
          <w:tcPr>
            <w:tcW w:w="2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1,212,796</w:t>
            </w:r>
          </w:p>
        </w:tc>
        <w:tc>
          <w:tcPr>
            <w:tcW w:w="10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155"/>
        </w:trPr>
        <w:tc>
          <w:tcPr>
            <w:tcW w:w="328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Commercial Streaming Solutions Inc. (d/b/a</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0" w:type="dxa"/>
            <w:vAlign w:val="bottom"/>
            <w:tcBorders>
              <w:top w:val="single" w:sz="8" w:color="auto"/>
              <w:bottom w:val="single" w:sz="8" w:color="auto"/>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3"/>
              </w:rPr>
              <w:t>BettorView)</w:t>
            </w:r>
          </w:p>
        </w:tc>
        <w:tc>
          <w:tcPr>
            <w:tcW w:w="1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2"/>
              </w:rPr>
              <w:t>(7)</w:t>
            </w: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vMerge w:val="restart"/>
            <w:shd w:val="clear" w:color="auto" w:fill="CCEEFF"/>
          </w:tcPr>
          <w:p>
            <w:pPr>
              <w:spacing w:after="0"/>
              <w:rPr>
                <w:sz w:val="12"/>
                <w:szCs w:val="12"/>
                <w:color w:val="auto"/>
              </w:rPr>
            </w:pPr>
          </w:p>
        </w:tc>
        <w:tc>
          <w:tcPr>
            <w:tcW w:w="1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360" w:type="dxa"/>
            <w:vAlign w:val="bottom"/>
            <w:tcBorders>
              <w:top w:val="single" w:sz="8" w:color="auto"/>
              <w:bottom w:val="single" w:sz="8" w:color="auto"/>
            </w:tcBorders>
            <w:gridSpan w:val="2"/>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vMerge w:val="restart"/>
            <w:shd w:val="clear" w:color="auto" w:fill="CCEEFF"/>
          </w:tcPr>
          <w:p>
            <w:pPr>
              <w:spacing w:after="0"/>
              <w:rPr>
                <w:sz w:val="12"/>
                <w:szCs w:val="12"/>
                <w:color w:val="auto"/>
              </w:rPr>
            </w:pPr>
          </w:p>
        </w:tc>
        <w:tc>
          <w:tcPr>
            <w:tcW w:w="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4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2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6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14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4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120" w:type="dxa"/>
            <w:vAlign w:val="bottom"/>
            <w:tcBorders>
              <w:top w:val="single" w:sz="8" w:color="CCEEFF"/>
              <w:bottom w:val="single" w:sz="8" w:color="CCEEFF"/>
            </w:tcBorders>
            <w:vMerge w:val="restart"/>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7"/>
              </w:rPr>
              <w:t>Las Vegas, NV</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820" w:type="dxa"/>
            <w:vAlign w:val="bottom"/>
            <w:tcBorders>
              <w:bottom w:val="single" w:sz="8" w:color="auto"/>
              <w:right w:val="single" w:sz="8" w:color="CCEEFF"/>
            </w:tcBorders>
            <w:gridSpan w:val="2"/>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6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gridSpan w:val="2"/>
            <w:vMerge w:val="continue"/>
            <w:shd w:val="clear" w:color="auto" w:fill="CCEEFF"/>
          </w:tcPr>
          <w:p>
            <w:pPr>
              <w:spacing w:after="0"/>
              <w:rPr>
                <w:sz w:val="4"/>
                <w:szCs w:val="4"/>
                <w:color w:val="auto"/>
              </w:rPr>
            </w:pPr>
          </w:p>
        </w:tc>
        <w:tc>
          <w:tcPr>
            <w:tcW w:w="80" w:type="dxa"/>
            <w:vAlign w:val="bottom"/>
            <w:tcBorders>
              <w:bottom w:val="single" w:sz="8" w:color="CCEEFF"/>
            </w:tcBorders>
            <w:gridSpan w:val="2"/>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120" w:type="dxa"/>
            <w:vAlign w:val="bottom"/>
            <w:tcBorders>
              <w:bottom w:val="single" w:sz="8" w:color="CCEEFF"/>
            </w:tcBorders>
            <w:vMerge w:val="continue"/>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8"/>
              </w:rPr>
              <w:t>Interactive Media &amp; Services</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3/26/2021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1,004,240</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131"/>
        </w:trPr>
        <w:tc>
          <w:tcPr>
            <w:tcW w:w="2940" w:type="dxa"/>
            <w:vAlign w:val="bottom"/>
            <w:tcBorders>
              <w:bottom w:val="single" w:sz="8" w:color="CCEEFF"/>
            </w:tcBorders>
            <w:gridSpan w:val="20"/>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Stake Trade, Inc. (d/b/a Prophet Exchange)</w:t>
            </w:r>
          </w:p>
        </w:tc>
        <w:tc>
          <w:tcPr>
            <w:tcW w:w="160" w:type="dxa"/>
            <w:vAlign w:val="bottom"/>
            <w:tcBorders>
              <w:bottom w:val="single" w:sz="8" w:color="auto"/>
            </w:tcBorders>
            <w:gridSpan w:val="4"/>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(7)</w:t>
            </w: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4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120" w:type="dxa"/>
            <w:vAlign w:val="bottom"/>
            <w:tcBorders>
              <w:bottom w:val="single" w:sz="8" w:color="CCEEFF"/>
            </w:tcBorders>
            <w:vMerge w:val="restart"/>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7"/>
              </w:rPr>
              <w:t>New York, NY</w:t>
            </w: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940" w:type="dxa"/>
            <w:vAlign w:val="bottom"/>
            <w:tcBorders>
              <w:bottom w:val="single" w:sz="8" w:color="auto"/>
            </w:tcBorders>
            <w:gridSpan w:val="20"/>
            <w:vMerge w:val="continue"/>
            <w:shd w:val="clear" w:color="auto" w:fill="CCEEFF"/>
          </w:tcPr>
          <w:p>
            <w:pPr>
              <w:spacing w:after="0"/>
              <w:rPr>
                <w:sz w:val="4"/>
                <w:szCs w:val="4"/>
                <w:color w:val="auto"/>
              </w:rPr>
            </w:pPr>
          </w:p>
        </w:tc>
        <w:tc>
          <w:tcPr>
            <w:tcW w:w="8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120" w:type="dxa"/>
            <w:vAlign w:val="bottom"/>
            <w:tcBorders>
              <w:bottom w:val="single" w:sz="8" w:color="CCEEFF"/>
            </w:tcBorders>
            <w:vMerge w:val="continue"/>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7"/>
              </w:rPr>
              <w:t>Sports Betting</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7/26/2023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1,002,153</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131"/>
        </w:trPr>
        <w:tc>
          <w:tcPr>
            <w:tcW w:w="1440" w:type="dxa"/>
            <w:vAlign w:val="bottom"/>
            <w:tcBorders>
              <w:bottom w:val="single" w:sz="8" w:color="CCEEFF"/>
            </w:tcBorders>
            <w:gridSpan w:val="7"/>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AltC Sponsor LLC**</w:t>
            </w:r>
          </w:p>
        </w:tc>
        <w:tc>
          <w:tcPr>
            <w:tcW w:w="440" w:type="dxa"/>
            <w:vAlign w:val="bottom"/>
            <w:tcBorders>
              <w:bottom w:val="single" w:sz="8" w:color="auto"/>
            </w:tcBorders>
            <w:gridSpan w:val="4"/>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(10)(12)</w:t>
            </w:r>
          </w:p>
        </w:tc>
        <w:tc>
          <w:tcPr>
            <w:tcW w:w="16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gridSpan w:val="2"/>
            <w:vMerge w:val="restart"/>
            <w:shd w:val="clear" w:color="auto" w:fill="CCEEFF"/>
          </w:tcPr>
          <w:p>
            <w:pPr>
              <w:spacing w:after="0"/>
              <w:rPr>
                <w:sz w:val="11"/>
                <w:szCs w:val="11"/>
                <w:color w:val="auto"/>
              </w:rPr>
            </w:pP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spacing w:after="0"/>
              <w:rPr>
                <w:sz w:val="11"/>
                <w:szCs w:val="11"/>
                <w:color w:val="auto"/>
              </w:rPr>
            </w:pPr>
          </w:p>
        </w:tc>
        <w:tc>
          <w:tcPr>
            <w:tcW w:w="360" w:type="dxa"/>
            <w:vAlign w:val="bottom"/>
            <w:tcBorders>
              <w:bottom w:val="single" w:sz="8" w:color="CCEEFF"/>
            </w:tcBorders>
            <w:gridSpan w:val="2"/>
            <w:vMerge w:val="restart"/>
            <w:shd w:val="clear" w:color="auto" w:fill="CCEEFF"/>
          </w:tcPr>
          <w:p>
            <w:pPr>
              <w:spacing w:after="0"/>
              <w:rPr>
                <w:sz w:val="11"/>
                <w:szCs w:val="11"/>
                <w:color w:val="auto"/>
              </w:rPr>
            </w:pPr>
          </w:p>
        </w:tc>
        <w:tc>
          <w:tcPr>
            <w:tcW w:w="160" w:type="dxa"/>
            <w:vAlign w:val="bottom"/>
            <w:tcBorders>
              <w:bottom w:val="single" w:sz="8" w:color="CCEEFF"/>
            </w:tcBorders>
            <w:gridSpan w:val="4"/>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200" w:type="dxa"/>
            <w:vAlign w:val="bottom"/>
            <w:tcBorders>
              <w:bottom w:val="single" w:sz="8" w:color="CCEEFF"/>
            </w:tcBorders>
            <w:gridSpan w:val="2"/>
            <w:vMerge w:val="restart"/>
            <w:shd w:val="clear" w:color="auto" w:fill="CCEEFF"/>
          </w:tcPr>
          <w:p>
            <w:pPr>
              <w:spacing w:after="0"/>
              <w:rPr>
                <w:sz w:val="11"/>
                <w:szCs w:val="11"/>
                <w:color w:val="auto"/>
              </w:rPr>
            </w:pPr>
          </w:p>
        </w:tc>
        <w:tc>
          <w:tcPr>
            <w:tcW w:w="4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120" w:type="dxa"/>
            <w:vAlign w:val="bottom"/>
            <w:tcBorders>
              <w:bottom w:val="single" w:sz="8" w:color="CCEEFF"/>
            </w:tcBorders>
            <w:vMerge w:val="restart"/>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7"/>
              </w:rPr>
              <w:t>New York, NY</w:t>
            </w: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440" w:type="dxa"/>
            <w:vAlign w:val="bottom"/>
            <w:tcBorders>
              <w:bottom w:val="single" w:sz="8" w:color="auto"/>
            </w:tcBorders>
            <w:gridSpan w:val="7"/>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gridSpan w:val="2"/>
            <w:vMerge w:val="continue"/>
            <w:shd w:val="clear" w:color="auto" w:fill="CCEEFF"/>
          </w:tcPr>
          <w:p>
            <w:pPr>
              <w:spacing w:after="0"/>
              <w:rPr>
                <w:sz w:val="4"/>
                <w:szCs w:val="4"/>
                <w:color w:val="auto"/>
              </w:rPr>
            </w:pPr>
          </w:p>
        </w:tc>
        <w:tc>
          <w:tcPr>
            <w:tcW w:w="160" w:type="dxa"/>
            <w:vAlign w:val="bottom"/>
            <w:tcBorders>
              <w:bottom w:val="single" w:sz="8" w:color="CCEEFF"/>
            </w:tcBorders>
            <w:gridSpan w:val="4"/>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gridSpan w:val="2"/>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120" w:type="dxa"/>
            <w:vAlign w:val="bottom"/>
            <w:tcBorders>
              <w:bottom w:val="single" w:sz="8" w:color="CCEEFF"/>
            </w:tcBorders>
            <w:vMerge w:val="continue"/>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center"/>
              <w:ind w:left="180"/>
              <w:spacing w:after="0" w:line="175" w:lineRule="exact"/>
              <w:rPr>
                <w:sz w:val="20"/>
                <w:szCs w:val="20"/>
                <w:color w:val="auto"/>
              </w:rPr>
            </w:pPr>
            <w:r>
              <w:rPr>
                <w:rFonts w:ascii="Times New Roman" w:cs="Times New Roman" w:eastAsia="Times New Roman" w:hAnsi="Times New Roman"/>
                <w:sz w:val="16"/>
                <w:szCs w:val="16"/>
                <w:color w:val="auto"/>
              </w:rPr>
              <w:t>Special Purpose Acquisition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 Class 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Company</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7/21/2021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214,400</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224,753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767,671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23"/>
        </w:trPr>
        <w:tc>
          <w:tcPr>
            <w:tcW w:w="32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Class A</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6"/>
                <w:szCs w:val="16"/>
                <w:color w:val="auto"/>
                <w:w w:val="98"/>
              </w:rPr>
              <w:t>7/21/2021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24,900</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26,102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178,312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179"/>
        </w:trPr>
        <w:tc>
          <w:tcPr>
            <w:tcW w:w="3280" w:type="dxa"/>
            <w:vAlign w:val="bottom"/>
            <w:tcBorders>
              <w:top w:val="single" w:sz="8" w:color="CCEEFF"/>
              <w:bottom w:val="single" w:sz="8" w:color="CCEEFF"/>
            </w:tcBorders>
            <w:gridSpan w:val="26"/>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12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250,855</w:t>
            </w: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945,983</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0.52</w:t>
            </w:r>
          </w:p>
        </w:tc>
        <w:tc>
          <w:tcPr>
            <w:tcW w:w="18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43"/>
        </w:trPr>
        <w:tc>
          <w:tcPr>
            <w:tcW w:w="3280" w:type="dxa"/>
            <w:vAlign w:val="bottom"/>
            <w:gridSpan w:val="26"/>
            <w:shd w:val="clear" w:color="auto" w:fill="CCEEFF"/>
          </w:tcPr>
          <w:p>
            <w:pPr>
              <w:spacing w:after="0" w:line="143" w:lineRule="exact"/>
              <w:rPr>
                <w:sz w:val="20"/>
                <w:szCs w:val="20"/>
                <w:color w:val="auto"/>
              </w:rPr>
            </w:pPr>
            <w:r>
              <w:rPr>
                <w:rFonts w:ascii="Times New Roman" w:cs="Times New Roman" w:eastAsia="Times New Roman" w:hAnsi="Times New Roman"/>
                <w:sz w:val="16"/>
                <w:szCs w:val="16"/>
                <w:b w:val="1"/>
                <w:bCs w:val="1"/>
                <w:color w:val="auto"/>
                <w:w w:val="99"/>
              </w:rPr>
              <w:t>Residential Homes for Rent, LLC (d/b/a Second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Borders>
              <w:top w:val="single" w:sz="8" w:color="auto"/>
            </w:tcBorders>
            <w:gridSpan w:val="25"/>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Avenue)</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CCEEFF"/>
            </w:tcBorders>
            <w:shd w:val="clear" w:color="auto" w:fill="CCEEFF"/>
          </w:tcPr>
          <w:p>
            <w:pPr>
              <w:jc w:val="center"/>
              <w:ind w:left="200"/>
              <w:spacing w:after="0" w:line="171" w:lineRule="exact"/>
              <w:rPr>
                <w:sz w:val="20"/>
                <w:szCs w:val="20"/>
                <w:color w:val="auto"/>
              </w:rPr>
            </w:pPr>
            <w:r>
              <w:rPr>
                <w:rFonts w:ascii="Times New Roman" w:cs="Times New Roman" w:eastAsia="Times New Roman" w:hAnsi="Times New Roman"/>
                <w:sz w:val="16"/>
                <w:szCs w:val="16"/>
                <w:color w:val="auto"/>
                <w:w w:val="99"/>
              </w:rPr>
              <w:t>Chicago, IL</w:t>
            </w: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540" w:type="dxa"/>
            <w:vAlign w:val="bottom"/>
            <w:shd w:val="clear" w:color="auto" w:fill="000000"/>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3280" w:type="dxa"/>
            <w:vAlign w:val="bottom"/>
            <w:gridSpan w:val="26"/>
          </w:tcPr>
          <w:p>
            <w:pPr>
              <w:spacing w:after="0" w:line="227" w:lineRule="exact"/>
              <w:rPr>
                <w:sz w:val="20"/>
                <w:szCs w:val="20"/>
                <w:color w:val="auto"/>
              </w:rPr>
            </w:pPr>
            <w:r>
              <w:rPr>
                <w:rFonts w:ascii="Times New Roman" w:cs="Times New Roman" w:eastAsia="Times New Roman" w:hAnsi="Times New Roman"/>
                <w:sz w:val="16"/>
                <w:szCs w:val="16"/>
                <w:color w:val="auto"/>
              </w:rPr>
              <w:t>Preferred shares, Series A</w:t>
            </w:r>
            <w:r>
              <w:rPr>
                <w:rFonts w:ascii="Times New Roman" w:cs="Times New Roman" w:eastAsia="Times New Roman" w:hAnsi="Times New Roman"/>
                <w:sz w:val="26"/>
                <w:szCs w:val="26"/>
                <w:color w:val="auto"/>
                <w:vertAlign w:val="superscript"/>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8"/>
              </w:rPr>
              <w:t>Real Estate Platform</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12/23/2020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654,705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131"/>
        </w:trPr>
        <w:tc>
          <w:tcPr>
            <w:tcW w:w="1400" w:type="dxa"/>
            <w:vAlign w:val="bottom"/>
            <w:tcBorders>
              <w:bottom w:val="single" w:sz="8" w:color="CCEEFF"/>
            </w:tcBorders>
            <w:gridSpan w:val="6"/>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EDGE Markets, Inc.</w:t>
            </w:r>
          </w:p>
        </w:tc>
        <w:tc>
          <w:tcPr>
            <w:tcW w:w="160" w:type="dxa"/>
            <w:vAlign w:val="bottom"/>
            <w:tcBorders>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(7)</w:t>
            </w: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340" w:type="dxa"/>
            <w:vAlign w:val="bottom"/>
            <w:tcBorders>
              <w:bottom w:val="single" w:sz="8" w:color="CCEEFF"/>
            </w:tcBorders>
            <w:gridSpan w:val="2"/>
            <w:vMerge w:val="restart"/>
            <w:shd w:val="clear" w:color="auto" w:fill="CCEEFF"/>
          </w:tcPr>
          <w:p>
            <w:pPr>
              <w:spacing w:after="0"/>
              <w:rPr>
                <w:sz w:val="11"/>
                <w:szCs w:val="11"/>
                <w:color w:val="auto"/>
              </w:rPr>
            </w:pPr>
          </w:p>
        </w:tc>
        <w:tc>
          <w:tcPr>
            <w:tcW w:w="80" w:type="dxa"/>
            <w:vAlign w:val="bottom"/>
            <w:tcBorders>
              <w:bottom w:val="single" w:sz="8" w:color="CCEEFF"/>
            </w:tcBorders>
            <w:gridSpan w:val="2"/>
            <w:vMerge w:val="restart"/>
            <w:shd w:val="clear" w:color="auto" w:fill="CCEEFF"/>
          </w:tcPr>
          <w:p>
            <w:pPr>
              <w:spacing w:after="0"/>
              <w:rPr>
                <w:sz w:val="11"/>
                <w:szCs w:val="11"/>
                <w:color w:val="auto"/>
              </w:rPr>
            </w:pP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spacing w:after="0"/>
              <w:rPr>
                <w:sz w:val="11"/>
                <w:szCs w:val="11"/>
                <w:color w:val="auto"/>
              </w:rPr>
            </w:pPr>
          </w:p>
        </w:tc>
        <w:tc>
          <w:tcPr>
            <w:tcW w:w="360" w:type="dxa"/>
            <w:vAlign w:val="bottom"/>
            <w:tcBorders>
              <w:bottom w:val="single" w:sz="8" w:color="CCEEFF"/>
            </w:tcBorders>
            <w:gridSpan w:val="2"/>
            <w:vMerge w:val="restart"/>
            <w:shd w:val="clear" w:color="auto" w:fill="CCEEFF"/>
          </w:tcPr>
          <w:p>
            <w:pPr>
              <w:spacing w:after="0"/>
              <w:rPr>
                <w:sz w:val="11"/>
                <w:szCs w:val="11"/>
                <w:color w:val="auto"/>
              </w:rPr>
            </w:pPr>
          </w:p>
        </w:tc>
        <w:tc>
          <w:tcPr>
            <w:tcW w:w="160" w:type="dxa"/>
            <w:vAlign w:val="bottom"/>
            <w:tcBorders>
              <w:bottom w:val="single" w:sz="8" w:color="CCEEFF"/>
            </w:tcBorders>
            <w:gridSpan w:val="4"/>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3"/>
            <w:vMerge w:val="restart"/>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120" w:type="dxa"/>
            <w:vAlign w:val="bottom"/>
            <w:tcBorders>
              <w:bottom w:val="single" w:sz="8" w:color="CCEEFF"/>
            </w:tcBorders>
            <w:vMerge w:val="restart"/>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rPr>
              <w:t>San Diego, CA</w:t>
            </w: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400" w:type="dxa"/>
            <w:vAlign w:val="bottom"/>
            <w:tcBorders>
              <w:bottom w:val="single" w:sz="8" w:color="auto"/>
            </w:tcBorders>
            <w:gridSpan w:val="6"/>
            <w:vMerge w:val="continue"/>
            <w:shd w:val="clear" w:color="auto" w:fill="CCEEFF"/>
          </w:tcPr>
          <w:p>
            <w:pPr>
              <w:spacing w:after="0"/>
              <w:rPr>
                <w:sz w:val="4"/>
                <w:szCs w:val="4"/>
                <w:color w:val="auto"/>
              </w:rPr>
            </w:pPr>
          </w:p>
        </w:tc>
        <w:tc>
          <w:tcPr>
            <w:tcW w:w="16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340" w:type="dxa"/>
            <w:vAlign w:val="bottom"/>
            <w:tcBorders>
              <w:bottom w:val="single" w:sz="8" w:color="CCEEFF"/>
            </w:tcBorders>
            <w:gridSpan w:val="2"/>
            <w:vMerge w:val="continue"/>
            <w:shd w:val="clear" w:color="auto" w:fill="CCEEFF"/>
          </w:tcPr>
          <w:p>
            <w:pPr>
              <w:spacing w:after="0"/>
              <w:rPr>
                <w:sz w:val="4"/>
                <w:szCs w:val="4"/>
                <w:color w:val="auto"/>
              </w:rPr>
            </w:pPr>
          </w:p>
        </w:tc>
        <w:tc>
          <w:tcPr>
            <w:tcW w:w="80" w:type="dxa"/>
            <w:vAlign w:val="bottom"/>
            <w:tcBorders>
              <w:bottom w:val="single" w:sz="8" w:color="CCEEFF"/>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gridSpan w:val="2"/>
            <w:vMerge w:val="continue"/>
            <w:shd w:val="clear" w:color="auto" w:fill="CCEEFF"/>
          </w:tcPr>
          <w:p>
            <w:pPr>
              <w:spacing w:after="0"/>
              <w:rPr>
                <w:sz w:val="4"/>
                <w:szCs w:val="4"/>
                <w:color w:val="auto"/>
              </w:rPr>
            </w:pPr>
          </w:p>
        </w:tc>
        <w:tc>
          <w:tcPr>
            <w:tcW w:w="160" w:type="dxa"/>
            <w:vAlign w:val="bottom"/>
            <w:tcBorders>
              <w:bottom w:val="single" w:sz="8" w:color="CCEEFF"/>
            </w:tcBorders>
            <w:gridSpan w:val="4"/>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gridSpan w:val="3"/>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120" w:type="dxa"/>
            <w:vAlign w:val="bottom"/>
            <w:tcBorders>
              <w:bottom w:val="single" w:sz="8" w:color="CCEEFF"/>
            </w:tcBorders>
            <w:vMerge w:val="continue"/>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Seed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8"/>
              </w:rPr>
              <w:t>Gaming Technology</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5/18/2022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456,704</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501,330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155"/>
        </w:trPr>
        <w:tc>
          <w:tcPr>
            <w:tcW w:w="328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Skillsoft Corp.**</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20" w:type="dxa"/>
            <w:vAlign w:val="bottom"/>
            <w:shd w:val="clear" w:color="auto" w:fill="CCEEFF"/>
          </w:tcPr>
          <w:p>
            <w:pPr>
              <w:jc w:val="center"/>
              <w:ind w:left="180"/>
              <w:spacing w:after="0" w:line="155" w:lineRule="exact"/>
              <w:rPr>
                <w:sz w:val="20"/>
                <w:szCs w:val="20"/>
                <w:color w:val="auto"/>
              </w:rPr>
            </w:pPr>
            <w:r>
              <w:rPr>
                <w:rFonts w:ascii="Times New Roman" w:cs="Times New Roman" w:eastAsia="Times New Roman" w:hAnsi="Times New Roman"/>
                <w:sz w:val="16"/>
                <w:szCs w:val="16"/>
                <w:color w:val="auto"/>
                <w:w w:val="98"/>
              </w:rPr>
              <w:t>Nashua, NH</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40" w:type="dxa"/>
            <w:vAlign w:val="bottom"/>
            <w:shd w:val="clear" w:color="auto" w:fill="000000"/>
          </w:tcPr>
          <w:p>
            <w:pPr>
              <w:spacing w:after="0"/>
              <w:rPr>
                <w:sz w:val="3"/>
                <w:szCs w:val="3"/>
                <w:color w:val="auto"/>
              </w:rPr>
            </w:pPr>
          </w:p>
        </w:tc>
        <w:tc>
          <w:tcPr>
            <w:tcW w:w="280" w:type="dxa"/>
            <w:vAlign w:val="bottom"/>
            <w:tcBorders>
              <w:right w:val="single" w:sz="8" w:color="auto"/>
            </w:tcBorders>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3280" w:type="dxa"/>
            <w:vAlign w:val="bottom"/>
            <w:gridSpan w:val="26"/>
          </w:tcPr>
          <w:p>
            <w:pPr>
              <w:spacing w:after="0" w:line="227"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Online Education</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6/8/2021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49,092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9,818,428</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441,828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131"/>
        </w:trPr>
        <w:tc>
          <w:tcPr>
            <w:tcW w:w="2040" w:type="dxa"/>
            <w:vAlign w:val="bottom"/>
            <w:tcBorders>
              <w:bottom w:val="single" w:sz="8" w:color="CCEEFF"/>
            </w:tcBorders>
            <w:gridSpan w:val="12"/>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Churchill Sponsor VII LLC**</w:t>
            </w:r>
          </w:p>
        </w:tc>
        <w:tc>
          <w:tcPr>
            <w:tcW w:w="460" w:type="dxa"/>
            <w:vAlign w:val="bottom"/>
            <w:tcBorders>
              <w:bottom w:val="single" w:sz="8" w:color="auto"/>
            </w:tcBorders>
            <w:gridSpan w:val="4"/>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(10)(14)</w:t>
            </w:r>
          </w:p>
        </w:tc>
        <w:tc>
          <w:tcPr>
            <w:tcW w:w="360" w:type="dxa"/>
            <w:vAlign w:val="bottom"/>
            <w:tcBorders>
              <w:bottom w:val="single" w:sz="8" w:color="CCEEFF"/>
            </w:tcBorders>
            <w:gridSpan w:val="2"/>
            <w:vMerge w:val="restart"/>
            <w:shd w:val="clear" w:color="auto" w:fill="CCEEFF"/>
          </w:tcPr>
          <w:p>
            <w:pPr>
              <w:spacing w:after="0"/>
              <w:rPr>
                <w:sz w:val="11"/>
                <w:szCs w:val="11"/>
                <w:color w:val="auto"/>
              </w:rPr>
            </w:pPr>
          </w:p>
        </w:tc>
        <w:tc>
          <w:tcPr>
            <w:tcW w:w="160" w:type="dxa"/>
            <w:vAlign w:val="bottom"/>
            <w:tcBorders>
              <w:bottom w:val="single" w:sz="8" w:color="CCEEFF"/>
            </w:tcBorders>
            <w:gridSpan w:val="4"/>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3"/>
            <w:vMerge w:val="restart"/>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120" w:type="dxa"/>
            <w:vAlign w:val="bottom"/>
            <w:tcBorders>
              <w:bottom w:val="single" w:sz="8" w:color="CCEEFF"/>
            </w:tcBorders>
            <w:vMerge w:val="restart"/>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7"/>
              </w:rPr>
              <w:t>New York, NY</w:t>
            </w: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40" w:type="dxa"/>
            <w:vAlign w:val="bottom"/>
            <w:tcBorders>
              <w:bottom w:val="single" w:sz="8" w:color="auto"/>
            </w:tcBorders>
            <w:gridSpan w:val="12"/>
            <w:vMerge w:val="continue"/>
            <w:shd w:val="clear" w:color="auto" w:fill="CCEEFF"/>
          </w:tcPr>
          <w:p>
            <w:pPr>
              <w:spacing w:after="0"/>
              <w:rPr>
                <w:sz w:val="4"/>
                <w:szCs w:val="4"/>
                <w:color w:val="auto"/>
              </w:rPr>
            </w:pPr>
          </w:p>
        </w:tc>
        <w:tc>
          <w:tcPr>
            <w:tcW w:w="80" w:type="dxa"/>
            <w:vAlign w:val="bottom"/>
            <w:tcBorders>
              <w:bottom w:val="single" w:sz="8" w:color="CCEEFF"/>
            </w:tcBorders>
            <w:gridSpan w:val="2"/>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gridSpan w:val="2"/>
            <w:vMerge w:val="continue"/>
            <w:shd w:val="clear" w:color="auto" w:fill="CCEEFF"/>
          </w:tcPr>
          <w:p>
            <w:pPr>
              <w:spacing w:after="0"/>
              <w:rPr>
                <w:sz w:val="4"/>
                <w:szCs w:val="4"/>
                <w:color w:val="auto"/>
              </w:rPr>
            </w:pPr>
          </w:p>
        </w:tc>
        <w:tc>
          <w:tcPr>
            <w:tcW w:w="160" w:type="dxa"/>
            <w:vAlign w:val="bottom"/>
            <w:tcBorders>
              <w:bottom w:val="single" w:sz="8" w:color="CCEEFF"/>
            </w:tcBorders>
            <w:gridSpan w:val="4"/>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gridSpan w:val="3"/>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120" w:type="dxa"/>
            <w:vAlign w:val="bottom"/>
            <w:tcBorders>
              <w:bottom w:val="single" w:sz="8" w:color="CCEEFF"/>
            </w:tcBorders>
            <w:vMerge w:val="continue"/>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center"/>
              <w:ind w:left="180"/>
              <w:spacing w:after="0" w:line="175" w:lineRule="exact"/>
              <w:rPr>
                <w:sz w:val="20"/>
                <w:szCs w:val="20"/>
                <w:color w:val="auto"/>
              </w:rPr>
            </w:pPr>
            <w:r>
              <w:rPr>
                <w:rFonts w:ascii="Times New Roman" w:cs="Times New Roman" w:eastAsia="Times New Roman" w:hAnsi="Times New Roman"/>
                <w:sz w:val="16"/>
                <w:szCs w:val="16"/>
                <w:color w:val="auto"/>
              </w:rPr>
              <w:t>Special Purpose Acquisition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 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Company</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2/25/2021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292,100</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205,820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362,894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23"/>
        </w:trPr>
        <w:tc>
          <w:tcPr>
            <w:tcW w:w="32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units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6"/>
                <w:szCs w:val="16"/>
                <w:color w:val="auto"/>
                <w:w w:val="98"/>
              </w:rPr>
              <w:t>2/25/2021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277,000</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94,180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31,880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79"/>
        </w:trPr>
        <w:tc>
          <w:tcPr>
            <w:tcW w:w="3280" w:type="dxa"/>
            <w:vAlign w:val="bottom"/>
            <w:tcBorders>
              <w:top w:val="single" w:sz="8" w:color="CCEEFF"/>
              <w:bottom w:val="single" w:sz="8" w:color="CCEEFF"/>
            </w:tcBorders>
            <w:gridSpan w:val="26"/>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12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300,000</w:t>
            </w: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394,774</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0.22</w:t>
            </w:r>
          </w:p>
        </w:tc>
        <w:tc>
          <w:tcPr>
            <w:tcW w:w="18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19"/>
        </w:trPr>
        <w:tc>
          <w:tcPr>
            <w:tcW w:w="2860" w:type="dxa"/>
            <w:vAlign w:val="bottom"/>
            <w:tcBorders>
              <w:bottom w:val="single" w:sz="8" w:color="CCEEFF"/>
            </w:tcBorders>
            <w:gridSpan w:val="18"/>
            <w:vMerge w:val="restart"/>
            <w:shd w:val="clear" w:color="auto" w:fill="CCEEFF"/>
          </w:tcPr>
          <w:p>
            <w:pPr>
              <w:spacing w:after="0" w:line="179" w:lineRule="exact"/>
              <w:rPr>
                <w:sz w:val="20"/>
                <w:szCs w:val="20"/>
                <w:color w:val="auto"/>
              </w:rPr>
            </w:pPr>
            <w:r>
              <w:rPr>
                <w:rFonts w:ascii="Times New Roman" w:cs="Times New Roman" w:eastAsia="Times New Roman" w:hAnsi="Times New Roman"/>
                <w:sz w:val="16"/>
                <w:szCs w:val="16"/>
                <w:b w:val="1"/>
                <w:bCs w:val="1"/>
                <w:color w:val="auto"/>
                <w:w w:val="97"/>
              </w:rPr>
              <w:t>YouBet Technology, Inc. (d/b/a FanPower)</w:t>
            </w:r>
          </w:p>
        </w:tc>
        <w:tc>
          <w:tcPr>
            <w:tcW w:w="160" w:type="dxa"/>
            <w:vAlign w:val="bottom"/>
            <w:tcBorders>
              <w:bottom w:val="single" w:sz="8" w:color="auto"/>
            </w:tcBorders>
            <w:gridSpan w:val="4"/>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(7)</w:t>
            </w: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40" w:type="dxa"/>
            <w:vAlign w:val="bottom"/>
            <w:tcBorders>
              <w:bottom w:val="single" w:sz="8" w:color="CCEEFF"/>
            </w:tcBorders>
            <w:gridSpan w:val="3"/>
            <w:vMerge w:val="restart"/>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120" w:type="dxa"/>
            <w:vAlign w:val="bottom"/>
            <w:tcBorders>
              <w:bottom w:val="single" w:sz="8" w:color="CCEEFF"/>
            </w:tcBorders>
            <w:vMerge w:val="restart"/>
            <w:shd w:val="clear" w:color="auto" w:fill="CCEEFF"/>
          </w:tcPr>
          <w:p>
            <w:pPr>
              <w:jc w:val="center"/>
              <w:ind w:left="200"/>
              <w:spacing w:after="0" w:line="179" w:lineRule="exact"/>
              <w:rPr>
                <w:sz w:val="20"/>
                <w:szCs w:val="20"/>
                <w:color w:val="auto"/>
              </w:rPr>
            </w:pPr>
            <w:r>
              <w:rPr>
                <w:rFonts w:ascii="Times New Roman" w:cs="Times New Roman" w:eastAsia="Times New Roman" w:hAnsi="Times New Roman"/>
                <w:sz w:val="16"/>
                <w:szCs w:val="16"/>
                <w:color w:val="auto"/>
                <w:w w:val="97"/>
              </w:rPr>
              <w:t>New York, NY</w:t>
            </w:r>
          </w:p>
        </w:tc>
        <w:tc>
          <w:tcPr>
            <w:tcW w:w="2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860" w:type="dxa"/>
            <w:vAlign w:val="bottom"/>
            <w:tcBorders>
              <w:bottom w:val="single" w:sz="8" w:color="auto"/>
            </w:tcBorders>
            <w:gridSpan w:val="18"/>
            <w:vMerge w:val="continue"/>
            <w:shd w:val="clear" w:color="auto" w:fill="CCEEFF"/>
          </w:tcPr>
          <w:p>
            <w:pPr>
              <w:spacing w:after="0"/>
              <w:rPr>
                <w:sz w:val="4"/>
                <w:szCs w:val="4"/>
                <w:color w:val="auto"/>
              </w:rPr>
            </w:pPr>
          </w:p>
        </w:tc>
        <w:tc>
          <w:tcPr>
            <w:tcW w:w="160" w:type="dxa"/>
            <w:vAlign w:val="bottom"/>
            <w:tcBorders>
              <w:bottom w:val="single" w:sz="8" w:color="CCEEFF"/>
            </w:tcBorders>
            <w:gridSpan w:val="4"/>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gridSpan w:val="3"/>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120" w:type="dxa"/>
            <w:vAlign w:val="bottom"/>
            <w:tcBorders>
              <w:bottom w:val="single" w:sz="8" w:color="CCEEFF"/>
            </w:tcBorders>
            <w:vMerge w:val="continue"/>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Seed-2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7"/>
              </w:rPr>
              <w:t>Digital Media Technology</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8/26/2021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578,029</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752,943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187,500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131"/>
        </w:trPr>
        <w:tc>
          <w:tcPr>
            <w:tcW w:w="2120" w:type="dxa"/>
            <w:vAlign w:val="bottom"/>
            <w:tcBorders>
              <w:bottom w:val="single" w:sz="8" w:color="CCEEFF"/>
            </w:tcBorders>
            <w:gridSpan w:val="14"/>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Rebric, Inc. (d/b/a Compliable)</w:t>
            </w:r>
          </w:p>
        </w:tc>
        <w:tc>
          <w:tcPr>
            <w:tcW w:w="1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85"/>
              </w:rPr>
              <w:t>(7)</w:t>
            </w:r>
          </w:p>
        </w:tc>
        <w:tc>
          <w:tcPr>
            <w:tcW w:w="780" w:type="dxa"/>
            <w:vAlign w:val="bottom"/>
            <w:tcBorders>
              <w:bottom w:val="single" w:sz="8" w:color="CCEEFF"/>
            </w:tcBorders>
            <w:gridSpan w:val="8"/>
            <w:vMerge w:val="restart"/>
            <w:shd w:val="clear" w:color="auto" w:fill="CCEEFF"/>
          </w:tcPr>
          <w:p>
            <w:pPr>
              <w:spacing w:after="0"/>
              <w:rPr>
                <w:sz w:val="11"/>
                <w:szCs w:val="11"/>
                <w:color w:val="auto"/>
              </w:rPr>
            </w:pPr>
          </w:p>
        </w:tc>
        <w:tc>
          <w:tcPr>
            <w:tcW w:w="240" w:type="dxa"/>
            <w:vAlign w:val="bottom"/>
            <w:tcBorders>
              <w:bottom w:val="single" w:sz="8" w:color="CCEEFF"/>
            </w:tcBorders>
            <w:gridSpan w:val="3"/>
            <w:vMerge w:val="restart"/>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120" w:type="dxa"/>
            <w:vAlign w:val="bottom"/>
            <w:tcBorders>
              <w:bottom w:val="single" w:sz="8" w:color="CCEEFF"/>
            </w:tcBorders>
            <w:vMerge w:val="restart"/>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rPr>
              <w:t>Denver, CO</w:t>
            </w: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120" w:type="dxa"/>
            <w:vAlign w:val="bottom"/>
            <w:tcBorders>
              <w:bottom w:val="single" w:sz="8" w:color="auto"/>
            </w:tcBorders>
            <w:gridSpan w:val="14"/>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gridSpan w:val="8"/>
            <w:vMerge w:val="continue"/>
            <w:shd w:val="clear" w:color="auto" w:fill="CCEEFF"/>
          </w:tcPr>
          <w:p>
            <w:pPr>
              <w:spacing w:after="0"/>
              <w:rPr>
                <w:sz w:val="4"/>
                <w:szCs w:val="4"/>
                <w:color w:val="auto"/>
              </w:rPr>
            </w:pPr>
          </w:p>
        </w:tc>
        <w:tc>
          <w:tcPr>
            <w:tcW w:w="240" w:type="dxa"/>
            <w:vAlign w:val="bottom"/>
            <w:tcBorders>
              <w:bottom w:val="single" w:sz="8" w:color="CCEEFF"/>
            </w:tcBorders>
            <w:gridSpan w:val="3"/>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120" w:type="dxa"/>
            <w:vAlign w:val="bottom"/>
            <w:tcBorders>
              <w:bottom w:val="single" w:sz="8" w:color="CCEEFF"/>
            </w:tcBorders>
            <w:vMerge w:val="continue"/>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Seed-4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Gaming Licensing</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10/12/2021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2,406,492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1,002,755</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157,658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171"/>
        </w:trPr>
        <w:tc>
          <w:tcPr>
            <w:tcW w:w="1580" w:type="dxa"/>
            <w:vAlign w:val="bottom"/>
            <w:tcBorders>
              <w:bottom w:val="single" w:sz="8" w:color="auto"/>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Kinetiq Holdings, LLC</w:t>
            </w:r>
          </w:p>
        </w:tc>
        <w:tc>
          <w:tcPr>
            <w:tcW w:w="1700" w:type="dxa"/>
            <w:vAlign w:val="bottom"/>
            <w:tcBorders>
              <w:bottom w:val="single" w:sz="8" w:color="CCEEFF"/>
            </w:tcBorders>
            <w:gridSpan w:val="17"/>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20" w:type="dxa"/>
            <w:vAlign w:val="bottom"/>
            <w:tcBorders>
              <w:bottom w:val="single" w:sz="8" w:color="CCEEFF"/>
            </w:tcBorders>
            <w:shd w:val="clear" w:color="auto" w:fill="CCEEFF"/>
          </w:tcPr>
          <w:p>
            <w:pPr>
              <w:jc w:val="center"/>
              <w:ind w:left="180"/>
              <w:spacing w:after="0" w:line="155" w:lineRule="exact"/>
              <w:rPr>
                <w:sz w:val="20"/>
                <w:szCs w:val="20"/>
                <w:color w:val="auto"/>
              </w:rPr>
            </w:pPr>
            <w:r>
              <w:rPr>
                <w:rFonts w:ascii="Times New Roman" w:cs="Times New Roman" w:eastAsia="Times New Roman" w:hAnsi="Times New Roman"/>
                <w:sz w:val="16"/>
                <w:szCs w:val="16"/>
                <w:color w:val="auto"/>
                <w:w w:val="97"/>
              </w:rPr>
              <w:t>Philadelphia, PA</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 Class 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Social Data Platform</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3/30/2012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112,374</w:t>
            </w: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36,845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55"/>
        </w:trPr>
        <w:tc>
          <w:tcPr>
            <w:tcW w:w="328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Trax Ltd.**</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20" w:type="dxa"/>
            <w:vAlign w:val="bottom"/>
            <w:shd w:val="clear" w:color="auto" w:fill="CCEEFF"/>
          </w:tcPr>
          <w:p>
            <w:pPr>
              <w:jc w:val="center"/>
              <w:ind w:left="180"/>
              <w:spacing w:after="0" w:line="155" w:lineRule="exact"/>
              <w:rPr>
                <w:sz w:val="20"/>
                <w:szCs w:val="20"/>
                <w:color w:val="auto"/>
              </w:rPr>
            </w:pPr>
            <w:r>
              <w:rPr>
                <w:rFonts w:ascii="Times New Roman" w:cs="Times New Roman" w:eastAsia="Times New Roman" w:hAnsi="Times New Roman"/>
                <w:sz w:val="16"/>
                <w:szCs w:val="16"/>
                <w:color w:val="auto"/>
              </w:rPr>
              <w:t>Singapore, Singapore</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40" w:type="dxa"/>
            <w:vAlign w:val="bottom"/>
            <w:shd w:val="clear" w:color="auto" w:fill="000000"/>
          </w:tcPr>
          <w:p>
            <w:pPr>
              <w:spacing w:after="0"/>
              <w:rPr>
                <w:sz w:val="3"/>
                <w:szCs w:val="3"/>
                <w:color w:val="auto"/>
              </w:rPr>
            </w:pPr>
          </w:p>
        </w:tc>
        <w:tc>
          <w:tcPr>
            <w:tcW w:w="280" w:type="dxa"/>
            <w:vAlign w:val="bottom"/>
            <w:tcBorders>
              <w:right w:val="single" w:sz="8" w:color="CCEEFF"/>
            </w:tcBorders>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Retail Technology</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6/9/2021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55,591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2,781,148</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2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Investec Series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6"/>
                <w:szCs w:val="16"/>
                <w:color w:val="auto"/>
                <w:w w:val="98"/>
              </w:rPr>
              <w:t>6/9/2021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144,409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7,224,600</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3280" w:type="dxa"/>
            <w:vAlign w:val="bottom"/>
            <w:tcBorders>
              <w:top w:val="single" w:sz="8" w:color="CCEEFF"/>
              <w:bottom w:val="single" w:sz="8" w:color="CCEEFF"/>
            </w:tcBorders>
            <w:gridSpan w:val="26"/>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12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10,005,748</w:t>
            </w: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1"/>
        </w:trPr>
        <w:tc>
          <w:tcPr>
            <w:tcW w:w="1700" w:type="dxa"/>
            <w:vAlign w:val="bottom"/>
            <w:tcBorders>
              <w:bottom w:val="single" w:sz="8" w:color="auto"/>
            </w:tcBorders>
            <w:gridSpan w:val="10"/>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Aspiration Partners, Inc.</w:t>
            </w:r>
          </w:p>
        </w:tc>
        <w:tc>
          <w:tcPr>
            <w:tcW w:w="1580" w:type="dxa"/>
            <w:vAlign w:val="bottom"/>
            <w:tcBorders>
              <w:bottom w:val="single" w:sz="8" w:color="CCEEFF"/>
            </w:tcBorders>
            <w:gridSpan w:val="16"/>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20" w:type="dxa"/>
            <w:vAlign w:val="bottom"/>
            <w:tcBorders>
              <w:bottom w:val="single" w:sz="8" w:color="CCEEFF"/>
            </w:tcBorders>
            <w:shd w:val="clear" w:color="auto" w:fill="CCEEFF"/>
          </w:tcPr>
          <w:p>
            <w:pPr>
              <w:jc w:val="center"/>
              <w:ind w:left="180"/>
              <w:spacing w:after="0" w:line="155" w:lineRule="exact"/>
              <w:rPr>
                <w:sz w:val="20"/>
                <w:szCs w:val="20"/>
                <w:color w:val="auto"/>
              </w:rPr>
            </w:pPr>
            <w:r>
              <w:rPr>
                <w:rFonts w:ascii="Times New Roman" w:cs="Times New Roman" w:eastAsia="Times New Roman" w:hAnsi="Times New Roman"/>
                <w:sz w:val="16"/>
                <w:szCs w:val="16"/>
                <w:color w:val="auto"/>
                <w:w w:val="97"/>
              </w:rPr>
              <w:t>Marina Del Rey, CA</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rPr>
              <w:t>Financial Services</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8/11/2015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540,270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1,001,815</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2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6"/>
                <w:szCs w:val="16"/>
                <w:color w:val="auto"/>
                <w:w w:val="98"/>
              </w:rPr>
              <w:t>8/12/2019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24,912</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281,190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3280" w:type="dxa"/>
            <w:vAlign w:val="bottom"/>
            <w:tcBorders>
              <w:top w:val="single" w:sz="8" w:color="CCEEFF"/>
              <w:bottom w:val="single" w:sz="8" w:color="CCEEFF"/>
            </w:tcBorders>
            <w:gridSpan w:val="26"/>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12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1,283,005</w:t>
            </w: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Fullbridge, Inc.</w:t>
            </w:r>
          </w:p>
        </w:tc>
        <w:tc>
          <w:tcPr>
            <w:tcW w:w="2220" w:type="dxa"/>
            <w:vAlign w:val="bottom"/>
            <w:tcBorders>
              <w:bottom w:val="single" w:sz="8" w:color="CCEEFF"/>
            </w:tcBorders>
            <w:gridSpan w:val="22"/>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20" w:type="dxa"/>
            <w:vAlign w:val="bottom"/>
            <w:tcBorders>
              <w:bottom w:val="single" w:sz="8" w:color="CCEEFF"/>
            </w:tcBorders>
            <w:shd w:val="clear" w:color="auto" w:fill="CCEEFF"/>
          </w:tcPr>
          <w:p>
            <w:pPr>
              <w:jc w:val="center"/>
              <w:ind w:left="180"/>
              <w:spacing w:after="0" w:line="155" w:lineRule="exact"/>
              <w:rPr>
                <w:sz w:val="20"/>
                <w:szCs w:val="20"/>
                <w:color w:val="auto"/>
              </w:rPr>
            </w:pPr>
            <w:r>
              <w:rPr>
                <w:rFonts w:ascii="Times New Roman" w:cs="Times New Roman" w:eastAsia="Times New Roman" w:hAnsi="Times New Roman"/>
                <w:sz w:val="16"/>
                <w:szCs w:val="16"/>
                <w:color w:val="auto"/>
              </w:rPr>
              <w:t>Cambridge, MA</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rPr>
              <w:t>Business Education</w:t>
            </w:r>
          </w:p>
        </w:tc>
        <w:tc>
          <w:tcPr>
            <w:tcW w:w="114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5/13/2012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517,917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6,150,506</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9"/>
        </w:trPr>
        <w:tc>
          <w:tcPr>
            <w:tcW w:w="3280" w:type="dxa"/>
            <w:vAlign w:val="bottom"/>
            <w:gridSpan w:val="26"/>
            <w:shd w:val="clear" w:color="auto" w:fill="CCEEFF"/>
          </w:tcPr>
          <w:p>
            <w:pPr>
              <w:spacing w:after="0" w:line="238" w:lineRule="exact"/>
              <w:rPr>
                <w:sz w:val="20"/>
                <w:szCs w:val="20"/>
                <w:color w:val="auto"/>
              </w:rPr>
            </w:pPr>
            <w:r>
              <w:rPr>
                <w:rFonts w:ascii="Times New Roman" w:cs="Times New Roman" w:eastAsia="Times New Roman" w:hAnsi="Times New Roman"/>
                <w:sz w:val="16"/>
                <w:szCs w:val="16"/>
                <w:color w:val="auto"/>
              </w:rPr>
              <w:t>Promissory Note 1.47%, Due 11/9/2021</w:t>
            </w:r>
            <w:r>
              <w:rPr>
                <w:rFonts w:ascii="Times New Roman" w:cs="Times New Roman" w:eastAsia="Times New Roman" w:hAnsi="Times New Roman"/>
                <w:sz w:val="26"/>
                <w:szCs w:val="26"/>
                <w:color w:val="auto"/>
                <w:vertAlign w:val="superscript"/>
              </w:rPr>
              <w:t>(4)(11)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6"/>
                <w:szCs w:val="16"/>
                <w:color w:val="auto"/>
                <w:w w:val="98"/>
              </w:rPr>
              <w:t>3/3/2016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2,270,458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2,270,858</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3280" w:type="dxa"/>
            <w:vAlign w:val="bottom"/>
            <w:tcBorders>
              <w:top w:val="single" w:sz="8" w:color="CCEEFF"/>
              <w:bottom w:val="single" w:sz="8" w:color="CCEEFF"/>
            </w:tcBorders>
            <w:gridSpan w:val="26"/>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12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8,421,364</w:t>
            </w: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1"/>
        </w:trPr>
        <w:tc>
          <w:tcPr>
            <w:tcW w:w="328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Treehouse Real Estate Investment Trust, Inc.</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shd w:val="clear" w:color="auto" w:fill="CCEEFF"/>
          </w:tcPr>
          <w:p>
            <w:pPr>
              <w:jc w:val="center"/>
              <w:ind w:left="200"/>
              <w:spacing w:after="0" w:line="155" w:lineRule="exact"/>
              <w:rPr>
                <w:sz w:val="20"/>
                <w:szCs w:val="20"/>
                <w:color w:val="auto"/>
              </w:rPr>
            </w:pPr>
            <w:r>
              <w:rPr>
                <w:rFonts w:ascii="Times New Roman" w:cs="Times New Roman" w:eastAsia="Times New Roman" w:hAnsi="Times New Roman"/>
                <w:sz w:val="16"/>
                <w:szCs w:val="16"/>
                <w:color w:val="auto"/>
                <w:w w:val="99"/>
              </w:rPr>
              <w:t>Chicago, IL</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04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40" w:type="dxa"/>
            <w:vAlign w:val="bottom"/>
            <w:tcBorders>
              <w:top w:val="single" w:sz="8" w:color="CCEEFF"/>
            </w:tcBorders>
            <w:gridSpan w:val="3"/>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jc w:val="center"/>
              <w:ind w:left="180"/>
              <w:spacing w:after="0"/>
              <w:rPr>
                <w:sz w:val="20"/>
                <w:szCs w:val="20"/>
                <w:color w:val="auto"/>
              </w:rPr>
            </w:pPr>
            <w:r>
              <w:rPr>
                <w:rFonts w:ascii="Times New Roman" w:cs="Times New Roman" w:eastAsia="Times New Roman" w:hAnsi="Times New Roman"/>
                <w:sz w:val="16"/>
                <w:szCs w:val="16"/>
                <w:color w:val="auto"/>
                <w:w w:val="98"/>
              </w:rPr>
              <w:t>Cannabis REIT</w:t>
            </w:r>
          </w:p>
        </w:tc>
        <w:tc>
          <w:tcPr>
            <w:tcW w:w="1140" w:type="dxa"/>
            <w:vAlign w:val="bottom"/>
            <w:tcBorders>
              <w:top w:val="single" w:sz="8" w:color="CCEEFF"/>
            </w:tcBorders>
            <w:gridSpan w:val="3"/>
          </w:tcPr>
          <w:p>
            <w:pPr>
              <w:jc w:val="center"/>
              <w:ind w:left="300"/>
              <w:spacing w:after="0"/>
              <w:rPr>
                <w:sz w:val="20"/>
                <w:szCs w:val="20"/>
                <w:color w:val="auto"/>
              </w:rPr>
            </w:pPr>
            <w:r>
              <w:rPr>
                <w:rFonts w:ascii="Times New Roman" w:cs="Times New Roman" w:eastAsia="Times New Roman" w:hAnsi="Times New Roman"/>
                <w:sz w:val="16"/>
                <w:szCs w:val="16"/>
                <w:color w:val="auto"/>
                <w:w w:val="98"/>
              </w:rPr>
              <w:t>9/11/2019</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312,500</w:t>
            </w:r>
          </w:p>
        </w:tc>
        <w:tc>
          <w:tcPr>
            <w:tcW w:w="10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4,919,250</w:t>
            </w:r>
          </w:p>
        </w:tc>
        <w:tc>
          <w:tcPr>
            <w:tcW w:w="2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5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gridSpan w:val="26"/>
          </w:tcPr>
          <w:p>
            <w:pPr>
              <w:ind w:left="160"/>
              <w:spacing w:after="0"/>
              <w:rPr>
                <w:sz w:val="20"/>
                <w:szCs w:val="20"/>
                <w:color w:val="auto"/>
              </w:rPr>
            </w:pPr>
            <w:r>
              <w:rPr>
                <w:rFonts w:ascii="Times New Roman" w:cs="Times New Roman" w:eastAsia="Times New Roman" w:hAnsi="Times New Roman"/>
                <w:sz w:val="16"/>
                <w:szCs w:val="16"/>
                <w:b w:val="1"/>
                <w:bCs w:val="1"/>
                <w:color w:val="auto"/>
              </w:rPr>
              <w:t>Total Non-controlled/Non-affiliate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$ 170,371,625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$ 140,167,986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77.13%</w:t>
            </w:r>
          </w:p>
        </w:tc>
        <w:tc>
          <w:tcPr>
            <w:tcW w:w="0" w:type="dxa"/>
            <w:vAlign w:val="bottom"/>
          </w:tcPr>
          <w:p>
            <w:pPr>
              <w:spacing w:after="0"/>
              <w:rPr>
                <w:sz w:val="1"/>
                <w:szCs w:val="1"/>
                <w:color w:val="auto"/>
              </w:rPr>
            </w:pPr>
          </w:p>
        </w:tc>
      </w:tr>
      <w:tr>
        <w:trPr>
          <w:trHeight w:val="363"/>
        </w:trPr>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80" w:type="dxa"/>
            <w:vAlign w:val="bottom"/>
            <w:gridSpan w:val="13"/>
          </w:tcPr>
          <w:p>
            <w:pPr>
              <w:jc w:val="center"/>
              <w:ind w:right="1100"/>
              <w:spacing w:after="0"/>
              <w:rPr>
                <w:sz w:val="20"/>
                <w:szCs w:val="20"/>
                <w:color w:val="auto"/>
              </w:rPr>
            </w:pPr>
            <w:r>
              <w:rPr>
                <w:rFonts w:ascii="Times New Roman" w:cs="Times New Roman" w:eastAsia="Times New Roman" w:hAnsi="Times New Roman"/>
                <w:sz w:val="16"/>
                <w:szCs w:val="16"/>
                <w:i w:val="1"/>
                <w:iCs w:val="1"/>
                <w:color w:val="auto"/>
                <w:w w:val="99"/>
              </w:rPr>
              <w:t>See accompanying notes to condensed consolidated financial statements.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6</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(UNAUDITED)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March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Headquarters/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3"/>
        </w:trPr>
        <w:tc>
          <w:tcPr>
            <w:tcW w:w="346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Industry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227"/>
        </w:trPr>
        <w:tc>
          <w:tcPr>
            <w:tcW w:w="3360" w:type="dxa"/>
            <w:vAlign w:val="bottom"/>
            <w:tcBorders>
              <w:top w:val="single" w:sz="8" w:color="auto"/>
            </w:tcBorders>
            <w:gridSpan w:val="8"/>
            <w:shd w:val="clear" w:color="auto" w:fill="CCEEFF"/>
          </w:tcPr>
          <w:p>
            <w:pPr>
              <w:spacing w:after="0" w:line="227" w:lineRule="exact"/>
              <w:rPr>
                <w:sz w:val="20"/>
                <w:szCs w:val="20"/>
                <w:color w:val="auto"/>
              </w:rPr>
            </w:pPr>
            <w:r>
              <w:rPr>
                <w:rFonts w:ascii="Times New Roman" w:cs="Times New Roman" w:eastAsia="Times New Roman" w:hAnsi="Times New Roman"/>
                <w:sz w:val="16"/>
                <w:szCs w:val="16"/>
                <w:b w:val="1"/>
                <w:bCs w:val="1"/>
                <w:color w:val="auto"/>
              </w:rPr>
              <w:t>NON-CONTROLLED/AFFILIATE</w:t>
            </w:r>
            <w:r>
              <w:rPr>
                <w:rFonts w:ascii="Times New Roman" w:cs="Times New Roman" w:eastAsia="Times New Roman" w:hAnsi="Times New Roman"/>
                <w:sz w:val="26"/>
                <w:szCs w:val="26"/>
                <w:b w:val="1"/>
                <w:bCs w:val="1"/>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StormWind, LLC</w:t>
            </w:r>
          </w:p>
        </w:tc>
        <w:tc>
          <w:tcPr>
            <w:tcW w:w="160" w:type="dxa"/>
            <w:vAlign w:val="bottom"/>
            <w:tcBorders>
              <w:bottom w:val="single" w:sz="8" w:color="auto"/>
            </w:tcBorders>
            <w:gridSpan w:val="2"/>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(5)</w:t>
            </w:r>
          </w:p>
        </w:tc>
        <w:tc>
          <w:tcPr>
            <w:tcW w:w="100" w:type="dxa"/>
            <w:vAlign w:val="bottom"/>
            <w:vMerge w:val="restart"/>
          </w:tcPr>
          <w:p>
            <w:pPr>
              <w:spacing w:after="0"/>
              <w:rPr>
                <w:sz w:val="11"/>
                <w:szCs w:val="11"/>
                <w:color w:val="auto"/>
              </w:rPr>
            </w:pPr>
          </w:p>
        </w:tc>
        <w:tc>
          <w:tcPr>
            <w:tcW w:w="1020" w:type="dxa"/>
            <w:vAlign w:val="bottom"/>
            <w:vMerge w:val="restart"/>
          </w:tcPr>
          <w:p>
            <w:pPr>
              <w:spacing w:after="0"/>
              <w:rPr>
                <w:sz w:val="11"/>
                <w:szCs w:val="11"/>
                <w:color w:val="auto"/>
              </w:rPr>
            </w:pPr>
          </w:p>
        </w:tc>
        <w:tc>
          <w:tcPr>
            <w:tcW w:w="42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340" w:type="dxa"/>
            <w:vAlign w:val="bottom"/>
            <w:gridSpan w:val="2"/>
            <w:vMerge w:val="restart"/>
          </w:tcPr>
          <w:p>
            <w:pPr>
              <w:spacing w:after="0"/>
              <w:rPr>
                <w:sz w:val="11"/>
                <w:szCs w:val="11"/>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8"/>
              </w:rPr>
              <w:t>Scottsdale, AZ</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200" w:type="dxa"/>
            <w:vAlign w:val="bottom"/>
            <w:tcBorders>
              <w:bottom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D 8%</w:t>
            </w: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Interactive Learning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11/26/2019</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329,337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257,267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565,571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191"/>
        </w:trPr>
        <w:tc>
          <w:tcPr>
            <w:tcW w:w="34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1/7/2014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2,779,134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4,000,787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5,976,337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191"/>
        </w:trPr>
        <w:tc>
          <w:tcPr>
            <w:tcW w:w="3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 8%</w:t>
            </w:r>
          </w:p>
        </w:tc>
        <w:tc>
          <w:tcPr>
            <w:tcW w:w="2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12/16/2011</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3,279,629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2,019,687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3,870,706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7"/>
        </w:trPr>
        <w:tc>
          <w:tcPr>
            <w:tcW w:w="34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Preferred shares, Series A 8%</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2/25/2014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366,666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110,000</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227,478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bottom w:val="single" w:sz="8" w:color="CCEEFF"/>
            </w:tcBorders>
            <w:gridSpan w:val="9"/>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6,387,741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10,640,092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03"/>
        </w:trPr>
        <w:tc>
          <w:tcPr>
            <w:tcW w:w="2900" w:type="dxa"/>
            <w:vAlign w:val="bottom"/>
            <w:gridSpan w:val="6"/>
            <w:vMerge w:val="restart"/>
          </w:tcPr>
          <w:p>
            <w:pPr>
              <w:spacing w:after="0" w:line="163" w:lineRule="exact"/>
              <w:rPr>
                <w:sz w:val="20"/>
                <w:szCs w:val="20"/>
                <w:color w:val="auto"/>
              </w:rPr>
            </w:pPr>
            <w:r>
              <w:rPr>
                <w:rFonts w:ascii="Times New Roman" w:cs="Times New Roman" w:eastAsia="Times New Roman" w:hAnsi="Times New Roman"/>
                <w:sz w:val="16"/>
                <w:szCs w:val="16"/>
                <w:b w:val="1"/>
                <w:bCs w:val="1"/>
                <w:color w:val="auto"/>
                <w:w w:val="98"/>
              </w:rPr>
              <w:t>PSQ Holdings, Inc. (d/b/a PublicSquare)**</w:t>
            </w:r>
          </w:p>
        </w:tc>
        <w:tc>
          <w:tcPr>
            <w:tcW w:w="220" w:type="dxa"/>
            <w:vAlign w:val="bottom"/>
            <w:tcBorders>
              <w:bottom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(13)</w:t>
            </w:r>
          </w:p>
        </w:tc>
        <w:tc>
          <w:tcPr>
            <w:tcW w:w="340" w:type="dxa"/>
            <w:vAlign w:val="bottom"/>
            <w:gridSpan w:val="2"/>
            <w:vMerge w:val="restart"/>
          </w:tcPr>
          <w:p>
            <w:pPr>
              <w:spacing w:after="0"/>
              <w:rPr>
                <w:sz w:val="8"/>
                <w:szCs w:val="8"/>
                <w:color w:val="auto"/>
              </w:rPr>
            </w:pPr>
          </w:p>
        </w:tc>
        <w:tc>
          <w:tcPr>
            <w:tcW w:w="2480" w:type="dxa"/>
            <w:vAlign w:val="bottom"/>
            <w:gridSpan w:val="2"/>
            <w:vMerge w:val="restart"/>
          </w:tcPr>
          <w:p>
            <w:pPr>
              <w:jc w:val="center"/>
              <w:ind w:right="100"/>
              <w:spacing w:after="0" w:line="163" w:lineRule="exact"/>
              <w:rPr>
                <w:sz w:val="20"/>
                <w:szCs w:val="20"/>
                <w:color w:val="auto"/>
              </w:rPr>
            </w:pPr>
            <w:r>
              <w:rPr>
                <w:rFonts w:ascii="Times New Roman" w:cs="Times New Roman" w:eastAsia="Times New Roman" w:hAnsi="Times New Roman"/>
                <w:sz w:val="16"/>
                <w:szCs w:val="16"/>
                <w:color w:val="auto"/>
                <w:w w:val="98"/>
              </w:rPr>
              <w:t>West Palm Beach, FL</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900" w:type="dxa"/>
            <w:vAlign w:val="bottom"/>
            <w:tcBorders>
              <w:bottom w:val="single" w:sz="8" w:color="auto"/>
            </w:tcBorders>
            <w:gridSpan w:val="6"/>
            <w:vMerge w:val="continue"/>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60" w:type="dxa"/>
            <w:vAlign w:val="bottom"/>
            <w:gridSpan w:val="9"/>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rPr>
              <w:t>Common shares, Class A</w:t>
            </w:r>
            <w:r>
              <w:rPr>
                <w:rFonts w:ascii="Times New Roman" w:cs="Times New Roman" w:eastAsia="Times New Roman" w:hAnsi="Times New Roman"/>
                <w:sz w:val="26"/>
                <w:szCs w:val="26"/>
                <w:color w:val="auto"/>
                <w:vertAlign w:val="superscript"/>
              </w:rPr>
              <w:t>(3)</w:t>
            </w: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E-Commerce Marketplace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4/1/2021</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1,976,032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1,556,587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9,036,394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178"/>
        </w:trPr>
        <w:tc>
          <w:tcPr>
            <w:tcW w:w="3460" w:type="dxa"/>
            <w:vAlign w:val="bottom"/>
            <w:gridSpan w:val="9"/>
          </w:tcPr>
          <w:p>
            <w:pPr>
              <w:spacing w:after="0" w:line="178" w:lineRule="exact"/>
              <w:rPr>
                <w:sz w:val="20"/>
                <w:szCs w:val="20"/>
                <w:color w:val="auto"/>
              </w:rPr>
            </w:pPr>
            <w:r>
              <w:rPr>
                <w:rFonts w:ascii="Times New Roman" w:cs="Times New Roman" w:eastAsia="Times New Roman" w:hAnsi="Times New Roman"/>
                <w:sz w:val="16"/>
                <w:szCs w:val="16"/>
                <w:color w:val="auto"/>
              </w:rPr>
              <w:t>Warrants, Strike Price $11.50, Expiration Date</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200" w:type="dxa"/>
            <w:vAlign w:val="bottom"/>
          </w:tcPr>
          <w:p>
            <w:pPr>
              <w:spacing w:after="0" w:line="251" w:lineRule="exact"/>
              <w:rPr>
                <w:sz w:val="20"/>
                <w:szCs w:val="20"/>
                <w:color w:val="auto"/>
              </w:rPr>
            </w:pPr>
            <w:r>
              <w:rPr>
                <w:rFonts w:ascii="Times New Roman" w:cs="Times New Roman" w:eastAsia="Times New Roman" w:hAnsi="Times New Roman"/>
                <w:sz w:val="16"/>
                <w:szCs w:val="16"/>
                <w:color w:val="auto"/>
              </w:rPr>
              <w:t>7/19/2028</w:t>
            </w:r>
            <w:r>
              <w:rPr>
                <w:rFonts w:ascii="Times New Roman" w:cs="Times New Roman" w:eastAsia="Times New Roman" w:hAnsi="Times New Roman"/>
                <w:sz w:val="26"/>
                <w:szCs w:val="26"/>
                <w:color w:val="auto"/>
                <w:vertAlign w:val="superscript"/>
              </w:rPr>
              <w:t>(3)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4/1/2021</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2,296,037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985,722</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1,492,424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bottom w:val="single" w:sz="8" w:color="CCEEFF"/>
            </w:tcBorders>
            <w:gridSpan w:val="9"/>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2,542,309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10,528,818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9"/>
        </w:trPr>
        <w:tc>
          <w:tcPr>
            <w:tcW w:w="2480" w:type="dxa"/>
            <w:vAlign w:val="bottom"/>
            <w:tcBorders>
              <w:bottom w:val="single" w:sz="8" w:color="auto"/>
            </w:tcBorders>
            <w:gridSpan w:val="5"/>
          </w:tcPr>
          <w:p>
            <w:pPr>
              <w:spacing w:after="0" w:line="139" w:lineRule="exact"/>
              <w:rPr>
                <w:sz w:val="20"/>
                <w:szCs w:val="20"/>
                <w:color w:val="auto"/>
              </w:rPr>
            </w:pPr>
            <w:r>
              <w:rPr>
                <w:rFonts w:ascii="Times New Roman" w:cs="Times New Roman" w:eastAsia="Times New Roman" w:hAnsi="Times New Roman"/>
                <w:sz w:val="16"/>
                <w:szCs w:val="16"/>
                <w:b w:val="1"/>
                <w:bCs w:val="1"/>
                <w:color w:val="auto"/>
                <w:w w:val="97"/>
              </w:rPr>
              <w:t>OneValley, Inc. (f/k/a NestGSV, Inc.)</w:t>
            </w:r>
          </w:p>
        </w:tc>
        <w:tc>
          <w:tcPr>
            <w:tcW w:w="980" w:type="dxa"/>
            <w:vAlign w:val="bottom"/>
            <w:gridSpan w:val="4"/>
          </w:tcPr>
          <w:p>
            <w:pPr>
              <w:spacing w:after="0"/>
              <w:rPr>
                <w:sz w:val="12"/>
                <w:szCs w:val="12"/>
                <w:color w:val="auto"/>
              </w:rPr>
            </w:pPr>
          </w:p>
        </w:tc>
        <w:tc>
          <w:tcPr>
            <w:tcW w:w="24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6"/>
                <w:szCs w:val="16"/>
                <w:color w:val="auto"/>
                <w:w w:val="98"/>
              </w:rPr>
              <w:t>San Mateo, CA</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460" w:type="dxa"/>
            <w:vAlign w:val="bottom"/>
            <w:gridSpan w:val="9"/>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rPr>
              <w:t>Derivative Security, Expiration Date 8/23/2024</w:t>
            </w:r>
            <w:r>
              <w:rPr>
                <w:rFonts w:ascii="Times New Roman" w:cs="Times New Roman" w:eastAsia="Times New Roman" w:hAnsi="Times New Roman"/>
                <w:sz w:val="26"/>
                <w:szCs w:val="26"/>
                <w:color w:val="auto"/>
                <w:vertAlign w:val="superscript"/>
              </w:rPr>
              <w:t>(9)</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Global Innovation Platform</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8/23/2019</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8,555,124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424,489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43"/>
        </w:trPr>
        <w:tc>
          <w:tcPr>
            <w:tcW w:w="3460" w:type="dxa"/>
            <w:vAlign w:val="bottom"/>
            <w:gridSpan w:val="9"/>
          </w:tcPr>
          <w:p>
            <w:pPr>
              <w:spacing w:after="0" w:line="238" w:lineRule="exact"/>
              <w:rPr>
                <w:sz w:val="20"/>
                <w:szCs w:val="20"/>
                <w:color w:val="auto"/>
              </w:rPr>
            </w:pPr>
            <w:r>
              <w:rPr>
                <w:rFonts w:ascii="Times New Roman" w:cs="Times New Roman" w:eastAsia="Times New Roman" w:hAnsi="Times New Roman"/>
                <w:sz w:val="16"/>
                <w:szCs w:val="16"/>
                <w:color w:val="auto"/>
              </w:rPr>
              <w:t>Convertible Promissory Note 8% Due 8/23/2024</w:t>
            </w:r>
            <w:r>
              <w:rPr>
                <w:rFonts w:ascii="Times New Roman" w:cs="Times New Roman" w:eastAsia="Times New Roman" w:hAnsi="Times New Roman"/>
                <w:sz w:val="26"/>
                <w:szCs w:val="26"/>
                <w:color w:val="auto"/>
                <w:vertAlign w:val="superscript"/>
              </w:rPr>
              <w:t>(4)</w:t>
            </w: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2/17/2016</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1,010,198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1,030,176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1,278,305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bottom w:val="single" w:sz="8" w:color="CCEEFF"/>
            </w:tcBorders>
            <w:gridSpan w:val="9"/>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9,585,300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1,702,794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9"/>
        </w:trPr>
        <w:tc>
          <w:tcPr>
            <w:tcW w:w="3460" w:type="dxa"/>
            <w:vAlign w:val="bottom"/>
            <w:gridSpan w:val="9"/>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Maven Research, Inc.</w:t>
            </w:r>
          </w:p>
        </w:tc>
        <w:tc>
          <w:tcPr>
            <w:tcW w:w="248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6"/>
                <w:szCs w:val="16"/>
                <w:color w:val="auto"/>
                <w:w w:val="99"/>
              </w:rPr>
              <w:t>San Francisco, CA</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Knowledge Networks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7/2/2012</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318,979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2,000,447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4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Preferred shares, Series B</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2/28/2012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49,505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217,206</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bottom w:val="single" w:sz="8" w:color="CCEEFF"/>
            </w:tcBorders>
            <w:gridSpan w:val="9"/>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2,217,653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9"/>
        </w:trPr>
        <w:tc>
          <w:tcPr>
            <w:tcW w:w="1220" w:type="dxa"/>
            <w:vAlign w:val="bottom"/>
            <w:tcBorders>
              <w:bottom w:val="single" w:sz="8" w:color="auto"/>
            </w:tcBorders>
            <w:gridSpan w:val="2"/>
          </w:tcPr>
          <w:p>
            <w:pPr>
              <w:spacing w:after="0" w:line="139" w:lineRule="exact"/>
              <w:rPr>
                <w:sz w:val="20"/>
                <w:szCs w:val="20"/>
                <w:color w:val="auto"/>
              </w:rPr>
            </w:pPr>
            <w:r>
              <w:rPr>
                <w:rFonts w:ascii="Times New Roman" w:cs="Times New Roman" w:eastAsia="Times New Roman" w:hAnsi="Times New Roman"/>
                <w:sz w:val="16"/>
                <w:szCs w:val="16"/>
                <w:b w:val="1"/>
                <w:bCs w:val="1"/>
                <w:color w:val="auto"/>
                <w:w w:val="98"/>
              </w:rPr>
              <w:t>Curious.com, Inc.</w:t>
            </w:r>
          </w:p>
        </w:tc>
        <w:tc>
          <w:tcPr>
            <w:tcW w:w="2240" w:type="dxa"/>
            <w:vAlign w:val="bottom"/>
            <w:gridSpan w:val="7"/>
          </w:tcPr>
          <w:p>
            <w:pPr>
              <w:spacing w:after="0"/>
              <w:rPr>
                <w:sz w:val="12"/>
                <w:szCs w:val="12"/>
                <w:color w:val="auto"/>
              </w:rPr>
            </w:pPr>
          </w:p>
        </w:tc>
        <w:tc>
          <w:tcPr>
            <w:tcW w:w="24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6"/>
                <w:szCs w:val="16"/>
                <w:color w:val="auto"/>
              </w:rPr>
              <w:t>Menlo Park, CA</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Online Education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11/22/2013</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1,135,944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12,000,006</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3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Non-controlled/Affiliate</w:t>
            </w:r>
          </w:p>
        </w:tc>
        <w:tc>
          <w:tcPr>
            <w:tcW w:w="2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32,733,009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22,871,704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12.59%</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320" w:type="dxa"/>
            <w:vAlign w:val="bottom"/>
            <w:gridSpan w:val="5"/>
            <w:shd w:val="clear" w:color="auto" w:fill="CCEEFF"/>
          </w:tcPr>
          <w:p>
            <w:pPr>
              <w:spacing w:after="0" w:line="227" w:lineRule="exact"/>
              <w:rPr>
                <w:sz w:val="20"/>
                <w:szCs w:val="20"/>
                <w:color w:val="auto"/>
              </w:rPr>
            </w:pPr>
            <w:r>
              <w:rPr>
                <w:rFonts w:ascii="Times New Roman" w:cs="Times New Roman" w:eastAsia="Times New Roman" w:hAnsi="Times New Roman"/>
                <w:sz w:val="16"/>
                <w:szCs w:val="16"/>
                <w:b w:val="1"/>
                <w:bCs w:val="1"/>
                <w:color w:val="auto"/>
              </w:rPr>
              <w:t>CONTROLLED</w:t>
            </w:r>
            <w:r>
              <w:rPr>
                <w:rFonts w:ascii="Times New Roman" w:cs="Times New Roman" w:eastAsia="Times New Roman" w:hAnsi="Times New Roman"/>
                <w:sz w:val="26"/>
                <w:szCs w:val="26"/>
                <w:b w:val="1"/>
                <w:bCs w:val="1"/>
                <w:color w:val="auto"/>
                <w:vertAlign w:val="superscript"/>
              </w:rPr>
              <w:t>(2)</w:t>
            </w:r>
          </w:p>
        </w:tc>
        <w:tc>
          <w:tcPr>
            <w:tcW w:w="2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tcBorders>
              <w:bottom w:val="single" w:sz="8" w:color="auto"/>
            </w:tcBorders>
            <w:gridSpan w:val="4"/>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7"/>
              </w:rPr>
              <w:t>Architect Capital PayJoy SPV, LLC**</w:t>
            </w:r>
          </w:p>
        </w:tc>
        <w:tc>
          <w:tcPr>
            <w:tcW w:w="740" w:type="dxa"/>
            <w:vAlign w:val="bottom"/>
          </w:tcPr>
          <w:p>
            <w:pPr>
              <w:spacing w:after="0"/>
              <w:rPr>
                <w:sz w:val="13"/>
                <w:szCs w:val="13"/>
                <w:color w:val="auto"/>
              </w:rPr>
            </w:pPr>
          </w:p>
        </w:tc>
        <w:tc>
          <w:tcPr>
            <w:tcW w:w="2420" w:type="dxa"/>
            <w:vAlign w:val="bottom"/>
          </w:tcPr>
          <w:p>
            <w:pPr>
              <w:jc w:val="center"/>
              <w:ind w:left="140"/>
              <w:spacing w:after="0" w:line="155" w:lineRule="exact"/>
              <w:rPr>
                <w:sz w:val="20"/>
                <w:szCs w:val="20"/>
                <w:color w:val="auto"/>
              </w:rPr>
            </w:pPr>
            <w:r>
              <w:rPr>
                <w:rFonts w:ascii="Times New Roman" w:cs="Times New Roman" w:eastAsia="Times New Roman" w:hAnsi="Times New Roman"/>
                <w:sz w:val="16"/>
                <w:szCs w:val="16"/>
                <w:color w:val="auto"/>
                <w:w w:val="99"/>
              </w:rPr>
              <w:t>San Francisco, CA</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Membership Interest in Lending SPV***</w:t>
            </w:r>
          </w:p>
        </w:tc>
        <w:tc>
          <w:tcPr>
            <w:tcW w:w="242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8"/>
              </w:rPr>
              <w:t>Mobile Finance Technology</w:t>
            </w:r>
          </w:p>
        </w:tc>
        <w:tc>
          <w:tcPr>
            <w:tcW w:w="100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w w:val="98"/>
              </w:rPr>
              <w:t>3/24/2021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10,000,000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10,006,745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Colombier Sponsor II LLC**</w:t>
            </w:r>
          </w:p>
        </w:tc>
        <w:tc>
          <w:tcPr>
            <w:tcW w:w="2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(10)</w:t>
            </w:r>
          </w:p>
        </w:tc>
        <w:tc>
          <w:tcPr>
            <w:tcW w:w="1120" w:type="dxa"/>
            <w:vAlign w:val="bottom"/>
            <w:gridSpan w:val="2"/>
            <w:vMerge w:val="restart"/>
          </w:tcPr>
          <w:p>
            <w:pPr>
              <w:spacing w:after="0"/>
              <w:rPr>
                <w:sz w:val="11"/>
                <w:szCs w:val="11"/>
                <w:color w:val="auto"/>
              </w:rPr>
            </w:pPr>
          </w:p>
        </w:tc>
        <w:tc>
          <w:tcPr>
            <w:tcW w:w="2420" w:type="dxa"/>
            <w:vAlign w:val="bottom"/>
            <w:vMerge w:val="restart"/>
          </w:tcPr>
          <w:p>
            <w:pPr>
              <w:jc w:val="center"/>
              <w:ind w:left="120"/>
              <w:spacing w:after="0"/>
              <w:rPr>
                <w:sz w:val="20"/>
                <w:szCs w:val="20"/>
                <w:color w:val="auto"/>
              </w:rPr>
            </w:pPr>
            <w:r>
              <w:rPr>
                <w:rFonts w:ascii="Times New Roman" w:cs="Times New Roman" w:eastAsia="Times New Roman" w:hAnsi="Times New Roman"/>
                <w:sz w:val="16"/>
                <w:szCs w:val="16"/>
                <w:color w:val="auto"/>
                <w:w w:val="98"/>
              </w:rPr>
              <w:t>Palm Beach, FL</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980" w:type="dxa"/>
            <w:vAlign w:val="bottom"/>
            <w:tcBorders>
              <w:bottom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42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20" w:type="dxa"/>
            <w:vAlign w:val="bottom"/>
            <w:shd w:val="clear" w:color="auto" w:fill="CCEEFF"/>
          </w:tcPr>
          <w:p>
            <w:pPr>
              <w:jc w:val="center"/>
              <w:ind w:left="120"/>
              <w:spacing w:after="0" w:line="182" w:lineRule="exact"/>
              <w:rPr>
                <w:sz w:val="20"/>
                <w:szCs w:val="20"/>
                <w:color w:val="auto"/>
              </w:rPr>
            </w:pPr>
            <w:r>
              <w:rPr>
                <w:rFonts w:ascii="Times New Roman" w:cs="Times New Roman" w:eastAsia="Times New Roman" w:hAnsi="Times New Roman"/>
                <w:sz w:val="16"/>
                <w:szCs w:val="16"/>
                <w:color w:val="auto"/>
              </w:rPr>
              <w:t>Special Purpose Acquisition</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Units</w:t>
            </w:r>
          </w:p>
        </w:tc>
        <w:tc>
          <w:tcPr>
            <w:tcW w:w="242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Company</w:t>
            </w:r>
          </w:p>
        </w:tc>
        <w:tc>
          <w:tcPr>
            <w:tcW w:w="100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w w:val="98"/>
              </w:rPr>
              <w:t>11/20/2023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1,103,719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1,101,695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Class W Units</w:t>
            </w:r>
          </w:p>
        </w:tc>
        <w:tc>
          <w:tcPr>
            <w:tcW w:w="2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1,600,000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499,221</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498,305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1,602,940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20" w:type="dxa"/>
            <w:vAlign w:val="bottom"/>
            <w:tcBorders>
              <w:bottom w:val="single" w:sz="8" w:color="auto"/>
            </w:tcBorders>
            <w:gridSpan w:val="5"/>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SPBRX, INC. (f/k/a GSV Sustainability Partners,</w:t>
            </w:r>
          </w:p>
        </w:tc>
        <w:tc>
          <w:tcPr>
            <w:tcW w:w="2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40" w:type="dxa"/>
            <w:vAlign w:val="bottom"/>
            <w:gridSpan w:val="6"/>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Inc.)</w:t>
            </w:r>
          </w:p>
        </w:tc>
        <w:tc>
          <w:tcPr>
            <w:tcW w:w="2420" w:type="dxa"/>
            <w:vAlign w:val="bottom"/>
          </w:tcPr>
          <w:p>
            <w:pPr>
              <w:jc w:val="center"/>
              <w:ind w:left="120"/>
              <w:spacing w:after="0" w:line="171" w:lineRule="exact"/>
              <w:rPr>
                <w:sz w:val="20"/>
                <w:szCs w:val="20"/>
                <w:color w:val="auto"/>
              </w:rPr>
            </w:pPr>
            <w:r>
              <w:rPr>
                <w:rFonts w:ascii="Times New Roman" w:cs="Times New Roman" w:eastAsia="Times New Roman" w:hAnsi="Times New Roman"/>
                <w:sz w:val="16"/>
                <w:szCs w:val="16"/>
                <w:color w:val="auto"/>
                <w:w w:val="99"/>
              </w:rPr>
              <w:t>Cupertino, CA</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Class A</w:t>
            </w:r>
          </w:p>
        </w:tc>
        <w:tc>
          <w:tcPr>
            <w:tcW w:w="242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w w:val="98"/>
              </w:rPr>
              <w:t>Clean Technology</w:t>
            </w:r>
          </w:p>
        </w:tc>
        <w:tc>
          <w:tcPr>
            <w:tcW w:w="100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w w:val="98"/>
              </w:rPr>
              <w:t>4/15/2014</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14,300,000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7,151,412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375,881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420" w:type="dxa"/>
            <w:vAlign w:val="bottom"/>
          </w:tcPr>
          <w:p>
            <w:pPr>
              <w:spacing w:after="0"/>
              <w:rPr>
                <w:sz w:val="17"/>
                <w:szCs w:val="17"/>
                <w:color w:val="auto"/>
              </w:rPr>
            </w:pPr>
          </w:p>
        </w:tc>
        <w:tc>
          <w:tcPr>
            <w:tcW w:w="100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8"/>
              </w:rPr>
              <w:t>4/15/2014</w:t>
            </w:r>
          </w:p>
        </w:tc>
        <w:tc>
          <w:tcPr>
            <w:tcW w:w="20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Borders>
              <w:top w:val="single" w:sz="8" w:color="CCEEFF"/>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4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7,161,412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375,881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Controlled</w:t>
            </w:r>
          </w:p>
        </w:tc>
        <w:tc>
          <w:tcPr>
            <w:tcW w:w="3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18,771,097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11,975,881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39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39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221,875,731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175,015,571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96.31%</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4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U.S. Treasury</w:t>
            </w:r>
          </w:p>
        </w:tc>
        <w:tc>
          <w:tcPr>
            <w:tcW w:w="39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39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spacing w:after="0" w:line="238" w:lineRule="exact"/>
              <w:rPr>
                <w:sz w:val="20"/>
                <w:szCs w:val="20"/>
                <w:color w:val="auto"/>
              </w:rPr>
            </w:pPr>
            <w:r>
              <w:rPr>
                <w:rFonts w:ascii="Times New Roman" w:cs="Times New Roman" w:eastAsia="Times New Roman" w:hAnsi="Times New Roman"/>
                <w:sz w:val="16"/>
                <w:szCs w:val="16"/>
                <w:color w:val="auto"/>
              </w:rPr>
              <w:t>U.S. Treasury bill, 0%, due 6/27/2024***</w:t>
            </w:r>
            <w:r>
              <w:rPr>
                <w:rFonts w:ascii="Times New Roman" w:cs="Times New Roman" w:eastAsia="Times New Roman" w:hAnsi="Times New Roman"/>
                <w:sz w:val="26"/>
                <w:szCs w:val="26"/>
                <w:color w:val="auto"/>
                <w:vertAlign w:val="superscript"/>
              </w:rPr>
              <w:t>(3)</w:t>
            </w:r>
          </w:p>
        </w:tc>
        <w:tc>
          <w:tcPr>
            <w:tcW w:w="3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12/29/2023  $</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30,000,000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29,245,079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29,621,913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9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29,245,079</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29,621,913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3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251,120,810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204,637,484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980" w:type="dxa"/>
            <w:vAlign w:val="bottom"/>
            <w:gridSpan w:val="4"/>
          </w:tcPr>
          <w:p>
            <w:pPr>
              <w:jc w:val="center"/>
              <w:ind w:left="60"/>
              <w:spacing w:after="0"/>
              <w:rPr>
                <w:sz w:val="20"/>
                <w:szCs w:val="20"/>
                <w:color w:val="auto"/>
              </w:rPr>
            </w:pPr>
            <w:r>
              <w:rPr>
                <w:rFonts w:ascii="Times New Roman" w:cs="Times New Roman" w:eastAsia="Times New Roman" w:hAnsi="Times New Roman"/>
                <w:sz w:val="16"/>
                <w:szCs w:val="16"/>
                <w:i w:val="1"/>
                <w:iCs w:val="1"/>
                <w:color w:val="auto"/>
                <w:w w:val="99"/>
              </w:rPr>
              <w:t>See accompanying notes to condensed consolidated financial statements.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right"/>
              <w:ind w:right="1220"/>
              <w:spacing w:after="0"/>
              <w:rPr>
                <w:sz w:val="20"/>
                <w:szCs w:val="20"/>
                <w:color w:val="auto"/>
              </w:rPr>
            </w:pPr>
            <w:r>
              <w:rPr>
                <w:rFonts w:ascii="Times New Roman" w:cs="Times New Roman" w:eastAsia="Times New Roman" w:hAnsi="Times New Roman"/>
                <w:sz w:val="16"/>
                <w:szCs w:val="16"/>
                <w:color w:val="auto"/>
              </w:rPr>
              <w:t>7</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8" w:right="319" w:bottom="1440" w:gutter="0" w:footer="0" w:header="0"/>
        </w:sectPr>
      </w:pPr>
    </w:p>
    <w:bookmarkStart w:id="9" w:name="page10"/>
    <w:bookmarkEnd w:id="9"/>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(UNAUDITED) - continued</w:t>
      </w:r>
    </w:p>
    <w:p>
      <w:pPr>
        <w:spacing w:after="0" w:line="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7887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7" w:lineRule="exact"/>
        <w:rPr>
          <w:sz w:val="20"/>
          <w:szCs w:val="20"/>
          <w:color w:val="auto"/>
        </w:rPr>
      </w:pPr>
    </w:p>
    <w:p>
      <w:pPr>
        <w:jc w:val="both"/>
        <w:ind w:left="285" w:hanging="285"/>
        <w:spacing w:after="0" w:line="255" w:lineRule="auto"/>
        <w:tabs>
          <w:tab w:leader="none" w:pos="28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 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285" w:hanging="285"/>
        <w:spacing w:after="0" w:line="280" w:lineRule="auto"/>
        <w:tabs>
          <w:tab w:leader="none" w:pos="28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March 31, 2024, 15.66% of its total investments are non-qualifying assets.</w:t>
      </w:r>
    </w:p>
    <w:p>
      <w:pPr>
        <w:spacing w:after="0" w:line="143"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22" w:lineRule="exact"/>
        <w:rPr>
          <w:sz w:val="20"/>
          <w:szCs w:val="20"/>
          <w:color w:val="auto"/>
        </w:rPr>
      </w:pPr>
    </w:p>
    <w:p>
      <w:pPr>
        <w:jc w:val="both"/>
        <w:ind w:left="565" w:right="20" w:hanging="565"/>
        <w:spacing w:after="0" w:line="259" w:lineRule="auto"/>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60" w:lineRule="exact"/>
        <w:rPr>
          <w:rFonts w:ascii="Times New Roman" w:cs="Times New Roman" w:eastAsia="Times New Roman" w:hAnsi="Times New Roman"/>
          <w:sz w:val="16"/>
          <w:szCs w:val="16"/>
          <w:color w:val="auto"/>
        </w:rPr>
      </w:pPr>
    </w:p>
    <w:p>
      <w:pPr>
        <w:jc w:val="both"/>
        <w:ind w:left="565" w:hanging="565"/>
        <w:spacing w:after="0" w:line="259" w:lineRule="auto"/>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6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198"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2024, the investments noted had been placed on non-accrual status.</w:t>
      </w:r>
    </w:p>
    <w:p>
      <w:pPr>
        <w:spacing w:after="0" w:line="198"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198" w:lineRule="exact"/>
        <w:rPr>
          <w:rFonts w:ascii="Times New Roman" w:cs="Times New Roman" w:eastAsia="Times New Roman" w:hAnsi="Times New Roman"/>
          <w:sz w:val="16"/>
          <w:szCs w:val="16"/>
          <w:color w:val="auto"/>
        </w:rPr>
      </w:pPr>
    </w:p>
    <w:p>
      <w:pPr>
        <w:ind w:left="565" w:right="20" w:hanging="565"/>
        <w:spacing w:after="0" w:line="280" w:lineRule="auto"/>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 in preferred shares of Residential Homes for Rent, LLC (d/b/a Second Avenue) are held through SuRo Capital Corp.’s wholly owned subsidiary, GSVC AV Holdings, Inc.</w:t>
      </w:r>
    </w:p>
    <w:p>
      <w:pPr>
        <w:spacing w:after="0" w:line="143" w:lineRule="exact"/>
        <w:rPr>
          <w:rFonts w:ascii="Times New Roman" w:cs="Times New Roman" w:eastAsia="Times New Roman" w:hAnsi="Times New Roman"/>
          <w:sz w:val="16"/>
          <w:szCs w:val="16"/>
          <w:color w:val="auto"/>
        </w:rPr>
      </w:pPr>
    </w:p>
    <w:p>
      <w:pPr>
        <w:jc w:val="both"/>
        <w:ind w:left="565" w:right="20" w:hanging="565"/>
        <w:spacing w:after="0" w:line="264" w:lineRule="auto"/>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Commercial Streaming Solutions Inc. (d/b/a BettorView), YouBet Technology, Inc. (d/b/a FanPower), Rebric, Inc. (d/b/a Compliable), EDGE Markets, Inc., Xgroup Holdings Limited (d/b/a Xpoint), and Stake Trade, Inc. (d/b/a Prophet Exchange) are held through SuRo Capital Corp.’s wholly owned subsidiary, SuRo Capital Sports, LLC (“SuRo Sports”).</w:t>
      </w:r>
    </w:p>
    <w:p>
      <w:pPr>
        <w:spacing w:after="0" w:line="15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True Global Ventures 4 Plus Pte Ltd are held through SuRo Capital Corp.’s wholly owned subsidiary, GSVC SVDS Holdings, Inc.</w:t>
      </w:r>
    </w:p>
    <w:p>
      <w:pPr>
        <w:spacing w:after="0" w:line="209" w:lineRule="exact"/>
        <w:rPr>
          <w:rFonts w:ascii="Times New Roman" w:cs="Times New Roman" w:eastAsia="Times New Roman" w:hAnsi="Times New Roman"/>
          <w:sz w:val="15"/>
          <w:szCs w:val="15"/>
          <w:color w:val="auto"/>
        </w:rPr>
      </w:pPr>
    </w:p>
    <w:p>
      <w:pPr>
        <w:jc w:val="both"/>
        <w:ind w:left="565" w:hanging="565"/>
        <w:spacing w:after="0" w:line="259" w:lineRule="auto"/>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60" w:lineRule="exact"/>
        <w:rPr>
          <w:rFonts w:ascii="Times New Roman" w:cs="Times New Roman" w:eastAsia="Times New Roman" w:hAnsi="Times New Roman"/>
          <w:sz w:val="16"/>
          <w:szCs w:val="16"/>
          <w:color w:val="auto"/>
        </w:rPr>
      </w:pPr>
    </w:p>
    <w:p>
      <w:pPr>
        <w:ind w:left="565" w:right="20" w:hanging="565"/>
        <w:spacing w:after="0" w:line="280" w:lineRule="auto"/>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43"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9, 2021, Fullbridge, Inc.’s obligations under its financing arrangements with the Company became past due.</w:t>
      </w:r>
    </w:p>
    <w:p>
      <w:pPr>
        <w:spacing w:after="0" w:line="198" w:lineRule="exact"/>
        <w:rPr>
          <w:rFonts w:ascii="Times New Roman" w:cs="Times New Roman" w:eastAsia="Times New Roman" w:hAnsi="Times New Roman"/>
          <w:sz w:val="16"/>
          <w:szCs w:val="16"/>
          <w:color w:val="auto"/>
        </w:rPr>
      </w:pPr>
    </w:p>
    <w:p>
      <w:pPr>
        <w:jc w:val="both"/>
        <w:ind w:left="565" w:right="20" w:hanging="565"/>
        <w:spacing w:after="0" w:line="264" w:lineRule="auto"/>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11, 2023, AltC Acquisition Corp. announced it signed a definitive agreement to merge with Oklo, Inc. As part of the transaction, SuRo Capital Corp.’s Share units in AltC Sponsor LLC converted to 24,900 Class A Common shares and 214,400 Class B Common shares. SuRo Capital Corp.’s AltC Sponsor LLC position is adjusted for certain lock-up provisions.</w:t>
      </w:r>
    </w:p>
    <w:p>
      <w:pPr>
        <w:spacing w:after="0" w:line="156" w:lineRule="exact"/>
        <w:rPr>
          <w:rFonts w:ascii="Times New Roman" w:cs="Times New Roman" w:eastAsia="Times New Roman" w:hAnsi="Times New Roman"/>
          <w:sz w:val="16"/>
          <w:szCs w:val="16"/>
          <w:color w:val="auto"/>
        </w:rPr>
      </w:pPr>
    </w:p>
    <w:p>
      <w:pPr>
        <w:jc w:val="both"/>
        <w:ind w:left="565" w:hanging="565"/>
        <w:spacing w:after="0" w:line="253" w:lineRule="auto"/>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19, 2023, Colombier Acquisition Corp. (“Colombier”) stockholders approved a business combination with PSQ Holdings, Inc. (d/b/a PublicSq.) and related proposals at a special meeting. Also on July 19, 2023, PSQ Holdings, Inc. announced that it had consummated the business combination with Colombier pursuant to a merger agreement between the parties, creating the resultant combined company PSQ Holdings, Inc. (d/b/a PublicSq.). SuRo Capital Corp.’s shares of PSQ Holdings, Inc. (d/b/a PublicSquare) Class A Common shares are subject to contractual sale restrictions in the form of a lock-up agreement applicable to the common shares after the company’s IPO, while the PSQ Holdings, Inc. (d/b/a PublicSquare) warrants are freely tradable. The lock-up agreement expires on July 19, 2024. The lock-up agreement has early lock-up expiration provisions which would allow SuRo Capital Corp. to sell its Class A common shares in PSQ Holdings, Inc. (d/b/a PublicSquare) if the closing price of the Class A common stock equals or exceeds $12.00 per share, as adjusted for stock splits, stock dividends, reorganizations, and recapitalizations for any 20 trading days within any 30 trading day period commencing on December 16, 2023.</w:t>
      </w:r>
    </w:p>
    <w:p>
      <w:pPr>
        <w:spacing w:after="0" w:line="167" w:lineRule="exact"/>
        <w:rPr>
          <w:rFonts w:ascii="Times New Roman" w:cs="Times New Roman" w:eastAsia="Times New Roman" w:hAnsi="Times New Roman"/>
          <w:sz w:val="16"/>
          <w:szCs w:val="16"/>
          <w:color w:val="auto"/>
        </w:rPr>
      </w:pPr>
    </w:p>
    <w:p>
      <w:pPr>
        <w:ind w:left="565" w:right="20" w:hanging="565"/>
        <w:spacing w:after="0" w:line="280" w:lineRule="auto"/>
        <w:tabs>
          <w:tab w:leader="none" w:pos="56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 2023, Churchill Capital Corp. VII announced it signed a definitive agreement to merge with CorpAcq Holdings Limited. The fair value of SuRo Capital Corp.’s Churchill Sponsor VII LLC position is adjusted for certain lock-up provisions.</w:t>
      </w:r>
    </w:p>
    <w:p>
      <w:pPr>
        <w:sectPr>
          <w:pgSz w:w="11900" w:h="16838" w:orient="portrait"/>
          <w:cols w:equalWidth="0" w:num="1">
            <w:col w:w="11265"/>
          </w:cols>
          <w:pgMar w:left="315" w:top="218" w:right="319" w:bottom="1440" w:gutter="0" w:footer="0" w:header="0"/>
        </w:sectPr>
      </w:pPr>
    </w:p>
    <w:p>
      <w:pPr>
        <w:spacing w:after="0" w:line="144"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Headquarters/</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Initial</w:t>
            </w:r>
          </w:p>
        </w:tc>
        <w:tc>
          <w:tcPr>
            <w:tcW w:w="1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3"/>
        </w:trPr>
        <w:tc>
          <w:tcPr>
            <w:tcW w:w="350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Principal</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91"/>
        </w:trPr>
        <w:tc>
          <w:tcPr>
            <w:tcW w:w="3380" w:type="dxa"/>
            <w:vAlign w:val="bottom"/>
            <w:tcBorders>
              <w:top w:val="single" w:sz="8" w:color="auto"/>
            </w:tcBorders>
            <w:gridSpan w:val="19"/>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NON-CONTROLLED/NON-AFFILIATE</w:t>
            </w:r>
          </w:p>
        </w:tc>
        <w:tc>
          <w:tcPr>
            <w:tcW w:w="12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Borders>
              <w:bottom w:val="single" w:sz="8" w:color="auto"/>
            </w:tcBorders>
            <w:gridSpan w:val="15"/>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Learneo, Inc. (f/k/a Course Hero, Inc.)</w:t>
            </w:r>
          </w:p>
        </w:tc>
        <w:tc>
          <w:tcPr>
            <w:tcW w:w="880" w:type="dxa"/>
            <w:vAlign w:val="bottom"/>
            <w:gridSpan w:val="5"/>
          </w:tcPr>
          <w:p>
            <w:pPr>
              <w:spacing w:after="0"/>
              <w:rPr>
                <w:sz w:val="13"/>
                <w:szCs w:val="13"/>
                <w:color w:val="auto"/>
              </w:rPr>
            </w:pPr>
          </w:p>
        </w:tc>
        <w:tc>
          <w:tcPr>
            <w:tcW w:w="2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w w:val="97"/>
              </w:rPr>
              <w:t>Redwood City, CA</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5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 8%</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Online Education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9/18/2014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2,145,509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5,000,001</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$ 45,982,580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0" w:type="dxa"/>
            <w:vAlign w:val="bottom"/>
          </w:tcPr>
          <w:p>
            <w:pPr>
              <w:spacing w:after="0"/>
              <w:rPr>
                <w:sz w:val="1"/>
                <w:szCs w:val="1"/>
                <w:color w:val="auto"/>
              </w:rPr>
            </w:pPr>
          </w:p>
        </w:tc>
      </w:tr>
      <w:tr>
        <w:trPr>
          <w:trHeight w:val="207"/>
        </w:trPr>
        <w:tc>
          <w:tcPr>
            <w:tcW w:w="35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11/5/2021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275,659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9,999,971</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9,999,971</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1"/>
        </w:trPr>
        <w:tc>
          <w:tcPr>
            <w:tcW w:w="3500" w:type="dxa"/>
            <w:vAlign w:val="bottom"/>
            <w:tcBorders>
              <w:top w:val="single" w:sz="8" w:color="CCEEFF"/>
              <w:bottom w:val="single" w:sz="8" w:color="CCEEFF"/>
            </w:tcBorders>
            <w:gridSpan w:val="20"/>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14,999,972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55,982,551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9"/>
        </w:trPr>
        <w:tc>
          <w:tcPr>
            <w:tcW w:w="1200" w:type="dxa"/>
            <w:vAlign w:val="bottom"/>
            <w:tcBorders>
              <w:bottom w:val="single" w:sz="8" w:color="auto"/>
            </w:tcBorders>
            <w:gridSpan w:val="5"/>
          </w:tcPr>
          <w:p>
            <w:pPr>
              <w:spacing w:after="0" w:line="139" w:lineRule="exact"/>
              <w:rPr>
                <w:sz w:val="20"/>
                <w:szCs w:val="20"/>
                <w:color w:val="auto"/>
              </w:rPr>
            </w:pPr>
            <w:r>
              <w:rPr>
                <w:rFonts w:ascii="Times New Roman" w:cs="Times New Roman" w:eastAsia="Times New Roman" w:hAnsi="Times New Roman"/>
                <w:sz w:val="16"/>
                <w:szCs w:val="16"/>
                <w:b w:val="1"/>
                <w:bCs w:val="1"/>
                <w:color w:val="auto"/>
                <w:w w:val="95"/>
              </w:rPr>
              <w:t>ServiceTitan, Inc.</w:t>
            </w:r>
          </w:p>
        </w:tc>
        <w:tc>
          <w:tcPr>
            <w:tcW w:w="2300" w:type="dxa"/>
            <w:vAlign w:val="bottom"/>
            <w:gridSpan w:val="15"/>
          </w:tcPr>
          <w:p>
            <w:pPr>
              <w:spacing w:after="0"/>
              <w:rPr>
                <w:sz w:val="12"/>
                <w:szCs w:val="12"/>
                <w:color w:val="auto"/>
              </w:rPr>
            </w:pPr>
          </w:p>
        </w:tc>
        <w:tc>
          <w:tcPr>
            <w:tcW w:w="248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6"/>
                <w:szCs w:val="16"/>
                <w:color w:val="auto"/>
                <w:w w:val="99"/>
              </w:rPr>
              <w:t>Glendale, CA</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5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Contractor Management Software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6/30/2023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151,515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10,008,233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11,960,975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155"/>
        </w:trPr>
        <w:tc>
          <w:tcPr>
            <w:tcW w:w="3500" w:type="dxa"/>
            <w:vAlign w:val="bottom"/>
            <w:gridSpan w:val="20"/>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Blink Health, Inc.</w:t>
            </w:r>
          </w:p>
        </w:tc>
        <w:tc>
          <w:tcPr>
            <w:tcW w:w="2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w w:val="97"/>
              </w:rPr>
              <w:t>New York, NY</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Pharmaceutical Technology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10/27/2020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238,095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5,000,423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1,692,855</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207"/>
        </w:trPr>
        <w:tc>
          <w:tcPr>
            <w:tcW w:w="35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10/27/2020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261,944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10,003,917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9,999,975</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1"/>
        </w:trPr>
        <w:tc>
          <w:tcPr>
            <w:tcW w:w="3500" w:type="dxa"/>
            <w:vAlign w:val="bottom"/>
            <w:tcBorders>
              <w:top w:val="single" w:sz="8" w:color="CCEEFF"/>
              <w:bottom w:val="single" w:sz="8" w:color="CCEEFF"/>
            </w:tcBorders>
            <w:gridSpan w:val="20"/>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15,004,340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11,692,830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9"/>
        </w:trPr>
        <w:tc>
          <w:tcPr>
            <w:tcW w:w="3500" w:type="dxa"/>
            <w:vAlign w:val="bottom"/>
            <w:gridSpan w:val="20"/>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Locus Robotics Corp.</w:t>
            </w:r>
          </w:p>
        </w:tc>
        <w:tc>
          <w:tcPr>
            <w:tcW w:w="24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6"/>
                <w:szCs w:val="16"/>
                <w:color w:val="auto"/>
                <w:w w:val="98"/>
              </w:rPr>
              <w:t>Wilmington, MA</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F 6%</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Warehouse Automation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11/30/2022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232,568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10,004,286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10,675,766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155"/>
        </w:trPr>
        <w:tc>
          <w:tcPr>
            <w:tcW w:w="840" w:type="dxa"/>
            <w:vAlign w:val="bottom"/>
            <w:tcBorders>
              <w:bottom w:val="single" w:sz="8" w:color="auto"/>
            </w:tcBorders>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7"/>
              </w:rPr>
              <w:t>Whoop, Inc.</w:t>
            </w:r>
          </w:p>
        </w:tc>
        <w:tc>
          <w:tcPr>
            <w:tcW w:w="2660" w:type="dxa"/>
            <w:vAlign w:val="bottom"/>
            <w:gridSpan w:val="17"/>
          </w:tcPr>
          <w:p>
            <w:pPr>
              <w:spacing w:after="0"/>
              <w:rPr>
                <w:sz w:val="13"/>
                <w:szCs w:val="13"/>
                <w:color w:val="auto"/>
              </w:rPr>
            </w:pPr>
          </w:p>
        </w:tc>
        <w:tc>
          <w:tcPr>
            <w:tcW w:w="2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rPr>
              <w:t>Boston, MA</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5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Fitness Technology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6/30/2022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13,293,450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10,011,460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9,612,887</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131"/>
        </w:trPr>
        <w:tc>
          <w:tcPr>
            <w:tcW w:w="2700" w:type="dxa"/>
            <w:vAlign w:val="bottom"/>
            <w:gridSpan w:val="16"/>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Shogun Enterprises, Inc. (d/b/a Hearth)</w:t>
            </w:r>
          </w:p>
        </w:tc>
        <w:tc>
          <w:tcPr>
            <w:tcW w:w="2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(13)</w:t>
            </w:r>
          </w:p>
        </w:tc>
        <w:tc>
          <w:tcPr>
            <w:tcW w:w="320" w:type="dxa"/>
            <w:vAlign w:val="bottom"/>
            <w:vMerge w:val="restart"/>
          </w:tcPr>
          <w:p>
            <w:pPr>
              <w:spacing w:after="0"/>
              <w:rPr>
                <w:sz w:val="11"/>
                <w:szCs w:val="11"/>
                <w:color w:val="auto"/>
              </w:rPr>
            </w:pPr>
          </w:p>
        </w:tc>
        <w:tc>
          <w:tcPr>
            <w:tcW w:w="260" w:type="dxa"/>
            <w:vAlign w:val="bottom"/>
            <w:gridSpan w:val="2"/>
            <w:vMerge w:val="restart"/>
          </w:tcPr>
          <w:p>
            <w:pPr>
              <w:spacing w:after="0"/>
              <w:rPr>
                <w:sz w:val="11"/>
                <w:szCs w:val="11"/>
                <w:color w:val="auto"/>
              </w:rPr>
            </w:pPr>
          </w:p>
        </w:tc>
        <w:tc>
          <w:tcPr>
            <w:tcW w:w="2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9"/>
              </w:rPr>
              <w:t>Austin, TX</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700" w:type="dxa"/>
            <w:vAlign w:val="bottom"/>
            <w:tcBorders>
              <w:bottom w:val="single" w:sz="8" w:color="auto"/>
            </w:tcBorders>
            <w:gridSpan w:val="16"/>
            <w:vMerge w:val="continue"/>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5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B-1</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Home Improvement Finance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436,844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3,501,657</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3,132,942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191"/>
        </w:trPr>
        <w:tc>
          <w:tcPr>
            <w:tcW w:w="35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Preferred shares, Series B-2</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301,750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3,501,661</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3,132,946</w:t>
            </w:r>
          </w:p>
        </w:tc>
        <w:tc>
          <w:tcPr>
            <w:tcW w:w="2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191"/>
        </w:trPr>
        <w:tc>
          <w:tcPr>
            <w:tcW w:w="35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B-3</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5/2/2022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56,936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530,822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475,152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91"/>
        </w:trPr>
        <w:tc>
          <w:tcPr>
            <w:tcW w:w="35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Preferred shares, Series B-4</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7/12/2023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48,267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366,606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342,517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174"/>
        </w:trPr>
        <w:tc>
          <w:tcPr>
            <w:tcW w:w="3500" w:type="dxa"/>
            <w:vAlign w:val="bottom"/>
            <w:gridSpan w:val="2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Common Warrants, Strike Price $0.01, Expiration</w:t>
            </w:r>
          </w:p>
        </w:tc>
        <w:tc>
          <w:tcPr>
            <w:tcW w:w="2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5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Date 7/12/2026</w:t>
            </w: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7/12/2023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86,076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140,060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3500" w:type="dxa"/>
            <w:vAlign w:val="bottom"/>
            <w:tcBorders>
              <w:top w:val="single" w:sz="8" w:color="CCEEFF"/>
              <w:bottom w:val="single" w:sz="8" w:color="CCEEFF"/>
            </w:tcBorders>
            <w:gridSpan w:val="20"/>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8,040,806</w:t>
            </w:r>
          </w:p>
        </w:tc>
        <w:tc>
          <w:tcPr>
            <w:tcW w:w="22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7,083,557</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3.48</w:t>
            </w:r>
          </w:p>
        </w:tc>
        <w:tc>
          <w:tcPr>
            <w:tcW w:w="16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55"/>
        </w:trPr>
        <w:tc>
          <w:tcPr>
            <w:tcW w:w="3500" w:type="dxa"/>
            <w:vAlign w:val="bottom"/>
            <w:gridSpan w:val="20"/>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FourKites, Inc.</w:t>
            </w:r>
          </w:p>
        </w:tc>
        <w:tc>
          <w:tcPr>
            <w:tcW w:w="2480" w:type="dxa"/>
            <w:vAlign w:val="bottom"/>
            <w:gridSpan w:val="2"/>
            <w:shd w:val="clear" w:color="auto" w:fill="CCEEFF"/>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w w:val="99"/>
              </w:rPr>
              <w:t>Chicago, IL</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5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Supply Chain Technology</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7/7/2023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1,398,024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8,530,389</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6,926,176</w:t>
            </w:r>
          </w:p>
        </w:tc>
        <w:tc>
          <w:tcPr>
            <w:tcW w:w="2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131"/>
        </w:trPr>
        <w:tc>
          <w:tcPr>
            <w:tcW w:w="1840" w:type="dxa"/>
            <w:vAlign w:val="bottom"/>
            <w:tcBorders>
              <w:bottom w:val="single" w:sz="8" w:color="CCEEFF"/>
            </w:tcBorders>
            <w:gridSpan w:val="10"/>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Orchard Technologies, Inc.</w:t>
            </w:r>
          </w:p>
        </w:tc>
        <w:tc>
          <w:tcPr>
            <w:tcW w:w="2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(12)</w:t>
            </w:r>
          </w:p>
        </w:tc>
        <w:tc>
          <w:tcPr>
            <w:tcW w:w="40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640" w:type="dxa"/>
            <w:vAlign w:val="bottom"/>
            <w:tcBorders>
              <w:bottom w:val="single" w:sz="8" w:color="CCEEFF"/>
            </w:tcBorders>
            <w:gridSpan w:val="4"/>
            <w:vMerge w:val="restart"/>
            <w:shd w:val="clear" w:color="auto" w:fill="CCEEFF"/>
          </w:tcPr>
          <w:p>
            <w:pPr>
              <w:spacing w:after="0"/>
              <w:rPr>
                <w:sz w:val="11"/>
                <w:szCs w:val="11"/>
                <w:color w:val="auto"/>
              </w:rPr>
            </w:pPr>
          </w:p>
        </w:tc>
        <w:tc>
          <w:tcPr>
            <w:tcW w:w="260" w:type="dxa"/>
            <w:vAlign w:val="bottom"/>
            <w:tcBorders>
              <w:bottom w:val="single" w:sz="8" w:color="CCEEFF"/>
            </w:tcBorders>
            <w:gridSpan w:val="2"/>
            <w:vMerge w:val="restart"/>
            <w:shd w:val="clear" w:color="auto" w:fill="CCEEFF"/>
          </w:tcPr>
          <w:p>
            <w:pPr>
              <w:spacing w:after="0"/>
              <w:rPr>
                <w:sz w:val="11"/>
                <w:szCs w:val="11"/>
                <w:color w:val="auto"/>
              </w:rPr>
            </w:pPr>
          </w:p>
        </w:tc>
        <w:tc>
          <w:tcPr>
            <w:tcW w:w="2480" w:type="dxa"/>
            <w:vAlign w:val="bottom"/>
            <w:tcBorders>
              <w:bottom w:val="single" w:sz="8" w:color="CCEEFF"/>
            </w:tcBorders>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New York, NY</w:t>
            </w: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840" w:type="dxa"/>
            <w:vAlign w:val="bottom"/>
            <w:tcBorders>
              <w:bottom w:val="single" w:sz="8" w:color="auto"/>
            </w:tcBorders>
            <w:gridSpan w:val="10"/>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640" w:type="dxa"/>
            <w:vAlign w:val="bottom"/>
            <w:tcBorders>
              <w:bottom w:val="single" w:sz="8" w:color="CCEEFF"/>
            </w:tcBorders>
            <w:gridSpan w:val="4"/>
            <w:vMerge w:val="continue"/>
            <w:shd w:val="clear" w:color="auto" w:fill="CCEEFF"/>
          </w:tcPr>
          <w:p>
            <w:pPr>
              <w:spacing w:after="0"/>
              <w:rPr>
                <w:sz w:val="4"/>
                <w:szCs w:val="4"/>
                <w:color w:val="auto"/>
              </w:rPr>
            </w:pPr>
          </w:p>
        </w:tc>
        <w:tc>
          <w:tcPr>
            <w:tcW w:w="260" w:type="dxa"/>
            <w:vAlign w:val="bottom"/>
            <w:tcBorders>
              <w:bottom w:val="single" w:sz="8" w:color="CCEEFF"/>
            </w:tcBorders>
            <w:gridSpan w:val="2"/>
            <w:vMerge w:val="continue"/>
            <w:shd w:val="clear" w:color="auto" w:fill="CCEEFF"/>
          </w:tcPr>
          <w:p>
            <w:pPr>
              <w:spacing w:after="0"/>
              <w:rPr>
                <w:sz w:val="4"/>
                <w:szCs w:val="4"/>
                <w:color w:val="auto"/>
              </w:rPr>
            </w:pPr>
          </w:p>
        </w:tc>
        <w:tc>
          <w:tcPr>
            <w:tcW w:w="2480" w:type="dxa"/>
            <w:vAlign w:val="bottom"/>
            <w:tcBorders>
              <w:bottom w:val="single" w:sz="8" w:color="CCEEFF"/>
            </w:tcBorders>
            <w:gridSpan w:val="2"/>
            <w:vMerge w:val="continue"/>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5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Preferred shares, Series D 8%</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Real Estate Platform</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8/9/2021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558,053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3,751,518</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5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Preferred shares, Series 2</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8/9/2021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58,771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587,951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5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Senior Preferred shares, Series 1 7%</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1/13/2023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441,228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4,418,406</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4,854,086</w:t>
            </w:r>
          </w:p>
        </w:tc>
        <w:tc>
          <w:tcPr>
            <w:tcW w:w="2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23"/>
        </w:trPr>
        <w:tc>
          <w:tcPr>
            <w:tcW w:w="35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8/9/2021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558,053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3,751,518</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3500" w:type="dxa"/>
            <w:vAlign w:val="bottom"/>
            <w:tcBorders>
              <w:top w:val="single" w:sz="8" w:color="CCEEFF"/>
              <w:bottom w:val="single" w:sz="8" w:color="CCEEFF"/>
            </w:tcBorders>
            <w:gridSpan w:val="20"/>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12,509,393</w:t>
            </w:r>
          </w:p>
        </w:tc>
        <w:tc>
          <w:tcPr>
            <w:tcW w:w="22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4,854,086</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2.39</w:t>
            </w:r>
          </w:p>
        </w:tc>
        <w:tc>
          <w:tcPr>
            <w:tcW w:w="16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19"/>
        </w:trPr>
        <w:tc>
          <w:tcPr>
            <w:tcW w:w="2460" w:type="dxa"/>
            <w:vAlign w:val="bottom"/>
            <w:tcBorders>
              <w:bottom w:val="single" w:sz="8" w:color="CCEEFF"/>
            </w:tcBorders>
            <w:gridSpan w:val="12"/>
            <w:vMerge w:val="restart"/>
            <w:shd w:val="clear" w:color="auto" w:fill="CCEEFF"/>
          </w:tcPr>
          <w:p>
            <w:pPr>
              <w:spacing w:after="0" w:line="179" w:lineRule="exact"/>
              <w:rPr>
                <w:sz w:val="20"/>
                <w:szCs w:val="20"/>
                <w:color w:val="auto"/>
              </w:rPr>
            </w:pPr>
            <w:r>
              <w:rPr>
                <w:rFonts w:ascii="Times New Roman" w:cs="Times New Roman" w:eastAsia="Times New Roman" w:hAnsi="Times New Roman"/>
                <w:sz w:val="16"/>
                <w:szCs w:val="16"/>
                <w:b w:val="1"/>
                <w:bCs w:val="1"/>
                <w:color w:val="auto"/>
                <w:w w:val="97"/>
              </w:rPr>
              <w:t>True Global Ventures 4 Plus Pte Ltd</w:t>
            </w:r>
          </w:p>
        </w:tc>
        <w:tc>
          <w:tcPr>
            <w:tcW w:w="140" w:type="dxa"/>
            <w:vAlign w:val="bottom"/>
            <w:tcBorders>
              <w:bottom w:val="single" w:sz="8" w:color="auto"/>
            </w:tcBorders>
            <w:gridSpan w:val="2"/>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CCEEFF"/>
            </w:tcBorders>
            <w:gridSpan w:val="4"/>
            <w:vMerge w:val="restart"/>
            <w:shd w:val="clear" w:color="auto" w:fill="CCEEFF"/>
          </w:tcPr>
          <w:p>
            <w:pPr>
              <w:spacing w:after="0"/>
              <w:rPr>
                <w:sz w:val="10"/>
                <w:szCs w:val="10"/>
                <w:color w:val="auto"/>
              </w:rPr>
            </w:pPr>
          </w:p>
        </w:tc>
        <w:tc>
          <w:tcPr>
            <w:tcW w:w="260" w:type="dxa"/>
            <w:vAlign w:val="bottom"/>
            <w:tcBorders>
              <w:bottom w:val="single" w:sz="8" w:color="CCEEFF"/>
            </w:tcBorders>
            <w:gridSpan w:val="2"/>
            <w:vMerge w:val="restart"/>
            <w:shd w:val="clear" w:color="auto" w:fill="CCEEFF"/>
          </w:tcPr>
          <w:p>
            <w:pPr>
              <w:spacing w:after="0"/>
              <w:rPr>
                <w:sz w:val="10"/>
                <w:szCs w:val="10"/>
                <w:color w:val="auto"/>
              </w:rPr>
            </w:pPr>
          </w:p>
        </w:tc>
        <w:tc>
          <w:tcPr>
            <w:tcW w:w="2480" w:type="dxa"/>
            <w:vAlign w:val="bottom"/>
            <w:tcBorders>
              <w:bottom w:val="single" w:sz="8" w:color="CCEEFF"/>
            </w:tcBorders>
            <w:gridSpan w:val="2"/>
            <w:vMerge w:val="restart"/>
            <w:shd w:val="clear" w:color="auto" w:fill="CCEEFF"/>
          </w:tcPr>
          <w:p>
            <w:pPr>
              <w:jc w:val="center"/>
              <w:ind w:right="120"/>
              <w:spacing w:after="0" w:line="179" w:lineRule="exact"/>
              <w:rPr>
                <w:sz w:val="20"/>
                <w:szCs w:val="20"/>
                <w:color w:val="auto"/>
              </w:rPr>
            </w:pPr>
            <w:r>
              <w:rPr>
                <w:rFonts w:ascii="Times New Roman" w:cs="Times New Roman" w:eastAsia="Times New Roman" w:hAnsi="Times New Roman"/>
                <w:sz w:val="16"/>
                <w:szCs w:val="16"/>
                <w:color w:val="auto"/>
                <w:w w:val="98"/>
              </w:rPr>
              <w:t>Singapore, Singapore</w:t>
            </w: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460" w:type="dxa"/>
            <w:vAlign w:val="bottom"/>
            <w:tcBorders>
              <w:bottom w:val="single" w:sz="8" w:color="auto"/>
            </w:tcBorders>
            <w:gridSpan w:val="12"/>
            <w:vMerge w:val="continue"/>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gridSpan w:val="4"/>
            <w:vMerge w:val="continue"/>
            <w:shd w:val="clear" w:color="auto" w:fill="CCEEFF"/>
          </w:tcPr>
          <w:p>
            <w:pPr>
              <w:spacing w:after="0"/>
              <w:rPr>
                <w:sz w:val="4"/>
                <w:szCs w:val="4"/>
                <w:color w:val="auto"/>
              </w:rPr>
            </w:pPr>
          </w:p>
        </w:tc>
        <w:tc>
          <w:tcPr>
            <w:tcW w:w="260" w:type="dxa"/>
            <w:vAlign w:val="bottom"/>
            <w:tcBorders>
              <w:bottom w:val="single" w:sz="8" w:color="CCEEFF"/>
            </w:tcBorders>
            <w:gridSpan w:val="2"/>
            <w:vMerge w:val="continue"/>
            <w:shd w:val="clear" w:color="auto" w:fill="CCEEFF"/>
          </w:tcPr>
          <w:p>
            <w:pPr>
              <w:spacing w:after="0"/>
              <w:rPr>
                <w:sz w:val="4"/>
                <w:szCs w:val="4"/>
                <w:color w:val="auto"/>
              </w:rPr>
            </w:pPr>
          </w:p>
        </w:tc>
        <w:tc>
          <w:tcPr>
            <w:tcW w:w="2480" w:type="dxa"/>
            <w:vAlign w:val="bottom"/>
            <w:tcBorders>
              <w:bottom w:val="single" w:sz="8" w:color="CCEEFF"/>
            </w:tcBorders>
            <w:gridSpan w:val="2"/>
            <w:vMerge w:val="continue"/>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500" w:type="dxa"/>
            <w:vAlign w:val="bottom"/>
            <w:gridSpan w:val="20"/>
          </w:tcPr>
          <w:p>
            <w:pPr>
              <w:spacing w:after="0" w:line="227" w:lineRule="exact"/>
              <w:rPr>
                <w:sz w:val="20"/>
                <w:szCs w:val="20"/>
                <w:color w:val="auto"/>
              </w:rPr>
            </w:pPr>
            <w:r>
              <w:rPr>
                <w:rFonts w:ascii="Times New Roman" w:cs="Times New Roman" w:eastAsia="Times New Roman" w:hAnsi="Times New Roman"/>
                <w:sz w:val="16"/>
                <w:szCs w:val="16"/>
                <w:color w:val="auto"/>
              </w:rPr>
              <w:t>Limited Partner Fund Investment</w:t>
            </w:r>
            <w:r>
              <w:rPr>
                <w:rFonts w:ascii="Times New Roman" w:cs="Times New Roman" w:eastAsia="Times New Roman" w:hAnsi="Times New Roman"/>
                <w:sz w:val="26"/>
                <w:szCs w:val="26"/>
                <w:color w:val="auto"/>
                <w:vertAlign w:val="superscript"/>
              </w:rPr>
              <w:t>(8)</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Venture Investment Fund</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8/27/2021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960,778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4,054,309</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gridSpan w:val="13"/>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Neutron Holdings, Inc. (d/b/a/ Lime)</w:t>
            </w:r>
          </w:p>
        </w:tc>
        <w:tc>
          <w:tcPr>
            <w:tcW w:w="1020" w:type="dxa"/>
            <w:vAlign w:val="bottom"/>
            <w:tcBorders>
              <w:bottom w:val="single" w:sz="8" w:color="CCEEFF"/>
            </w:tcBorders>
            <w:gridSpan w:val="7"/>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w w:val="99"/>
              </w:rPr>
              <w:t>San Francisco, CA</w:t>
            </w: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5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Junior Preferred shares, Series 1-D</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Micromobility</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1/25/2019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41,237,113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10,007,322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3,485,014</w:t>
            </w:r>
          </w:p>
        </w:tc>
        <w:tc>
          <w:tcPr>
            <w:tcW w:w="2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178"/>
        </w:trPr>
        <w:tc>
          <w:tcPr>
            <w:tcW w:w="3500" w:type="dxa"/>
            <w:vAlign w:val="bottom"/>
            <w:gridSpan w:val="20"/>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Junior Preferred Convertible Note 4% Due</w:t>
            </w:r>
          </w:p>
        </w:tc>
        <w:tc>
          <w:tcPr>
            <w:tcW w:w="2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020" w:type="dxa"/>
            <w:vAlign w:val="bottom"/>
            <w:gridSpan w:val="4"/>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5/11/2027</w:t>
            </w:r>
            <w:r>
              <w:rPr>
                <w:rFonts w:ascii="Times New Roman" w:cs="Times New Roman" w:eastAsia="Times New Roman" w:hAnsi="Times New Roman"/>
                <w:sz w:val="26"/>
                <w:szCs w:val="26"/>
                <w:color w:val="auto"/>
                <w:vertAlign w:val="superscript"/>
              </w:rPr>
              <w:t>***</w:t>
            </w:r>
          </w:p>
        </w:tc>
        <w:tc>
          <w:tcPr>
            <w:tcW w:w="18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5/11/2020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506,339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506,339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506,339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174"/>
        </w:trPr>
        <w:tc>
          <w:tcPr>
            <w:tcW w:w="3500" w:type="dxa"/>
            <w:vAlign w:val="bottom"/>
            <w:gridSpan w:val="20"/>
          </w:tcPr>
          <w:p>
            <w:pPr>
              <w:spacing w:after="0" w:line="175" w:lineRule="exact"/>
              <w:rPr>
                <w:sz w:val="20"/>
                <w:szCs w:val="20"/>
                <w:color w:val="auto"/>
              </w:rPr>
            </w:pPr>
            <w:r>
              <w:rPr>
                <w:rFonts w:ascii="Times New Roman" w:cs="Times New Roman" w:eastAsia="Times New Roman" w:hAnsi="Times New Roman"/>
                <w:sz w:val="16"/>
                <w:szCs w:val="16"/>
                <w:color w:val="auto"/>
              </w:rPr>
              <w:t>Common Warrants, Strike Price $0.01, Expiration</w:t>
            </w: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Date 5/11/2027</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5/11/2020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2,032,967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500" w:type="dxa"/>
            <w:vAlign w:val="bottom"/>
            <w:tcBorders>
              <w:top w:val="single" w:sz="8" w:color="CCEEFF"/>
              <w:bottom w:val="single" w:sz="8" w:color="CCEEFF"/>
            </w:tcBorders>
            <w:gridSpan w:val="20"/>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10,513,661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3,991,353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03"/>
        </w:trPr>
        <w:tc>
          <w:tcPr>
            <w:tcW w:w="1240" w:type="dxa"/>
            <w:vAlign w:val="bottom"/>
            <w:gridSpan w:val="6"/>
            <w:vMerge w:val="restart"/>
          </w:tcPr>
          <w:p>
            <w:pPr>
              <w:spacing w:after="0" w:line="163" w:lineRule="exact"/>
              <w:rPr>
                <w:sz w:val="20"/>
                <w:szCs w:val="20"/>
                <w:color w:val="auto"/>
              </w:rPr>
            </w:pPr>
            <w:r>
              <w:rPr>
                <w:rFonts w:ascii="Times New Roman" w:cs="Times New Roman" w:eastAsia="Times New Roman" w:hAnsi="Times New Roman"/>
                <w:sz w:val="16"/>
                <w:szCs w:val="16"/>
                <w:b w:val="1"/>
                <w:bCs w:val="1"/>
                <w:color w:val="auto"/>
                <w:w w:val="97"/>
              </w:rPr>
              <w:t>Forge Global, Inc.</w:t>
            </w:r>
          </w:p>
        </w:tc>
        <w:tc>
          <w:tcPr>
            <w:tcW w:w="120" w:type="dxa"/>
            <w:vAlign w:val="bottom"/>
            <w:tcBorders>
              <w:bottom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w w:val="99"/>
              </w:rPr>
              <w:t>**</w:t>
            </w:r>
          </w:p>
        </w:tc>
        <w:tc>
          <w:tcPr>
            <w:tcW w:w="1880" w:type="dxa"/>
            <w:vAlign w:val="bottom"/>
            <w:gridSpan w:val="10"/>
            <w:vMerge w:val="restart"/>
          </w:tcPr>
          <w:p>
            <w:pPr>
              <w:spacing w:after="0"/>
              <w:rPr>
                <w:sz w:val="8"/>
                <w:szCs w:val="8"/>
                <w:color w:val="auto"/>
              </w:rPr>
            </w:pPr>
          </w:p>
        </w:tc>
        <w:tc>
          <w:tcPr>
            <w:tcW w:w="260" w:type="dxa"/>
            <w:vAlign w:val="bottom"/>
            <w:gridSpan w:val="2"/>
            <w:vMerge w:val="restart"/>
          </w:tcPr>
          <w:p>
            <w:pPr>
              <w:spacing w:after="0"/>
              <w:rPr>
                <w:sz w:val="8"/>
                <w:szCs w:val="8"/>
                <w:color w:val="auto"/>
              </w:rPr>
            </w:pPr>
          </w:p>
        </w:tc>
        <w:tc>
          <w:tcPr>
            <w:tcW w:w="2480" w:type="dxa"/>
            <w:vAlign w:val="bottom"/>
            <w:gridSpan w:val="2"/>
            <w:vMerge w:val="restart"/>
          </w:tcPr>
          <w:p>
            <w:pPr>
              <w:jc w:val="center"/>
              <w:ind w:right="120"/>
              <w:spacing w:after="0" w:line="163" w:lineRule="exact"/>
              <w:rPr>
                <w:sz w:val="20"/>
                <w:szCs w:val="20"/>
                <w:color w:val="auto"/>
              </w:rPr>
            </w:pPr>
            <w:r>
              <w:rPr>
                <w:rFonts w:ascii="Times New Roman" w:cs="Times New Roman" w:eastAsia="Times New Roman" w:hAnsi="Times New Roman"/>
                <w:sz w:val="16"/>
                <w:szCs w:val="16"/>
                <w:color w:val="auto"/>
                <w:w w:val="99"/>
              </w:rPr>
              <w:t>San Francisco, CA</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240" w:type="dxa"/>
            <w:vAlign w:val="bottom"/>
            <w:tcBorders>
              <w:bottom w:val="single" w:sz="8" w:color="auto"/>
            </w:tcBorders>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80" w:type="dxa"/>
            <w:vAlign w:val="bottom"/>
            <w:gridSpan w:val="10"/>
            <w:vMerge w:val="continue"/>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00" w:type="dxa"/>
            <w:vAlign w:val="bottom"/>
            <w:gridSpan w:val="20"/>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(3)</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Online Marketplace Finance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7/20/2011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1,145,875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2,093,988</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3,930,351</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155"/>
        </w:trPr>
        <w:tc>
          <w:tcPr>
            <w:tcW w:w="3500" w:type="dxa"/>
            <w:vAlign w:val="bottom"/>
            <w:gridSpan w:val="20"/>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PayJoy, Inc.</w:t>
            </w:r>
          </w:p>
        </w:tc>
        <w:tc>
          <w:tcPr>
            <w:tcW w:w="2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w w:val="99"/>
              </w:rPr>
              <w:t>San Francisco, CA</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w:t>
            </w: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Mobile Access Technology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7/23/2021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244,117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2,501,570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7"/>
        </w:trPr>
        <w:tc>
          <w:tcPr>
            <w:tcW w:w="35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5/25/2023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501,470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11"/>
        </w:trPr>
        <w:tc>
          <w:tcPr>
            <w:tcW w:w="3500" w:type="dxa"/>
            <w:vAlign w:val="bottom"/>
            <w:tcBorders>
              <w:top w:val="single" w:sz="8" w:color="CCEEFF"/>
              <w:bottom w:val="single" w:sz="8" w:color="CCEEFF"/>
            </w:tcBorders>
            <w:gridSpan w:val="20"/>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3,003,040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27"/>
        </w:trPr>
        <w:tc>
          <w:tcPr>
            <w:tcW w:w="3500" w:type="dxa"/>
            <w:vAlign w:val="bottom"/>
            <w:gridSpan w:val="20"/>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Residential Homes for Rent, LLC (d/b/a Second</w:t>
            </w: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40" w:type="dxa"/>
            <w:vAlign w:val="bottom"/>
            <w:tcBorders>
              <w:top w:val="single" w:sz="8" w:color="auto"/>
            </w:tcBorders>
            <w:gridSpan w:val="18"/>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Avenue)</w:t>
            </w:r>
          </w:p>
        </w:tc>
        <w:tc>
          <w:tcPr>
            <w:tcW w:w="260" w:type="dxa"/>
            <w:vAlign w:val="bottom"/>
            <w:gridSpan w:val="2"/>
          </w:tcPr>
          <w:p>
            <w:pPr>
              <w:spacing w:after="0"/>
              <w:rPr>
                <w:sz w:val="14"/>
                <w:szCs w:val="14"/>
                <w:color w:val="auto"/>
              </w:rPr>
            </w:pPr>
          </w:p>
        </w:tc>
        <w:tc>
          <w:tcPr>
            <w:tcW w:w="248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6"/>
                <w:szCs w:val="16"/>
                <w:color w:val="auto"/>
                <w:w w:val="99"/>
              </w:rPr>
              <w:t>Chicago, IL</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gridSpan w:val="20"/>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rPr>
              <w:t>Preferred shares, Series A</w:t>
            </w:r>
            <w:r>
              <w:rPr>
                <w:rFonts w:ascii="Times New Roman" w:cs="Times New Roman" w:eastAsia="Times New Roman" w:hAnsi="Times New Roman"/>
                <w:sz w:val="26"/>
                <w:szCs w:val="26"/>
                <w:color w:val="auto"/>
                <w:vertAlign w:val="superscript"/>
              </w:rPr>
              <w:t>(6)</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Real Estate Platform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12/23/2020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2,452,792</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131"/>
        </w:trPr>
        <w:tc>
          <w:tcPr>
            <w:tcW w:w="12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Varo Money, Inc.</w:t>
            </w:r>
          </w:p>
        </w:tc>
        <w:tc>
          <w:tcPr>
            <w:tcW w:w="100" w:type="dxa"/>
            <w:vAlign w:val="bottom"/>
            <w:tcBorders>
              <w:bottom w:val="single" w:sz="8" w:color="auto"/>
            </w:tcBorders>
            <w:gridSpan w:val="2"/>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w w:val="72"/>
              </w:rPr>
              <w:t>**</w:t>
            </w:r>
          </w:p>
        </w:tc>
        <w:tc>
          <w:tcPr>
            <w:tcW w:w="2200" w:type="dxa"/>
            <w:vAlign w:val="bottom"/>
            <w:gridSpan w:val="13"/>
            <w:vMerge w:val="restart"/>
          </w:tcPr>
          <w:p>
            <w:pPr>
              <w:spacing w:after="0"/>
              <w:rPr>
                <w:sz w:val="11"/>
                <w:szCs w:val="11"/>
                <w:color w:val="auto"/>
              </w:rPr>
            </w:pPr>
          </w:p>
        </w:tc>
        <w:tc>
          <w:tcPr>
            <w:tcW w:w="2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9"/>
              </w:rPr>
              <w:t>San Francisco, CA</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200" w:type="dxa"/>
            <w:vAlign w:val="bottom"/>
            <w:tcBorders>
              <w:bottom w:val="single" w:sz="8" w:color="auto"/>
            </w:tcBorders>
            <w:gridSpan w:val="5"/>
            <w:vMerge w:val="continue"/>
          </w:tcPr>
          <w:p>
            <w:pPr>
              <w:spacing w:after="0"/>
              <w:rPr>
                <w:sz w:val="3"/>
                <w:szCs w:val="3"/>
                <w:color w:val="auto"/>
              </w:rPr>
            </w:pPr>
          </w:p>
        </w:tc>
        <w:tc>
          <w:tcPr>
            <w:tcW w:w="100" w:type="dxa"/>
            <w:vAlign w:val="bottom"/>
            <w:gridSpan w:val="2"/>
          </w:tcPr>
          <w:p>
            <w:pPr>
              <w:spacing w:after="0"/>
              <w:rPr>
                <w:sz w:val="3"/>
                <w:szCs w:val="3"/>
                <w:color w:val="auto"/>
              </w:rPr>
            </w:pPr>
          </w:p>
        </w:tc>
        <w:tc>
          <w:tcPr>
            <w:tcW w:w="2200" w:type="dxa"/>
            <w:vAlign w:val="bottom"/>
            <w:gridSpan w:val="13"/>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5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Financial Services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8/11/2021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1,079,266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10,005,548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2,316,590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Headquarters/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3"/>
        </w:trPr>
        <w:tc>
          <w:tcPr>
            <w:tcW w:w="3460" w:type="dxa"/>
            <w:vAlign w:val="bottom"/>
            <w:gridSpan w:val="26"/>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Industry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71"/>
        </w:trPr>
        <w:tc>
          <w:tcPr>
            <w:tcW w:w="3360" w:type="dxa"/>
            <w:vAlign w:val="bottom"/>
            <w:tcBorders>
              <w:top w:val="single" w:sz="8" w:color="auto"/>
            </w:tcBorders>
            <w:gridSpan w:val="25"/>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Aventine Property Group, Inc.</w:t>
            </w: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Chicago, IL</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6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400" w:type="dxa"/>
            <w:vAlign w:val="bottom"/>
            <w:tcBorders>
              <w:top w:val="single" w:sz="8" w:color="CCEEFF"/>
            </w:tcBorders>
            <w:gridSpan w:val="13"/>
          </w:tcPr>
          <w:p>
            <w:pPr>
              <w:spacing w:after="0"/>
              <w:rPr>
                <w:sz w:val="16"/>
                <w:szCs w:val="16"/>
                <w:color w:val="auto"/>
              </w:rPr>
            </w:pPr>
          </w:p>
        </w:tc>
        <w:tc>
          <w:tcPr>
            <w:tcW w:w="24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Cannabis REIT</w:t>
            </w:r>
          </w:p>
        </w:tc>
        <w:tc>
          <w:tcPr>
            <w:tcW w:w="7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9/11/2019</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312,500</w:t>
            </w:r>
          </w:p>
        </w:tc>
        <w:tc>
          <w:tcPr>
            <w:tcW w:w="10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2,580,750</w:t>
            </w:r>
          </w:p>
        </w:tc>
        <w:tc>
          <w:tcPr>
            <w:tcW w:w="2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1,418,723</w:t>
            </w:r>
          </w:p>
        </w:tc>
        <w:tc>
          <w:tcPr>
            <w:tcW w:w="10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131"/>
        </w:trPr>
        <w:tc>
          <w:tcPr>
            <w:tcW w:w="2900" w:type="dxa"/>
            <w:vAlign w:val="bottom"/>
            <w:tcBorders>
              <w:bottom w:val="single" w:sz="8" w:color="CCEEFF"/>
            </w:tcBorders>
            <w:gridSpan w:val="18"/>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Xgroup Holdings Limited (d/b/a Xpoint)**</w:t>
            </w:r>
          </w:p>
        </w:tc>
        <w:tc>
          <w:tcPr>
            <w:tcW w:w="160" w:type="dxa"/>
            <w:vAlign w:val="bottom"/>
            <w:tcBorders>
              <w:bottom w:val="single" w:sz="8" w:color="auto"/>
            </w:tcBorders>
            <w:gridSpan w:val="5"/>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(7)</w:t>
            </w:r>
          </w:p>
        </w:tc>
        <w:tc>
          <w:tcPr>
            <w:tcW w:w="40" w:type="dxa"/>
            <w:vAlign w:val="bottom"/>
            <w:tcBorders>
              <w:bottom w:val="single" w:sz="8" w:color="CCEEFF"/>
            </w:tcBorders>
            <w:vMerge w:val="restart"/>
            <w:shd w:val="clear" w:color="auto" w:fill="CCEEFF"/>
          </w:tcPr>
          <w:p>
            <w:pPr>
              <w:spacing w:after="0"/>
              <w:rPr>
                <w:sz w:val="11"/>
                <w:szCs w:val="11"/>
                <w:color w:val="auto"/>
              </w:rPr>
            </w:pPr>
          </w:p>
        </w:tc>
        <w:tc>
          <w:tcPr>
            <w:tcW w:w="360" w:type="dxa"/>
            <w:vAlign w:val="bottom"/>
            <w:tcBorders>
              <w:bottom w:val="single" w:sz="8" w:color="CCEEFF"/>
            </w:tcBorders>
            <w:gridSpan w:val="2"/>
            <w:vMerge w:val="restart"/>
            <w:shd w:val="clear" w:color="auto" w:fill="CCEEFF"/>
          </w:tcPr>
          <w:p>
            <w:pPr>
              <w:spacing w:after="0"/>
              <w:rPr>
                <w:sz w:val="11"/>
                <w:szCs w:val="11"/>
                <w:color w:val="auto"/>
              </w:rPr>
            </w:pPr>
          </w:p>
        </w:tc>
        <w:tc>
          <w:tcPr>
            <w:tcW w:w="248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Philadelphia, PA</w:t>
            </w: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900" w:type="dxa"/>
            <w:vAlign w:val="bottom"/>
            <w:tcBorders>
              <w:bottom w:val="single" w:sz="8" w:color="auto"/>
            </w:tcBorders>
            <w:gridSpan w:val="18"/>
            <w:vMerge w:val="continue"/>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gridSpan w:val="2"/>
            <w:vMerge w:val="continue"/>
            <w:shd w:val="clear" w:color="auto" w:fill="CCEEFF"/>
          </w:tcPr>
          <w:p>
            <w:pPr>
              <w:spacing w:after="0"/>
              <w:rPr>
                <w:sz w:val="4"/>
                <w:szCs w:val="4"/>
                <w:color w:val="auto"/>
              </w:rPr>
            </w:pPr>
          </w:p>
        </w:tc>
        <w:tc>
          <w:tcPr>
            <w:tcW w:w="2480" w:type="dxa"/>
            <w:vAlign w:val="bottom"/>
            <w:tcBorders>
              <w:bottom w:val="single" w:sz="8" w:color="CCEEFF"/>
            </w:tcBorders>
            <w:gridSpan w:val="2"/>
            <w:vMerge w:val="continue"/>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460" w:type="dxa"/>
            <w:vAlign w:val="bottom"/>
            <w:gridSpan w:val="26"/>
          </w:tcPr>
          <w:p>
            <w:pPr>
              <w:spacing w:after="0" w:line="227" w:lineRule="exact"/>
              <w:rPr>
                <w:sz w:val="20"/>
                <w:szCs w:val="20"/>
                <w:color w:val="auto"/>
              </w:rPr>
            </w:pPr>
            <w:r>
              <w:rPr>
                <w:rFonts w:ascii="Times New Roman" w:cs="Times New Roman" w:eastAsia="Times New Roman" w:hAnsi="Times New Roman"/>
                <w:sz w:val="16"/>
                <w:szCs w:val="16"/>
                <w:color w:val="auto"/>
              </w:rPr>
              <w:t>Convertible Note 6%, Due 10/17/2024</w:t>
            </w:r>
            <w:r>
              <w:rPr>
                <w:rFonts w:ascii="Times New Roman" w:cs="Times New Roman" w:eastAsia="Times New Roman" w:hAnsi="Times New Roman"/>
                <w:sz w:val="26"/>
                <w:szCs w:val="26"/>
                <w:color w:val="auto"/>
                <w:vertAlign w:val="superscript"/>
              </w:rPr>
              <w:t>(4)</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Geolocation Technology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8/17/2022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1,338,976</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1,325,000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155"/>
        </w:trPr>
        <w:tc>
          <w:tcPr>
            <w:tcW w:w="346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Commercial Streaming Solutions Inc. (d/b/a</w:t>
            </w:r>
          </w:p>
        </w:tc>
        <w:tc>
          <w:tcPr>
            <w:tcW w:w="2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0" w:type="dxa"/>
            <w:vAlign w:val="bottom"/>
            <w:tcBorders>
              <w:top w:val="single" w:sz="8" w:color="auto"/>
              <w:bottom w:val="single" w:sz="8" w:color="auto"/>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3"/>
              </w:rPr>
              <w:t>BettorView)</w:t>
            </w:r>
          </w:p>
        </w:tc>
        <w:tc>
          <w:tcPr>
            <w:tcW w:w="1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2"/>
              </w:rPr>
              <w:t>(7)</w:t>
            </w: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vMerge w:val="restart"/>
            <w:shd w:val="clear" w:color="auto" w:fill="CCEEFF"/>
          </w:tcPr>
          <w:p>
            <w:pPr>
              <w:spacing w:after="0"/>
              <w:rPr>
                <w:sz w:val="12"/>
                <w:szCs w:val="12"/>
                <w:color w:val="auto"/>
              </w:rPr>
            </w:pPr>
          </w:p>
        </w:tc>
        <w:tc>
          <w:tcPr>
            <w:tcW w:w="1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5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vMerge w:val="restart"/>
            <w:shd w:val="clear" w:color="auto" w:fill="CCEEFF"/>
          </w:tcPr>
          <w:p>
            <w:pPr>
              <w:spacing w:after="0"/>
              <w:rPr>
                <w:sz w:val="12"/>
                <w:szCs w:val="12"/>
                <w:color w:val="auto"/>
              </w:rPr>
            </w:pPr>
          </w:p>
        </w:tc>
        <w:tc>
          <w:tcPr>
            <w:tcW w:w="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4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2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vMerge w:val="restart"/>
            <w:shd w:val="clear" w:color="auto" w:fill="CCEEFF"/>
          </w:tcPr>
          <w:p>
            <w:pPr>
              <w:spacing w:after="0"/>
              <w:rPr>
                <w:sz w:val="12"/>
                <w:szCs w:val="12"/>
                <w:color w:val="auto"/>
              </w:rPr>
            </w:pPr>
          </w:p>
        </w:tc>
        <w:tc>
          <w:tcPr>
            <w:tcW w:w="360" w:type="dxa"/>
            <w:vAlign w:val="bottom"/>
            <w:tcBorders>
              <w:top w:val="single" w:sz="8" w:color="CCEEFF"/>
              <w:bottom w:val="single" w:sz="8" w:color="CCEEFF"/>
            </w:tcBorders>
            <w:gridSpan w:val="2"/>
            <w:vMerge w:val="restart"/>
            <w:shd w:val="clear" w:color="auto" w:fill="CCEEFF"/>
          </w:tcPr>
          <w:p>
            <w:pPr>
              <w:spacing w:after="0"/>
              <w:rPr>
                <w:sz w:val="12"/>
                <w:szCs w:val="12"/>
                <w:color w:val="auto"/>
              </w:rPr>
            </w:pPr>
          </w:p>
        </w:tc>
        <w:tc>
          <w:tcPr>
            <w:tcW w:w="2480" w:type="dxa"/>
            <w:vAlign w:val="bottom"/>
            <w:tcBorders>
              <w:top w:val="single" w:sz="8" w:color="CCEEFF"/>
              <w:bottom w:val="single" w:sz="8" w:color="CCEEFF"/>
            </w:tcBorders>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Las Vegas, NV</w:t>
            </w: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820" w:type="dxa"/>
            <w:vAlign w:val="bottom"/>
            <w:tcBorders>
              <w:bottom w:val="single" w:sz="8" w:color="auto"/>
              <w:right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6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gridSpan w:val="2"/>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gridSpan w:val="2"/>
            <w:vMerge w:val="continue"/>
            <w:shd w:val="clear" w:color="auto" w:fill="CCEEFF"/>
          </w:tcPr>
          <w:p>
            <w:pPr>
              <w:spacing w:after="0"/>
              <w:rPr>
                <w:sz w:val="4"/>
                <w:szCs w:val="4"/>
                <w:color w:val="auto"/>
              </w:rPr>
            </w:pPr>
          </w:p>
        </w:tc>
        <w:tc>
          <w:tcPr>
            <w:tcW w:w="360" w:type="dxa"/>
            <w:vAlign w:val="bottom"/>
            <w:tcBorders>
              <w:bottom w:val="single" w:sz="8" w:color="CCEEFF"/>
            </w:tcBorders>
            <w:gridSpan w:val="2"/>
            <w:vMerge w:val="continue"/>
            <w:shd w:val="clear" w:color="auto" w:fill="CCEEFF"/>
          </w:tcPr>
          <w:p>
            <w:pPr>
              <w:spacing w:after="0"/>
              <w:rPr>
                <w:sz w:val="4"/>
                <w:szCs w:val="4"/>
                <w:color w:val="auto"/>
              </w:rPr>
            </w:pPr>
          </w:p>
        </w:tc>
        <w:tc>
          <w:tcPr>
            <w:tcW w:w="2480" w:type="dxa"/>
            <w:vAlign w:val="bottom"/>
            <w:tcBorders>
              <w:bottom w:val="single" w:sz="8" w:color="CCEEFF"/>
            </w:tcBorders>
            <w:gridSpan w:val="2"/>
            <w:vMerge w:val="continue"/>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4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Interactive Media &amp; Services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3/26/2021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1,004,240</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131"/>
        </w:trPr>
        <w:tc>
          <w:tcPr>
            <w:tcW w:w="2940" w:type="dxa"/>
            <w:vAlign w:val="bottom"/>
            <w:tcBorders>
              <w:bottom w:val="single" w:sz="8" w:color="CCEEFF"/>
            </w:tcBorders>
            <w:gridSpan w:val="19"/>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Stake Trade, Inc. (d/b/a Prophet Exchange)</w:t>
            </w:r>
          </w:p>
        </w:tc>
        <w:tc>
          <w:tcPr>
            <w:tcW w:w="160" w:type="dxa"/>
            <w:vAlign w:val="bottom"/>
            <w:tcBorders>
              <w:bottom w:val="single" w:sz="8" w:color="auto"/>
            </w:tcBorders>
            <w:gridSpan w:val="5"/>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(7)</w:t>
            </w:r>
          </w:p>
        </w:tc>
        <w:tc>
          <w:tcPr>
            <w:tcW w:w="360" w:type="dxa"/>
            <w:vAlign w:val="bottom"/>
            <w:tcBorders>
              <w:bottom w:val="single" w:sz="8" w:color="CCEEFF"/>
            </w:tcBorders>
            <w:gridSpan w:val="2"/>
            <w:vMerge w:val="restart"/>
            <w:shd w:val="clear" w:color="auto" w:fill="CCEEFF"/>
          </w:tcPr>
          <w:p>
            <w:pPr>
              <w:spacing w:after="0"/>
              <w:rPr>
                <w:sz w:val="11"/>
                <w:szCs w:val="11"/>
                <w:color w:val="auto"/>
              </w:rPr>
            </w:pPr>
          </w:p>
        </w:tc>
        <w:tc>
          <w:tcPr>
            <w:tcW w:w="2480" w:type="dxa"/>
            <w:vAlign w:val="bottom"/>
            <w:tcBorders>
              <w:bottom w:val="single" w:sz="8" w:color="CCEEFF"/>
            </w:tcBorders>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New York, NY</w:t>
            </w: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940" w:type="dxa"/>
            <w:vAlign w:val="bottom"/>
            <w:tcBorders>
              <w:bottom w:val="single" w:sz="8" w:color="auto"/>
            </w:tcBorders>
            <w:gridSpan w:val="19"/>
            <w:vMerge w:val="continue"/>
            <w:shd w:val="clear" w:color="auto" w:fill="CCEEFF"/>
          </w:tcPr>
          <w:p>
            <w:pPr>
              <w:spacing w:after="0"/>
              <w:rPr>
                <w:sz w:val="4"/>
                <w:szCs w:val="4"/>
                <w:color w:val="auto"/>
              </w:rPr>
            </w:pPr>
          </w:p>
        </w:tc>
        <w:tc>
          <w:tcPr>
            <w:tcW w:w="8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gridSpan w:val="2"/>
            <w:shd w:val="clear" w:color="auto" w:fill="CCEEFF"/>
          </w:tcPr>
          <w:p>
            <w:pPr>
              <w:spacing w:after="0"/>
              <w:rPr>
                <w:sz w:val="4"/>
                <w:szCs w:val="4"/>
                <w:color w:val="auto"/>
              </w:rPr>
            </w:pPr>
          </w:p>
        </w:tc>
        <w:tc>
          <w:tcPr>
            <w:tcW w:w="360" w:type="dxa"/>
            <w:vAlign w:val="bottom"/>
            <w:tcBorders>
              <w:bottom w:val="single" w:sz="8" w:color="CCEEFF"/>
            </w:tcBorders>
            <w:gridSpan w:val="2"/>
            <w:vMerge w:val="continue"/>
            <w:shd w:val="clear" w:color="auto" w:fill="CCEEFF"/>
          </w:tcPr>
          <w:p>
            <w:pPr>
              <w:spacing w:after="0"/>
              <w:rPr>
                <w:sz w:val="4"/>
                <w:szCs w:val="4"/>
                <w:color w:val="auto"/>
              </w:rPr>
            </w:pPr>
          </w:p>
        </w:tc>
        <w:tc>
          <w:tcPr>
            <w:tcW w:w="2480" w:type="dxa"/>
            <w:vAlign w:val="bottom"/>
            <w:tcBorders>
              <w:bottom w:val="single" w:sz="8" w:color="CCEEFF"/>
            </w:tcBorders>
            <w:gridSpan w:val="2"/>
            <w:vMerge w:val="continue"/>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4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Sports Betting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7/26/2023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1,002,153</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131"/>
        </w:trPr>
        <w:tc>
          <w:tcPr>
            <w:tcW w:w="1440" w:type="dxa"/>
            <w:vAlign w:val="bottom"/>
            <w:tcBorders>
              <w:bottom w:val="single" w:sz="8" w:color="CCEEFF"/>
            </w:tcBorders>
            <w:gridSpan w:val="6"/>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AltC Sponsor LLC**</w:t>
            </w:r>
          </w:p>
        </w:tc>
        <w:tc>
          <w:tcPr>
            <w:tcW w:w="440" w:type="dxa"/>
            <w:vAlign w:val="bottom"/>
            <w:tcBorders>
              <w:bottom w:val="single" w:sz="8" w:color="auto"/>
            </w:tcBorders>
            <w:gridSpan w:val="5"/>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(10)(14)</w:t>
            </w:r>
          </w:p>
        </w:tc>
        <w:tc>
          <w:tcPr>
            <w:tcW w:w="16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gridSpan w:val="2"/>
            <w:vMerge w:val="restart"/>
            <w:shd w:val="clear" w:color="auto" w:fill="CCEEFF"/>
          </w:tcPr>
          <w:p>
            <w:pPr>
              <w:spacing w:after="0"/>
              <w:rPr>
                <w:sz w:val="11"/>
                <w:szCs w:val="11"/>
                <w:color w:val="auto"/>
              </w:rPr>
            </w:pP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60" w:type="dxa"/>
            <w:vAlign w:val="bottom"/>
            <w:tcBorders>
              <w:bottom w:val="single" w:sz="8" w:color="CCEEFF"/>
            </w:tcBorders>
            <w:gridSpan w:val="4"/>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420" w:type="dxa"/>
            <w:vAlign w:val="bottom"/>
            <w:tcBorders>
              <w:bottom w:val="single" w:sz="8" w:color="CCEEFF"/>
            </w:tcBorders>
            <w:gridSpan w:val="4"/>
            <w:vMerge w:val="restart"/>
            <w:shd w:val="clear" w:color="auto" w:fill="CCEEFF"/>
          </w:tcPr>
          <w:p>
            <w:pPr>
              <w:spacing w:after="0"/>
              <w:rPr>
                <w:sz w:val="11"/>
                <w:szCs w:val="11"/>
                <w:color w:val="auto"/>
              </w:rPr>
            </w:pPr>
          </w:p>
        </w:tc>
        <w:tc>
          <w:tcPr>
            <w:tcW w:w="2480" w:type="dxa"/>
            <w:vAlign w:val="bottom"/>
            <w:tcBorders>
              <w:bottom w:val="single" w:sz="8" w:color="CCEEFF"/>
            </w:tcBorders>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New York, NY</w:t>
            </w: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440" w:type="dxa"/>
            <w:vAlign w:val="bottom"/>
            <w:tcBorders>
              <w:bottom w:val="single" w:sz="8" w:color="auto"/>
            </w:tcBorders>
            <w:gridSpan w:val="6"/>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gridSpan w:val="4"/>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20" w:type="dxa"/>
            <w:vAlign w:val="bottom"/>
            <w:tcBorders>
              <w:bottom w:val="single" w:sz="8" w:color="CCEEFF"/>
            </w:tcBorders>
            <w:gridSpan w:val="4"/>
            <w:vMerge w:val="continue"/>
            <w:shd w:val="clear" w:color="auto" w:fill="CCEEFF"/>
          </w:tcPr>
          <w:p>
            <w:pPr>
              <w:spacing w:after="0"/>
              <w:rPr>
                <w:sz w:val="4"/>
                <w:szCs w:val="4"/>
                <w:color w:val="auto"/>
              </w:rPr>
            </w:pPr>
          </w:p>
        </w:tc>
        <w:tc>
          <w:tcPr>
            <w:tcW w:w="2480" w:type="dxa"/>
            <w:vAlign w:val="bottom"/>
            <w:tcBorders>
              <w:bottom w:val="single" w:sz="8" w:color="CCEEFF"/>
            </w:tcBorders>
            <w:gridSpan w:val="2"/>
            <w:vMerge w:val="continue"/>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Special Purpose Acquisition</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 Class B</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Company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7/21/2021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214,400</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224,753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759,076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23"/>
        </w:trPr>
        <w:tc>
          <w:tcPr>
            <w:tcW w:w="34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Class A</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7/21/2021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24,900</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26,102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176,315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179"/>
        </w:trPr>
        <w:tc>
          <w:tcPr>
            <w:tcW w:w="3460" w:type="dxa"/>
            <w:vAlign w:val="bottom"/>
            <w:tcBorders>
              <w:top w:val="single" w:sz="8" w:color="CCEEFF"/>
              <w:bottom w:val="single" w:sz="8" w:color="CCEEFF"/>
            </w:tcBorders>
            <w:gridSpan w:val="26"/>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250,855</w:t>
            </w: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935,391</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0.46</w:t>
            </w:r>
          </w:p>
        </w:tc>
        <w:tc>
          <w:tcPr>
            <w:tcW w:w="18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55"/>
        </w:trPr>
        <w:tc>
          <w:tcPr>
            <w:tcW w:w="346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Skillsoft Corp.**</w:t>
            </w:r>
          </w:p>
        </w:tc>
        <w:tc>
          <w:tcPr>
            <w:tcW w:w="2480" w:type="dxa"/>
            <w:vAlign w:val="bottom"/>
            <w:gridSpan w:val="2"/>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8"/>
              </w:rPr>
              <w:t>Nashua, NH</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820" w:type="dxa"/>
            <w:vAlign w:val="bottom"/>
            <w:tcBorders>
              <w:right w:val="single" w:sz="8" w:color="auto"/>
            </w:tcBorders>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3460" w:type="dxa"/>
            <w:vAlign w:val="bottom"/>
            <w:gridSpan w:val="26"/>
          </w:tcPr>
          <w:p>
            <w:pPr>
              <w:spacing w:after="0" w:line="227"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(3)</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Online Education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6/8/2021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49,092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9,818,428</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863,037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131"/>
        </w:trPr>
        <w:tc>
          <w:tcPr>
            <w:tcW w:w="2120" w:type="dxa"/>
            <w:vAlign w:val="bottom"/>
            <w:tcBorders>
              <w:bottom w:val="single" w:sz="8" w:color="CCEEFF"/>
            </w:tcBorders>
            <w:gridSpan w:val="14"/>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Rebric, Inc. (d/b/a Compliable)</w:t>
            </w:r>
          </w:p>
        </w:tc>
        <w:tc>
          <w:tcPr>
            <w:tcW w:w="1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85"/>
              </w:rPr>
              <w:t>(7)</w:t>
            </w: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60" w:type="dxa"/>
            <w:vAlign w:val="bottom"/>
            <w:tcBorders>
              <w:bottom w:val="single" w:sz="8" w:color="CCEEFF"/>
            </w:tcBorders>
            <w:gridSpan w:val="4"/>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420" w:type="dxa"/>
            <w:vAlign w:val="bottom"/>
            <w:tcBorders>
              <w:bottom w:val="single" w:sz="8" w:color="CCEEFF"/>
            </w:tcBorders>
            <w:gridSpan w:val="4"/>
            <w:vMerge w:val="restart"/>
            <w:shd w:val="clear" w:color="auto" w:fill="CCEEFF"/>
          </w:tcPr>
          <w:p>
            <w:pPr>
              <w:spacing w:after="0"/>
              <w:rPr>
                <w:sz w:val="11"/>
                <w:szCs w:val="11"/>
                <w:color w:val="auto"/>
              </w:rPr>
            </w:pPr>
          </w:p>
        </w:tc>
        <w:tc>
          <w:tcPr>
            <w:tcW w:w="248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Denver, CO</w:t>
            </w: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120" w:type="dxa"/>
            <w:vAlign w:val="bottom"/>
            <w:tcBorders>
              <w:bottom w:val="single" w:sz="8" w:color="auto"/>
            </w:tcBorders>
            <w:gridSpan w:val="14"/>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gridSpan w:val="4"/>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20" w:type="dxa"/>
            <w:vAlign w:val="bottom"/>
            <w:tcBorders>
              <w:bottom w:val="single" w:sz="8" w:color="CCEEFF"/>
            </w:tcBorders>
            <w:gridSpan w:val="4"/>
            <w:vMerge w:val="continue"/>
            <w:shd w:val="clear" w:color="auto" w:fill="CCEEFF"/>
          </w:tcPr>
          <w:p>
            <w:pPr>
              <w:spacing w:after="0"/>
              <w:rPr>
                <w:sz w:val="4"/>
                <w:szCs w:val="4"/>
                <w:color w:val="auto"/>
              </w:rPr>
            </w:pPr>
          </w:p>
        </w:tc>
        <w:tc>
          <w:tcPr>
            <w:tcW w:w="2480" w:type="dxa"/>
            <w:vAlign w:val="bottom"/>
            <w:tcBorders>
              <w:bottom w:val="single" w:sz="8" w:color="CCEEFF"/>
            </w:tcBorders>
            <w:gridSpan w:val="2"/>
            <w:vMerge w:val="continue"/>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4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Seed-4</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Gaming Licensing</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10/12/2021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2,406,492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1,002,755</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799,323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131"/>
        </w:trPr>
        <w:tc>
          <w:tcPr>
            <w:tcW w:w="1400" w:type="dxa"/>
            <w:vAlign w:val="bottom"/>
            <w:tcBorders>
              <w:bottom w:val="single" w:sz="8" w:color="CCEEFF"/>
            </w:tcBorders>
            <w:gridSpan w:val="5"/>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EDGE Markets, Inc.</w:t>
            </w:r>
          </w:p>
        </w:tc>
        <w:tc>
          <w:tcPr>
            <w:tcW w:w="160" w:type="dxa"/>
            <w:vAlign w:val="bottom"/>
            <w:tcBorders>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(7)</w:t>
            </w: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260" w:type="dxa"/>
            <w:vAlign w:val="bottom"/>
            <w:tcBorders>
              <w:bottom w:val="single" w:sz="8" w:color="CCEEFF"/>
            </w:tcBorders>
            <w:gridSpan w:val="2"/>
            <w:vMerge w:val="restart"/>
            <w:shd w:val="clear" w:color="auto" w:fill="CCEEFF"/>
          </w:tcPr>
          <w:p>
            <w:pPr>
              <w:spacing w:after="0"/>
              <w:rPr>
                <w:sz w:val="11"/>
                <w:szCs w:val="11"/>
                <w:color w:val="auto"/>
              </w:rPr>
            </w:pPr>
          </w:p>
        </w:tc>
        <w:tc>
          <w:tcPr>
            <w:tcW w:w="240" w:type="dxa"/>
            <w:vAlign w:val="bottom"/>
            <w:tcBorders>
              <w:bottom w:val="single" w:sz="8" w:color="CCEEFF"/>
            </w:tcBorders>
            <w:gridSpan w:val="4"/>
            <w:vMerge w:val="restart"/>
            <w:shd w:val="clear" w:color="auto" w:fill="CCEEFF"/>
          </w:tcPr>
          <w:p>
            <w:pPr>
              <w:spacing w:after="0"/>
              <w:rPr>
                <w:sz w:val="11"/>
                <w:szCs w:val="11"/>
                <w:color w:val="auto"/>
              </w:rPr>
            </w:pP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60" w:type="dxa"/>
            <w:vAlign w:val="bottom"/>
            <w:tcBorders>
              <w:bottom w:val="single" w:sz="8" w:color="CCEEFF"/>
            </w:tcBorders>
            <w:gridSpan w:val="4"/>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420" w:type="dxa"/>
            <w:vAlign w:val="bottom"/>
            <w:tcBorders>
              <w:bottom w:val="single" w:sz="8" w:color="CCEEFF"/>
            </w:tcBorders>
            <w:gridSpan w:val="4"/>
            <w:vMerge w:val="restart"/>
            <w:shd w:val="clear" w:color="auto" w:fill="CCEEFF"/>
          </w:tcPr>
          <w:p>
            <w:pPr>
              <w:spacing w:after="0"/>
              <w:rPr>
                <w:sz w:val="11"/>
                <w:szCs w:val="11"/>
                <w:color w:val="auto"/>
              </w:rPr>
            </w:pPr>
          </w:p>
        </w:tc>
        <w:tc>
          <w:tcPr>
            <w:tcW w:w="248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San Diego, CA</w:t>
            </w: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400" w:type="dxa"/>
            <w:vAlign w:val="bottom"/>
            <w:tcBorders>
              <w:bottom w:val="single" w:sz="8" w:color="auto"/>
            </w:tcBorders>
            <w:gridSpan w:val="5"/>
            <w:vMerge w:val="continue"/>
            <w:shd w:val="clear" w:color="auto" w:fill="CCEEFF"/>
          </w:tcPr>
          <w:p>
            <w:pPr>
              <w:spacing w:after="0"/>
              <w:rPr>
                <w:sz w:val="4"/>
                <w:szCs w:val="4"/>
                <w:color w:val="auto"/>
              </w:rPr>
            </w:pPr>
          </w:p>
        </w:tc>
        <w:tc>
          <w:tcPr>
            <w:tcW w:w="16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60" w:type="dxa"/>
            <w:vAlign w:val="bottom"/>
            <w:tcBorders>
              <w:bottom w:val="single" w:sz="8" w:color="CCEEFF"/>
            </w:tcBorders>
            <w:gridSpan w:val="2"/>
            <w:vMerge w:val="continue"/>
            <w:shd w:val="clear" w:color="auto" w:fill="CCEEFF"/>
          </w:tcPr>
          <w:p>
            <w:pPr>
              <w:spacing w:after="0"/>
              <w:rPr>
                <w:sz w:val="4"/>
                <w:szCs w:val="4"/>
                <w:color w:val="auto"/>
              </w:rPr>
            </w:pPr>
          </w:p>
        </w:tc>
        <w:tc>
          <w:tcPr>
            <w:tcW w:w="240" w:type="dxa"/>
            <w:vAlign w:val="bottom"/>
            <w:tcBorders>
              <w:bottom w:val="single" w:sz="8" w:color="CCEEFF"/>
            </w:tcBorders>
            <w:gridSpan w:val="4"/>
            <w:vMerge w:val="continue"/>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gridSpan w:val="4"/>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20" w:type="dxa"/>
            <w:vAlign w:val="bottom"/>
            <w:tcBorders>
              <w:bottom w:val="single" w:sz="8" w:color="CCEEFF"/>
            </w:tcBorders>
            <w:gridSpan w:val="4"/>
            <w:vMerge w:val="continue"/>
            <w:shd w:val="clear" w:color="auto" w:fill="CCEEFF"/>
          </w:tcPr>
          <w:p>
            <w:pPr>
              <w:spacing w:after="0"/>
              <w:rPr>
                <w:sz w:val="4"/>
                <w:szCs w:val="4"/>
                <w:color w:val="auto"/>
              </w:rPr>
            </w:pPr>
          </w:p>
        </w:tc>
        <w:tc>
          <w:tcPr>
            <w:tcW w:w="2480" w:type="dxa"/>
            <w:vAlign w:val="bottom"/>
            <w:tcBorders>
              <w:bottom w:val="single" w:sz="8" w:color="CCEEFF"/>
            </w:tcBorders>
            <w:gridSpan w:val="2"/>
            <w:vMerge w:val="continue"/>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4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Seed</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Gaming Technology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5/18/2022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456,704</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501,330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131"/>
        </w:trPr>
        <w:tc>
          <w:tcPr>
            <w:tcW w:w="2040" w:type="dxa"/>
            <w:vAlign w:val="bottom"/>
            <w:tcBorders>
              <w:bottom w:val="single" w:sz="8" w:color="CCEEFF"/>
            </w:tcBorders>
            <w:gridSpan w:val="12"/>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Churchill Sponsor VII LLC**</w:t>
            </w:r>
          </w:p>
        </w:tc>
        <w:tc>
          <w:tcPr>
            <w:tcW w:w="240" w:type="dxa"/>
            <w:vAlign w:val="bottom"/>
            <w:tcBorders>
              <w:bottom w:val="single" w:sz="8" w:color="auto"/>
            </w:tcBorders>
            <w:gridSpan w:val="4"/>
            <w:shd w:val="clear" w:color="auto" w:fill="CCEEFF"/>
          </w:tcPr>
          <w:p>
            <w:pPr>
              <w:jc w:val="right"/>
              <w:ind w:right="20"/>
              <w:spacing w:after="0" w:line="111" w:lineRule="exact"/>
              <w:rPr>
                <w:sz w:val="20"/>
                <w:szCs w:val="20"/>
                <w:color w:val="auto"/>
              </w:rPr>
            </w:pPr>
            <w:r>
              <w:rPr>
                <w:rFonts w:ascii="Times New Roman" w:cs="Times New Roman" w:eastAsia="Times New Roman" w:hAnsi="Times New Roman"/>
                <w:sz w:val="12"/>
                <w:szCs w:val="12"/>
                <w:b w:val="1"/>
                <w:bCs w:val="1"/>
                <w:color w:val="auto"/>
                <w:w w:val="99"/>
              </w:rPr>
              <w:t>(10)</w:t>
            </w: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60" w:type="dxa"/>
            <w:vAlign w:val="bottom"/>
            <w:tcBorders>
              <w:bottom w:val="single" w:sz="8" w:color="CCEEFF"/>
            </w:tcBorders>
            <w:gridSpan w:val="4"/>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420" w:type="dxa"/>
            <w:vAlign w:val="bottom"/>
            <w:tcBorders>
              <w:bottom w:val="single" w:sz="8" w:color="CCEEFF"/>
            </w:tcBorders>
            <w:gridSpan w:val="4"/>
            <w:vMerge w:val="restart"/>
            <w:shd w:val="clear" w:color="auto" w:fill="CCEEFF"/>
          </w:tcPr>
          <w:p>
            <w:pPr>
              <w:spacing w:after="0"/>
              <w:rPr>
                <w:sz w:val="11"/>
                <w:szCs w:val="11"/>
                <w:color w:val="auto"/>
              </w:rPr>
            </w:pPr>
          </w:p>
        </w:tc>
        <w:tc>
          <w:tcPr>
            <w:tcW w:w="2480" w:type="dxa"/>
            <w:vAlign w:val="bottom"/>
            <w:tcBorders>
              <w:bottom w:val="single" w:sz="8" w:color="CCEEFF"/>
            </w:tcBorders>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New York, NY</w:t>
            </w: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40" w:type="dxa"/>
            <w:vAlign w:val="bottom"/>
            <w:tcBorders>
              <w:bottom w:val="single" w:sz="8" w:color="auto"/>
            </w:tcBorders>
            <w:gridSpan w:val="12"/>
            <w:vMerge w:val="continue"/>
            <w:shd w:val="clear" w:color="auto" w:fill="CCEEFF"/>
          </w:tcPr>
          <w:p>
            <w:pPr>
              <w:spacing w:after="0"/>
              <w:rPr>
                <w:sz w:val="4"/>
                <w:szCs w:val="4"/>
                <w:color w:val="auto"/>
              </w:rPr>
            </w:pPr>
          </w:p>
        </w:tc>
        <w:tc>
          <w:tcPr>
            <w:tcW w:w="240" w:type="dxa"/>
            <w:vAlign w:val="bottom"/>
            <w:tcBorders>
              <w:bottom w:val="single" w:sz="8" w:color="CCEEFF"/>
            </w:tcBorders>
            <w:gridSpan w:val="4"/>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gridSpan w:val="4"/>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20" w:type="dxa"/>
            <w:vAlign w:val="bottom"/>
            <w:tcBorders>
              <w:bottom w:val="single" w:sz="8" w:color="CCEEFF"/>
            </w:tcBorders>
            <w:gridSpan w:val="4"/>
            <w:vMerge w:val="continue"/>
            <w:shd w:val="clear" w:color="auto" w:fill="CCEEFF"/>
          </w:tcPr>
          <w:p>
            <w:pPr>
              <w:spacing w:after="0"/>
              <w:rPr>
                <w:sz w:val="4"/>
                <w:szCs w:val="4"/>
                <w:color w:val="auto"/>
              </w:rPr>
            </w:pPr>
          </w:p>
        </w:tc>
        <w:tc>
          <w:tcPr>
            <w:tcW w:w="2480" w:type="dxa"/>
            <w:vAlign w:val="bottom"/>
            <w:tcBorders>
              <w:bottom w:val="single" w:sz="8" w:color="CCEEFF"/>
            </w:tcBorders>
            <w:gridSpan w:val="2"/>
            <w:vMerge w:val="continue"/>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Special Purpose Acquisition</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 units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Company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2/25/2021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292,100</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205,820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344,097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23"/>
        </w:trPr>
        <w:tc>
          <w:tcPr>
            <w:tcW w:w="34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units</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2/25/2021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277,000</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94,180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18,929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79"/>
        </w:trPr>
        <w:tc>
          <w:tcPr>
            <w:tcW w:w="3460" w:type="dxa"/>
            <w:vAlign w:val="bottom"/>
            <w:tcBorders>
              <w:top w:val="single" w:sz="8" w:color="CCEEFF"/>
              <w:bottom w:val="single" w:sz="8" w:color="CCEEFF"/>
            </w:tcBorders>
            <w:gridSpan w:val="26"/>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300,000</w:t>
            </w: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363,026</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0.18</w:t>
            </w:r>
          </w:p>
        </w:tc>
        <w:tc>
          <w:tcPr>
            <w:tcW w:w="18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1"/>
        </w:trPr>
        <w:tc>
          <w:tcPr>
            <w:tcW w:w="346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Nextdoor Holdings, Inc.**</w:t>
            </w:r>
          </w:p>
        </w:tc>
        <w:tc>
          <w:tcPr>
            <w:tcW w:w="248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9"/>
              </w:rPr>
              <w:t>San Francisco, CA</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780" w:type="dxa"/>
            <w:vAlign w:val="bottom"/>
            <w:tcBorders>
              <w:top w:val="single" w:sz="8" w:color="auto"/>
            </w:tcBorders>
            <w:gridSpan w:val="10"/>
          </w:tcPr>
          <w:p>
            <w:pPr>
              <w:spacing w:after="0" w:line="227" w:lineRule="exact"/>
              <w:rPr>
                <w:sz w:val="20"/>
                <w:szCs w:val="20"/>
                <w:color w:val="auto"/>
              </w:rPr>
            </w:pPr>
            <w:r>
              <w:rPr>
                <w:rFonts w:ascii="Times New Roman" w:cs="Times New Roman" w:eastAsia="Times New Roman" w:hAnsi="Times New Roman"/>
                <w:sz w:val="16"/>
                <w:szCs w:val="16"/>
                <w:color w:val="auto"/>
                <w:w w:val="97"/>
              </w:rPr>
              <w:t>Common shares, Class B</w:t>
            </w:r>
            <w:r>
              <w:rPr>
                <w:rFonts w:ascii="Times New Roman" w:cs="Times New Roman" w:eastAsia="Times New Roman" w:hAnsi="Times New Roman"/>
                <w:sz w:val="26"/>
                <w:szCs w:val="26"/>
                <w:color w:val="auto"/>
                <w:w w:val="97"/>
                <w:vertAlign w:val="superscript"/>
              </w:rPr>
              <w:t>(3)</w:t>
            </w:r>
          </w:p>
        </w:tc>
        <w:tc>
          <w:tcPr>
            <w:tcW w:w="1680" w:type="dxa"/>
            <w:vAlign w:val="bottom"/>
            <w:tcBorders>
              <w:top w:val="single" w:sz="8" w:color="CCEEFF"/>
            </w:tcBorders>
            <w:gridSpan w:val="16"/>
          </w:tcPr>
          <w:p>
            <w:pPr>
              <w:spacing w:after="0"/>
              <w:rPr>
                <w:sz w:val="19"/>
                <w:szCs w:val="19"/>
                <w:color w:val="auto"/>
              </w:rPr>
            </w:pPr>
          </w:p>
        </w:tc>
        <w:tc>
          <w:tcPr>
            <w:tcW w:w="24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Social Networking</w:t>
            </w:r>
          </w:p>
        </w:tc>
        <w:tc>
          <w:tcPr>
            <w:tcW w:w="7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9/27/2018</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112,420</w:t>
            </w:r>
          </w:p>
        </w:tc>
        <w:tc>
          <w:tcPr>
            <w:tcW w:w="1220" w:type="dxa"/>
            <w:vAlign w:val="bottom"/>
            <w:tcBorders>
              <w:top w:val="single" w:sz="8" w:color="CCEEFF"/>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626,470</w:t>
            </w: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212,474</w:t>
            </w:r>
          </w:p>
        </w:tc>
        <w:tc>
          <w:tcPr>
            <w:tcW w:w="10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131"/>
        </w:trPr>
        <w:tc>
          <w:tcPr>
            <w:tcW w:w="2860" w:type="dxa"/>
            <w:vAlign w:val="bottom"/>
            <w:tcBorders>
              <w:bottom w:val="single" w:sz="8" w:color="CCEEFF"/>
            </w:tcBorders>
            <w:gridSpan w:val="17"/>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YouBet Technology, Inc. (d/b/a FanPower)</w:t>
            </w:r>
          </w:p>
        </w:tc>
        <w:tc>
          <w:tcPr>
            <w:tcW w:w="160" w:type="dxa"/>
            <w:vAlign w:val="bottom"/>
            <w:tcBorders>
              <w:bottom w:val="single" w:sz="8" w:color="auto"/>
            </w:tcBorders>
            <w:gridSpan w:val="4"/>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(7)</w:t>
            </w: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420" w:type="dxa"/>
            <w:vAlign w:val="bottom"/>
            <w:tcBorders>
              <w:bottom w:val="single" w:sz="8" w:color="CCEEFF"/>
            </w:tcBorders>
            <w:gridSpan w:val="4"/>
            <w:vMerge w:val="restart"/>
            <w:shd w:val="clear" w:color="auto" w:fill="CCEEFF"/>
          </w:tcPr>
          <w:p>
            <w:pPr>
              <w:spacing w:after="0"/>
              <w:rPr>
                <w:sz w:val="11"/>
                <w:szCs w:val="11"/>
                <w:color w:val="auto"/>
              </w:rPr>
            </w:pPr>
          </w:p>
        </w:tc>
        <w:tc>
          <w:tcPr>
            <w:tcW w:w="2480" w:type="dxa"/>
            <w:vAlign w:val="bottom"/>
            <w:tcBorders>
              <w:bottom w:val="single" w:sz="8" w:color="CCEEFF"/>
            </w:tcBorders>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New York, NY</w:t>
            </w: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860" w:type="dxa"/>
            <w:vAlign w:val="bottom"/>
            <w:tcBorders>
              <w:bottom w:val="single" w:sz="8" w:color="auto"/>
            </w:tcBorders>
            <w:gridSpan w:val="17"/>
            <w:vMerge w:val="continue"/>
            <w:shd w:val="clear" w:color="auto" w:fill="CCEEFF"/>
          </w:tcPr>
          <w:p>
            <w:pPr>
              <w:spacing w:after="0"/>
              <w:rPr>
                <w:sz w:val="4"/>
                <w:szCs w:val="4"/>
                <w:color w:val="auto"/>
              </w:rPr>
            </w:pPr>
          </w:p>
        </w:tc>
        <w:tc>
          <w:tcPr>
            <w:tcW w:w="160" w:type="dxa"/>
            <w:vAlign w:val="bottom"/>
            <w:tcBorders>
              <w:bottom w:val="single" w:sz="8" w:color="CCEEFF"/>
            </w:tcBorders>
            <w:gridSpan w:val="4"/>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20" w:type="dxa"/>
            <w:vAlign w:val="bottom"/>
            <w:tcBorders>
              <w:bottom w:val="single" w:sz="8" w:color="CCEEFF"/>
            </w:tcBorders>
            <w:gridSpan w:val="4"/>
            <w:vMerge w:val="continue"/>
            <w:shd w:val="clear" w:color="auto" w:fill="CCEEFF"/>
          </w:tcPr>
          <w:p>
            <w:pPr>
              <w:spacing w:after="0"/>
              <w:rPr>
                <w:sz w:val="4"/>
                <w:szCs w:val="4"/>
                <w:color w:val="auto"/>
              </w:rPr>
            </w:pPr>
          </w:p>
        </w:tc>
        <w:tc>
          <w:tcPr>
            <w:tcW w:w="2480" w:type="dxa"/>
            <w:vAlign w:val="bottom"/>
            <w:tcBorders>
              <w:bottom w:val="single" w:sz="8" w:color="CCEEFF"/>
            </w:tcBorders>
            <w:gridSpan w:val="2"/>
            <w:vMerge w:val="continue"/>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4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Seed-2</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Digital Media Technology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8/26/2021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578,029</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752,943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187,500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171"/>
        </w:trPr>
        <w:tc>
          <w:tcPr>
            <w:tcW w:w="1580" w:type="dxa"/>
            <w:vAlign w:val="bottom"/>
            <w:tcBorders>
              <w:bottom w:val="single" w:sz="8" w:color="auto"/>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Kinetiq Holdings, LLC</w:t>
            </w:r>
          </w:p>
        </w:tc>
        <w:tc>
          <w:tcPr>
            <w:tcW w:w="1880" w:type="dxa"/>
            <w:vAlign w:val="bottom"/>
            <w:tcBorders>
              <w:bottom w:val="single" w:sz="8" w:color="CCEEFF"/>
            </w:tcBorders>
            <w:gridSpan w:val="18"/>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7"/>
              </w:rPr>
              <w:t>Philadelphia, PA</w:t>
            </w: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4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 Class A</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Social Data Platform</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3/30/2012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112,374</w:t>
            </w: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28,836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55"/>
        </w:trPr>
        <w:tc>
          <w:tcPr>
            <w:tcW w:w="346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Trax Ltd.**</w:t>
            </w:r>
          </w:p>
        </w:tc>
        <w:tc>
          <w:tcPr>
            <w:tcW w:w="2480" w:type="dxa"/>
            <w:vAlign w:val="bottom"/>
            <w:gridSpan w:val="2"/>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rPr>
              <w:t>Singapore, Singapore</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820" w:type="dxa"/>
            <w:vAlign w:val="bottom"/>
            <w:tcBorders>
              <w:right w:val="single" w:sz="8" w:color="CCEEFF"/>
            </w:tcBorders>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4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Retail Technology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6/9/2021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55,591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2,781,148</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4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Investec Series</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6/9/2021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144,409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7,224,600</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3460" w:type="dxa"/>
            <w:vAlign w:val="bottom"/>
            <w:tcBorders>
              <w:top w:val="single" w:sz="8" w:color="CCEEFF"/>
              <w:bottom w:val="single" w:sz="8" w:color="CCEEFF"/>
            </w:tcBorders>
            <w:gridSpan w:val="26"/>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10,005,748</w:t>
            </w: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1"/>
        </w:trPr>
        <w:tc>
          <w:tcPr>
            <w:tcW w:w="1700" w:type="dxa"/>
            <w:vAlign w:val="bottom"/>
            <w:tcBorders>
              <w:bottom w:val="single" w:sz="8" w:color="auto"/>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Aspiration Partners, Inc.</w:t>
            </w:r>
          </w:p>
        </w:tc>
        <w:tc>
          <w:tcPr>
            <w:tcW w:w="1760" w:type="dxa"/>
            <w:vAlign w:val="bottom"/>
            <w:tcBorders>
              <w:bottom w:val="single" w:sz="8" w:color="CCEEFF"/>
            </w:tcBorders>
            <w:gridSpan w:val="17"/>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7"/>
              </w:rPr>
              <w:t>Marina Del Rey, CA</w:t>
            </w: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4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Financial Services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8/11/2015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540,270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1,001,815</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4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C-3</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8/12/2019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24,912</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281,190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3460" w:type="dxa"/>
            <w:vAlign w:val="bottom"/>
            <w:tcBorders>
              <w:top w:val="single" w:sz="8" w:color="CCEEFF"/>
              <w:bottom w:val="single" w:sz="8" w:color="CCEEFF"/>
            </w:tcBorders>
            <w:gridSpan w:val="26"/>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1,283,005</w:t>
            </w: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Fullbridge, Inc.</w:t>
            </w:r>
          </w:p>
        </w:tc>
        <w:tc>
          <w:tcPr>
            <w:tcW w:w="2400" w:type="dxa"/>
            <w:vAlign w:val="bottom"/>
            <w:tcBorders>
              <w:bottom w:val="single" w:sz="8" w:color="CCEEFF"/>
            </w:tcBorders>
            <w:gridSpan w:val="23"/>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rPr>
              <w:t>Cambridge, MA</w:t>
            </w: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4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Business Education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5/13/2012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517,917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6,150,506</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9"/>
        </w:trPr>
        <w:tc>
          <w:tcPr>
            <w:tcW w:w="3460" w:type="dxa"/>
            <w:vAlign w:val="bottom"/>
            <w:gridSpan w:val="26"/>
            <w:shd w:val="clear" w:color="auto" w:fill="CCEEFF"/>
          </w:tcPr>
          <w:p>
            <w:pPr>
              <w:spacing w:after="0" w:line="238" w:lineRule="exact"/>
              <w:rPr>
                <w:sz w:val="20"/>
                <w:szCs w:val="20"/>
                <w:color w:val="auto"/>
              </w:rPr>
            </w:pPr>
            <w:r>
              <w:rPr>
                <w:rFonts w:ascii="Times New Roman" w:cs="Times New Roman" w:eastAsia="Times New Roman" w:hAnsi="Times New Roman"/>
                <w:sz w:val="16"/>
                <w:szCs w:val="16"/>
                <w:color w:val="auto"/>
              </w:rPr>
              <w:t>Promissory Note 1.47%, Due 11/9/2021</w:t>
            </w:r>
            <w:r>
              <w:rPr>
                <w:rFonts w:ascii="Times New Roman" w:cs="Times New Roman" w:eastAsia="Times New Roman" w:hAnsi="Times New Roman"/>
                <w:sz w:val="26"/>
                <w:szCs w:val="26"/>
                <w:color w:val="auto"/>
                <w:vertAlign w:val="superscript"/>
              </w:rPr>
              <w:t>(4)(11)</w:t>
            </w:r>
          </w:p>
        </w:tc>
        <w:tc>
          <w:tcPr>
            <w:tcW w:w="2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3/3/2016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2,270,458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2,270,858</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3460" w:type="dxa"/>
            <w:vAlign w:val="bottom"/>
            <w:tcBorders>
              <w:top w:val="single" w:sz="8" w:color="CCEEFF"/>
              <w:bottom w:val="single" w:sz="8" w:color="CCEEFF"/>
            </w:tcBorders>
            <w:gridSpan w:val="26"/>
          </w:tcPr>
          <w:p>
            <w:pPr>
              <w:ind w:left="16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8,421,364</w:t>
            </w: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1"/>
        </w:trPr>
        <w:tc>
          <w:tcPr>
            <w:tcW w:w="346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Treehouse Real Estate Investment Trust, Inc.</w:t>
            </w:r>
          </w:p>
        </w:tc>
        <w:tc>
          <w:tcPr>
            <w:tcW w:w="248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9"/>
              </w:rPr>
              <w:t>Chicago, IL</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040" w:type="dxa"/>
            <w:vAlign w:val="bottom"/>
            <w:tcBorders>
              <w:top w:val="single" w:sz="8" w:color="auto"/>
            </w:tcBorders>
            <w:gridSpan w:val="22"/>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420" w:type="dxa"/>
            <w:vAlign w:val="bottom"/>
            <w:tcBorders>
              <w:top w:val="single" w:sz="8" w:color="CCEEFF"/>
            </w:tcBorders>
            <w:gridSpan w:val="4"/>
          </w:tcPr>
          <w:p>
            <w:pPr>
              <w:spacing w:after="0"/>
              <w:rPr>
                <w:sz w:val="16"/>
                <w:szCs w:val="16"/>
                <w:color w:val="auto"/>
              </w:rPr>
            </w:pPr>
          </w:p>
        </w:tc>
        <w:tc>
          <w:tcPr>
            <w:tcW w:w="24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Cannabis REIT</w:t>
            </w:r>
          </w:p>
        </w:tc>
        <w:tc>
          <w:tcPr>
            <w:tcW w:w="7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9/11/2019</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312,500</w:t>
            </w:r>
          </w:p>
        </w:tc>
        <w:tc>
          <w:tcPr>
            <w:tcW w:w="10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4,919,250</w:t>
            </w:r>
          </w:p>
        </w:tc>
        <w:tc>
          <w:tcPr>
            <w:tcW w:w="2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8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gridSpan w:val="26"/>
          </w:tcPr>
          <w:p>
            <w:pPr>
              <w:ind w:left="160"/>
              <w:spacing w:after="0"/>
              <w:rPr>
                <w:sz w:val="20"/>
                <w:szCs w:val="20"/>
                <w:color w:val="auto"/>
              </w:rPr>
            </w:pPr>
            <w:r>
              <w:rPr>
                <w:rFonts w:ascii="Times New Roman" w:cs="Times New Roman" w:eastAsia="Times New Roman" w:hAnsi="Times New Roman"/>
                <w:sz w:val="16"/>
                <w:szCs w:val="16"/>
                <w:b w:val="1"/>
                <w:bCs w:val="1"/>
                <w:color w:val="auto"/>
              </w:rPr>
              <w:t>Total Non-controlled/Non-affiliate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$ 160,994,161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$ 147,167,535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72.37%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Headquarters/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3"/>
        </w:trPr>
        <w:tc>
          <w:tcPr>
            <w:tcW w:w="346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Industry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227"/>
        </w:trPr>
        <w:tc>
          <w:tcPr>
            <w:tcW w:w="3360" w:type="dxa"/>
            <w:vAlign w:val="bottom"/>
            <w:tcBorders>
              <w:top w:val="single" w:sz="8" w:color="auto"/>
            </w:tcBorders>
            <w:gridSpan w:val="8"/>
            <w:shd w:val="clear" w:color="auto" w:fill="CCEEFF"/>
          </w:tcPr>
          <w:p>
            <w:pPr>
              <w:spacing w:after="0" w:line="227" w:lineRule="exact"/>
              <w:rPr>
                <w:sz w:val="20"/>
                <w:szCs w:val="20"/>
                <w:color w:val="auto"/>
              </w:rPr>
            </w:pPr>
            <w:r>
              <w:rPr>
                <w:rFonts w:ascii="Times New Roman" w:cs="Times New Roman" w:eastAsia="Times New Roman" w:hAnsi="Times New Roman"/>
                <w:sz w:val="16"/>
                <w:szCs w:val="16"/>
                <w:b w:val="1"/>
                <w:bCs w:val="1"/>
                <w:color w:val="auto"/>
              </w:rPr>
              <w:t>NON-CONTROLLED/AFFILIATE</w:t>
            </w:r>
            <w:r>
              <w:rPr>
                <w:rFonts w:ascii="Times New Roman" w:cs="Times New Roman" w:eastAsia="Times New Roman" w:hAnsi="Times New Roman"/>
                <w:sz w:val="26"/>
                <w:szCs w:val="26"/>
                <w:b w:val="1"/>
                <w:bCs w:val="1"/>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StormWind, LLC</w:t>
            </w:r>
          </w:p>
        </w:tc>
        <w:tc>
          <w:tcPr>
            <w:tcW w:w="160" w:type="dxa"/>
            <w:vAlign w:val="bottom"/>
            <w:tcBorders>
              <w:bottom w:val="single" w:sz="8" w:color="auto"/>
            </w:tcBorders>
            <w:gridSpan w:val="2"/>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(5)</w:t>
            </w:r>
          </w:p>
        </w:tc>
        <w:tc>
          <w:tcPr>
            <w:tcW w:w="100" w:type="dxa"/>
            <w:vAlign w:val="bottom"/>
            <w:vMerge w:val="restart"/>
          </w:tcPr>
          <w:p>
            <w:pPr>
              <w:spacing w:after="0"/>
              <w:rPr>
                <w:sz w:val="11"/>
                <w:szCs w:val="11"/>
                <w:color w:val="auto"/>
              </w:rPr>
            </w:pPr>
          </w:p>
        </w:tc>
        <w:tc>
          <w:tcPr>
            <w:tcW w:w="1020" w:type="dxa"/>
            <w:vAlign w:val="bottom"/>
            <w:vMerge w:val="restart"/>
          </w:tcPr>
          <w:p>
            <w:pPr>
              <w:spacing w:after="0"/>
              <w:rPr>
                <w:sz w:val="11"/>
                <w:szCs w:val="11"/>
                <w:color w:val="auto"/>
              </w:rPr>
            </w:pPr>
          </w:p>
        </w:tc>
        <w:tc>
          <w:tcPr>
            <w:tcW w:w="420" w:type="dxa"/>
            <w:vAlign w:val="bottom"/>
            <w:vMerge w:val="restart"/>
          </w:tcPr>
          <w:p>
            <w:pPr>
              <w:spacing w:after="0"/>
              <w:rPr>
                <w:sz w:val="11"/>
                <w:szCs w:val="11"/>
                <w:color w:val="auto"/>
              </w:rPr>
            </w:pPr>
          </w:p>
        </w:tc>
        <w:tc>
          <w:tcPr>
            <w:tcW w:w="380" w:type="dxa"/>
            <w:vAlign w:val="bottom"/>
            <w:vMerge w:val="restart"/>
          </w:tcPr>
          <w:p>
            <w:pPr>
              <w:spacing w:after="0"/>
              <w:rPr>
                <w:sz w:val="11"/>
                <w:szCs w:val="11"/>
                <w:color w:val="auto"/>
              </w:rPr>
            </w:pPr>
          </w:p>
        </w:tc>
        <w:tc>
          <w:tcPr>
            <w:tcW w:w="180" w:type="dxa"/>
            <w:vAlign w:val="bottom"/>
            <w:gridSpan w:val="2"/>
            <w:vMerge w:val="restart"/>
          </w:tcPr>
          <w:p>
            <w:pPr>
              <w:spacing w:after="0"/>
              <w:rPr>
                <w:sz w:val="11"/>
                <w:szCs w:val="11"/>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8"/>
              </w:rPr>
              <w:t>Scottsdale, AZ</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200" w:type="dxa"/>
            <w:vAlign w:val="bottom"/>
            <w:tcBorders>
              <w:bottom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D 8%</w:t>
            </w: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Interactive Learning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11/26/2019</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329,337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257,267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653,975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91"/>
        </w:trPr>
        <w:tc>
          <w:tcPr>
            <w:tcW w:w="34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1/7/2014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2,779,134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4,000,787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6,804,933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191"/>
        </w:trPr>
        <w:tc>
          <w:tcPr>
            <w:tcW w:w="3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 8%</w:t>
            </w:r>
          </w:p>
        </w:tc>
        <w:tc>
          <w:tcPr>
            <w:tcW w:w="2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12/16/2011</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3,279,629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2,019,687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4,751,064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7"/>
        </w:trPr>
        <w:tc>
          <w:tcPr>
            <w:tcW w:w="34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Preferred shares, Series A 8%</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2/25/2014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366,666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110,000</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325,903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bottom w:val="single" w:sz="8" w:color="CCEEFF"/>
            </w:tcBorders>
            <w:gridSpan w:val="9"/>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6,387,741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12,535,875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03"/>
        </w:trPr>
        <w:tc>
          <w:tcPr>
            <w:tcW w:w="2900" w:type="dxa"/>
            <w:vAlign w:val="bottom"/>
            <w:gridSpan w:val="6"/>
            <w:vMerge w:val="restart"/>
          </w:tcPr>
          <w:p>
            <w:pPr>
              <w:spacing w:after="0" w:line="163" w:lineRule="exact"/>
              <w:rPr>
                <w:sz w:val="20"/>
                <w:szCs w:val="20"/>
                <w:color w:val="auto"/>
              </w:rPr>
            </w:pPr>
            <w:r>
              <w:rPr>
                <w:rFonts w:ascii="Times New Roman" w:cs="Times New Roman" w:eastAsia="Times New Roman" w:hAnsi="Times New Roman"/>
                <w:sz w:val="16"/>
                <w:szCs w:val="16"/>
                <w:b w:val="1"/>
                <w:bCs w:val="1"/>
                <w:color w:val="auto"/>
                <w:w w:val="98"/>
              </w:rPr>
              <w:t>PSQ Holdings, Inc. (d/b/a PublicSquare)**</w:t>
            </w:r>
          </w:p>
        </w:tc>
        <w:tc>
          <w:tcPr>
            <w:tcW w:w="380" w:type="dxa"/>
            <w:vAlign w:val="bottom"/>
            <w:tcBorders>
              <w:bottom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(3)(15)</w:t>
            </w:r>
          </w:p>
        </w:tc>
        <w:tc>
          <w:tcPr>
            <w:tcW w:w="180" w:type="dxa"/>
            <w:vAlign w:val="bottom"/>
            <w:gridSpan w:val="2"/>
            <w:vMerge w:val="restart"/>
          </w:tcPr>
          <w:p>
            <w:pPr>
              <w:spacing w:after="0"/>
              <w:rPr>
                <w:sz w:val="8"/>
                <w:szCs w:val="8"/>
                <w:color w:val="auto"/>
              </w:rPr>
            </w:pPr>
          </w:p>
        </w:tc>
        <w:tc>
          <w:tcPr>
            <w:tcW w:w="2480" w:type="dxa"/>
            <w:vAlign w:val="bottom"/>
            <w:gridSpan w:val="2"/>
            <w:vMerge w:val="restart"/>
          </w:tcPr>
          <w:p>
            <w:pPr>
              <w:jc w:val="center"/>
              <w:ind w:right="100"/>
              <w:spacing w:after="0" w:line="163" w:lineRule="exact"/>
              <w:rPr>
                <w:sz w:val="20"/>
                <w:szCs w:val="20"/>
                <w:color w:val="auto"/>
              </w:rPr>
            </w:pPr>
            <w:r>
              <w:rPr>
                <w:rFonts w:ascii="Times New Roman" w:cs="Times New Roman" w:eastAsia="Times New Roman" w:hAnsi="Times New Roman"/>
                <w:sz w:val="16"/>
                <w:szCs w:val="16"/>
                <w:color w:val="auto"/>
                <w:w w:val="98"/>
              </w:rPr>
              <w:t>West Palm Beach, FL</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900" w:type="dxa"/>
            <w:vAlign w:val="bottom"/>
            <w:tcBorders>
              <w:bottom w:val="single" w:sz="8" w:color="auto"/>
            </w:tcBorders>
            <w:gridSpan w:val="6"/>
            <w:vMerge w:val="continue"/>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Class A</w:t>
            </w: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E-Commerce Marketplace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4/1/2021</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1,976,032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1,556,587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8,542,386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174"/>
        </w:trPr>
        <w:tc>
          <w:tcPr>
            <w:tcW w:w="346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color w:val="auto"/>
              </w:rPr>
              <w:t>Warrants, Strike Price $11.50, Expiration Date</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7/19/2028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4/1/2021</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2,396,037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1,028,653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1,964,750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bottom w:val="single" w:sz="8" w:color="CCEEFF"/>
            </w:tcBorders>
            <w:gridSpan w:val="9"/>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2,585,240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10,507,136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9"/>
        </w:trPr>
        <w:tc>
          <w:tcPr>
            <w:tcW w:w="2480" w:type="dxa"/>
            <w:vAlign w:val="bottom"/>
            <w:tcBorders>
              <w:bottom w:val="single" w:sz="8" w:color="auto"/>
            </w:tcBorders>
            <w:gridSpan w:val="5"/>
          </w:tcPr>
          <w:p>
            <w:pPr>
              <w:spacing w:after="0" w:line="139" w:lineRule="exact"/>
              <w:rPr>
                <w:sz w:val="20"/>
                <w:szCs w:val="20"/>
                <w:color w:val="auto"/>
              </w:rPr>
            </w:pPr>
            <w:r>
              <w:rPr>
                <w:rFonts w:ascii="Times New Roman" w:cs="Times New Roman" w:eastAsia="Times New Roman" w:hAnsi="Times New Roman"/>
                <w:sz w:val="16"/>
                <w:szCs w:val="16"/>
                <w:b w:val="1"/>
                <w:bCs w:val="1"/>
                <w:color w:val="auto"/>
                <w:w w:val="97"/>
              </w:rPr>
              <w:t>OneValley, Inc. (f/k/a NestGSV, Inc.)</w:t>
            </w:r>
          </w:p>
        </w:tc>
        <w:tc>
          <w:tcPr>
            <w:tcW w:w="980" w:type="dxa"/>
            <w:vAlign w:val="bottom"/>
            <w:gridSpan w:val="4"/>
          </w:tcPr>
          <w:p>
            <w:pPr>
              <w:spacing w:after="0"/>
              <w:rPr>
                <w:sz w:val="12"/>
                <w:szCs w:val="12"/>
                <w:color w:val="auto"/>
              </w:rPr>
            </w:pPr>
          </w:p>
        </w:tc>
        <w:tc>
          <w:tcPr>
            <w:tcW w:w="24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6"/>
                <w:szCs w:val="16"/>
                <w:color w:val="auto"/>
                <w:w w:val="98"/>
              </w:rPr>
              <w:t>San Mateo, CA</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460" w:type="dxa"/>
            <w:vAlign w:val="bottom"/>
            <w:gridSpan w:val="9"/>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rPr>
              <w:t>Derivative Security, Expiration Date 8/23/2024</w:t>
            </w:r>
            <w:r>
              <w:rPr>
                <w:rFonts w:ascii="Times New Roman" w:cs="Times New Roman" w:eastAsia="Times New Roman" w:hAnsi="Times New Roman"/>
                <w:sz w:val="26"/>
                <w:szCs w:val="26"/>
                <w:color w:val="auto"/>
                <w:vertAlign w:val="superscript"/>
              </w:rPr>
              <w:t>(9)</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Global Innovation Platform</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8/23/2019</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8,555,124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620,927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43"/>
        </w:trPr>
        <w:tc>
          <w:tcPr>
            <w:tcW w:w="3460" w:type="dxa"/>
            <w:vAlign w:val="bottom"/>
            <w:gridSpan w:val="9"/>
          </w:tcPr>
          <w:p>
            <w:pPr>
              <w:spacing w:after="0" w:line="238" w:lineRule="exact"/>
              <w:rPr>
                <w:sz w:val="20"/>
                <w:szCs w:val="20"/>
                <w:color w:val="auto"/>
              </w:rPr>
            </w:pPr>
            <w:r>
              <w:rPr>
                <w:rFonts w:ascii="Times New Roman" w:cs="Times New Roman" w:eastAsia="Times New Roman" w:hAnsi="Times New Roman"/>
                <w:sz w:val="16"/>
                <w:szCs w:val="16"/>
                <w:color w:val="auto"/>
              </w:rPr>
              <w:t>Convertible Promissory Note 8% Due 8/23/2024</w:t>
            </w:r>
            <w:r>
              <w:rPr>
                <w:rFonts w:ascii="Times New Roman" w:cs="Times New Roman" w:eastAsia="Times New Roman" w:hAnsi="Times New Roman"/>
                <w:sz w:val="26"/>
                <w:szCs w:val="26"/>
                <w:color w:val="auto"/>
                <w:vertAlign w:val="superscript"/>
              </w:rPr>
              <w:t>(4)</w:t>
            </w: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2/17/2016</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1,010,198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1,030,176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1,267,395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bottom w:val="single" w:sz="8" w:color="CCEEFF"/>
            </w:tcBorders>
            <w:gridSpan w:val="9"/>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9,585,300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1,888,322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9"/>
        </w:trPr>
        <w:tc>
          <w:tcPr>
            <w:tcW w:w="3460" w:type="dxa"/>
            <w:vAlign w:val="bottom"/>
            <w:gridSpan w:val="9"/>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Maven Research, Inc.</w:t>
            </w:r>
          </w:p>
        </w:tc>
        <w:tc>
          <w:tcPr>
            <w:tcW w:w="248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6"/>
                <w:szCs w:val="16"/>
                <w:color w:val="auto"/>
                <w:w w:val="99"/>
              </w:rPr>
              <w:t>San Francisco, CA</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Knowledge Networks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7/2/2012</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318,979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2,000,447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4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Preferred shares, Series B</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2/28/2012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49,505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217,206</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bottom w:val="single" w:sz="8" w:color="CCEEFF"/>
            </w:tcBorders>
            <w:gridSpan w:val="9"/>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2,217,653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39"/>
        </w:trPr>
        <w:tc>
          <w:tcPr>
            <w:tcW w:w="1220" w:type="dxa"/>
            <w:vAlign w:val="bottom"/>
            <w:tcBorders>
              <w:bottom w:val="single" w:sz="8" w:color="auto"/>
            </w:tcBorders>
            <w:gridSpan w:val="2"/>
          </w:tcPr>
          <w:p>
            <w:pPr>
              <w:spacing w:after="0" w:line="139" w:lineRule="exact"/>
              <w:rPr>
                <w:sz w:val="20"/>
                <w:szCs w:val="20"/>
                <w:color w:val="auto"/>
              </w:rPr>
            </w:pPr>
            <w:r>
              <w:rPr>
                <w:rFonts w:ascii="Times New Roman" w:cs="Times New Roman" w:eastAsia="Times New Roman" w:hAnsi="Times New Roman"/>
                <w:sz w:val="16"/>
                <w:szCs w:val="16"/>
                <w:b w:val="1"/>
                <w:bCs w:val="1"/>
                <w:color w:val="auto"/>
                <w:w w:val="98"/>
              </w:rPr>
              <w:t>Curious.com, Inc.</w:t>
            </w:r>
          </w:p>
        </w:tc>
        <w:tc>
          <w:tcPr>
            <w:tcW w:w="2240" w:type="dxa"/>
            <w:vAlign w:val="bottom"/>
            <w:gridSpan w:val="7"/>
          </w:tcPr>
          <w:p>
            <w:pPr>
              <w:spacing w:after="0"/>
              <w:rPr>
                <w:sz w:val="12"/>
                <w:szCs w:val="12"/>
                <w:color w:val="auto"/>
              </w:rPr>
            </w:pPr>
          </w:p>
        </w:tc>
        <w:tc>
          <w:tcPr>
            <w:tcW w:w="24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6"/>
                <w:szCs w:val="16"/>
                <w:color w:val="auto"/>
              </w:rPr>
              <w:t>Menlo Park, CA</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Online Education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11/22/2013</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1,135,944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12,000,006</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96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Non-controlled/Affiliate</w:t>
            </w:r>
          </w:p>
        </w:tc>
        <w:tc>
          <w:tcPr>
            <w:tcW w:w="3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32,775,940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24,931,333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12.26%</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960" w:type="dxa"/>
            <w:vAlign w:val="bottom"/>
            <w:gridSpan w:val="7"/>
            <w:shd w:val="clear" w:color="auto" w:fill="CCEEFF"/>
          </w:tcPr>
          <w:p>
            <w:pPr>
              <w:spacing w:after="0" w:line="227" w:lineRule="exact"/>
              <w:rPr>
                <w:sz w:val="20"/>
                <w:szCs w:val="20"/>
                <w:color w:val="auto"/>
              </w:rPr>
            </w:pPr>
            <w:r>
              <w:rPr>
                <w:rFonts w:ascii="Times New Roman" w:cs="Times New Roman" w:eastAsia="Times New Roman" w:hAnsi="Times New Roman"/>
                <w:sz w:val="16"/>
                <w:szCs w:val="16"/>
                <w:b w:val="1"/>
                <w:bCs w:val="1"/>
                <w:color w:val="auto"/>
              </w:rPr>
              <w:t>CONTROLLED</w:t>
            </w:r>
            <w:r>
              <w:rPr>
                <w:rFonts w:ascii="Times New Roman" w:cs="Times New Roman" w:eastAsia="Times New Roman" w:hAnsi="Times New Roman"/>
                <w:sz w:val="26"/>
                <w:szCs w:val="26"/>
                <w:b w:val="1"/>
                <w:bCs w:val="1"/>
                <w:color w:val="auto"/>
                <w:vertAlign w:val="superscript"/>
              </w:rPr>
              <w:t>(2)</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tcBorders>
              <w:bottom w:val="single" w:sz="8" w:color="auto"/>
            </w:tcBorders>
            <w:gridSpan w:val="6"/>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7"/>
              </w:rPr>
              <w:t>Architect Capital PayJoy SPV, LLC**</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00" w:type="dxa"/>
            <w:vAlign w:val="bottom"/>
          </w:tcPr>
          <w:p>
            <w:pPr>
              <w:jc w:val="center"/>
              <w:ind w:left="60"/>
              <w:spacing w:after="0" w:line="155" w:lineRule="exact"/>
              <w:rPr>
                <w:sz w:val="20"/>
                <w:szCs w:val="20"/>
                <w:color w:val="auto"/>
              </w:rPr>
            </w:pPr>
            <w:r>
              <w:rPr>
                <w:rFonts w:ascii="Times New Roman" w:cs="Times New Roman" w:eastAsia="Times New Roman" w:hAnsi="Times New Roman"/>
                <w:sz w:val="16"/>
                <w:szCs w:val="16"/>
                <w:color w:val="auto"/>
                <w:w w:val="99"/>
              </w:rPr>
              <w:t>San Francisco, CA</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Membership Interest in Lending SPV***</w:t>
            </w:r>
          </w:p>
        </w:tc>
        <w:tc>
          <w:tcPr>
            <w:tcW w:w="360" w:type="dxa"/>
            <w:vAlign w:val="bottom"/>
            <w:shd w:val="clear" w:color="auto" w:fill="CCEEFF"/>
          </w:tcPr>
          <w:p>
            <w:pPr>
              <w:spacing w:after="0"/>
              <w:rPr>
                <w:sz w:val="17"/>
                <w:szCs w:val="17"/>
                <w:color w:val="auto"/>
              </w:rPr>
            </w:pPr>
          </w:p>
        </w:tc>
        <w:tc>
          <w:tcPr>
            <w:tcW w:w="250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8"/>
              </w:rPr>
              <w:t>Mobile Finance Technology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3/24/2021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10,000,000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10,006,745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Colombier Sponsor II LLC**</w:t>
            </w:r>
          </w:p>
        </w:tc>
        <w:tc>
          <w:tcPr>
            <w:tcW w:w="2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(10)</w:t>
            </w:r>
          </w:p>
        </w:tc>
        <w:tc>
          <w:tcPr>
            <w:tcW w:w="760" w:type="dxa"/>
            <w:vAlign w:val="bottom"/>
            <w:gridSpan w:val="2"/>
            <w:vMerge w:val="restart"/>
          </w:tcPr>
          <w:p>
            <w:pPr>
              <w:spacing w:after="0"/>
              <w:rPr>
                <w:sz w:val="11"/>
                <w:szCs w:val="11"/>
                <w:color w:val="auto"/>
              </w:rPr>
            </w:pPr>
          </w:p>
        </w:tc>
        <w:tc>
          <w:tcPr>
            <w:tcW w:w="360" w:type="dxa"/>
            <w:vAlign w:val="bottom"/>
            <w:vMerge w:val="restart"/>
          </w:tcPr>
          <w:p>
            <w:pPr>
              <w:spacing w:after="0"/>
              <w:rPr>
                <w:sz w:val="11"/>
                <w:szCs w:val="11"/>
                <w:color w:val="auto"/>
              </w:rPr>
            </w:pPr>
          </w:p>
        </w:tc>
        <w:tc>
          <w:tcPr>
            <w:tcW w:w="2500" w:type="dxa"/>
            <w:vAlign w:val="bottom"/>
            <w:vMerge w:val="restart"/>
          </w:tcPr>
          <w:p>
            <w:pPr>
              <w:jc w:val="center"/>
              <w:ind w:left="40"/>
              <w:spacing w:after="0"/>
              <w:rPr>
                <w:sz w:val="20"/>
                <w:szCs w:val="20"/>
                <w:color w:val="auto"/>
              </w:rPr>
            </w:pPr>
            <w:r>
              <w:rPr>
                <w:rFonts w:ascii="Times New Roman" w:cs="Times New Roman" w:eastAsia="Times New Roman" w:hAnsi="Times New Roman"/>
                <w:sz w:val="16"/>
                <w:szCs w:val="16"/>
                <w:color w:val="auto"/>
                <w:w w:val="98"/>
              </w:rPr>
              <w:t>Palm Beach, FL</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980" w:type="dxa"/>
            <w:vAlign w:val="bottom"/>
            <w:tcBorders>
              <w:bottom w:val="single" w:sz="8" w:color="auto"/>
            </w:tcBorders>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50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500" w:type="dxa"/>
            <w:vAlign w:val="bottom"/>
            <w:shd w:val="clear" w:color="auto" w:fill="CCEEFF"/>
          </w:tcPr>
          <w:p>
            <w:pPr>
              <w:jc w:val="center"/>
              <w:ind w:left="40"/>
              <w:spacing w:after="0" w:line="182" w:lineRule="exact"/>
              <w:rPr>
                <w:sz w:val="20"/>
                <w:szCs w:val="20"/>
                <w:color w:val="auto"/>
              </w:rPr>
            </w:pPr>
            <w:r>
              <w:rPr>
                <w:rFonts w:ascii="Times New Roman" w:cs="Times New Roman" w:eastAsia="Times New Roman" w:hAnsi="Times New Roman"/>
                <w:sz w:val="16"/>
                <w:szCs w:val="16"/>
                <w:color w:val="auto"/>
              </w:rPr>
              <w:t>Special Purpose Acquisition</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Units</w:t>
            </w:r>
          </w:p>
        </w:tc>
        <w:tc>
          <w:tcPr>
            <w:tcW w:w="360" w:type="dxa"/>
            <w:vAlign w:val="bottom"/>
            <w:shd w:val="clear" w:color="auto" w:fill="CCEEFF"/>
          </w:tcPr>
          <w:p>
            <w:pPr>
              <w:spacing w:after="0"/>
              <w:rPr>
                <w:sz w:val="18"/>
                <w:szCs w:val="18"/>
                <w:color w:val="auto"/>
              </w:rPr>
            </w:pPr>
          </w:p>
        </w:tc>
        <w:tc>
          <w:tcPr>
            <w:tcW w:w="250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Company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11/20/2023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842,289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1,101,695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Class W Units</w:t>
            </w:r>
          </w:p>
        </w:tc>
        <w:tc>
          <w:tcPr>
            <w:tcW w:w="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760,651</w:t>
            </w: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498,305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tcBorders>
              <w:top w:val="single" w:sz="8" w:color="CCEEFF"/>
              <w:bottom w:val="single" w:sz="8" w:color="CCEEFF"/>
            </w:tcBorders>
            <w:gridSpan w:val="7"/>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1,602,940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820" w:type="dxa"/>
            <w:vAlign w:val="bottom"/>
            <w:gridSpan w:val="9"/>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SPBRX, INC. (f/k/a GSV Sustainability Partners,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gridSpan w:val="4"/>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980" w:type="dxa"/>
            <w:vAlign w:val="bottom"/>
            <w:gridSpan w:val="8"/>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Inc.)</w:t>
            </w:r>
          </w:p>
        </w:tc>
        <w:tc>
          <w:tcPr>
            <w:tcW w:w="360" w:type="dxa"/>
            <w:vAlign w:val="bottom"/>
          </w:tcPr>
          <w:p>
            <w:pPr>
              <w:spacing w:after="0"/>
              <w:rPr>
                <w:sz w:val="14"/>
                <w:szCs w:val="14"/>
                <w:color w:val="auto"/>
              </w:rPr>
            </w:pPr>
          </w:p>
        </w:tc>
        <w:tc>
          <w:tcPr>
            <w:tcW w:w="2500" w:type="dxa"/>
            <w:vAlign w:val="bottom"/>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9"/>
              </w:rPr>
              <w:t>Cupertino, CA</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29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Class A</w:t>
            </w:r>
          </w:p>
        </w:tc>
        <w:tc>
          <w:tcPr>
            <w:tcW w:w="360" w:type="dxa"/>
            <w:vAlign w:val="bottom"/>
            <w:shd w:val="clear" w:color="auto" w:fill="CCEEFF"/>
          </w:tcPr>
          <w:p>
            <w:pPr>
              <w:spacing w:after="0"/>
              <w:rPr>
                <w:sz w:val="17"/>
                <w:szCs w:val="17"/>
                <w:color w:val="auto"/>
              </w:rPr>
            </w:pPr>
          </w:p>
        </w:tc>
        <w:tc>
          <w:tcPr>
            <w:tcW w:w="250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w w:val="98"/>
              </w:rPr>
              <w:t>Clean Technology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4/15/2014</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7,151,412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382,381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4/15/2014</w:t>
            </w:r>
          </w:p>
        </w:tc>
        <w:tc>
          <w:tcPr>
            <w:tcW w:w="20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tcBorders>
              <w:top w:val="single" w:sz="8" w:color="CCEEFF"/>
              <w:bottom w:val="single" w:sz="8" w:color="CCEEFF"/>
            </w:tcBorders>
            <w:gridSpan w:val="7"/>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25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7,161,412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382,381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6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Controlled</w:t>
            </w:r>
          </w:p>
        </w:tc>
        <w:tc>
          <w:tcPr>
            <w:tcW w:w="3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18,771,097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11,982,381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6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3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212,541,198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184,081,249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90.52%</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2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4"/>
              </w:rPr>
              <w:t>U.S. Treasury</w:t>
            </w:r>
          </w:p>
        </w:tc>
        <w:tc>
          <w:tcPr>
            <w:tcW w:w="1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85"/>
              </w:rPr>
              <w:t>(3)</w:t>
            </w:r>
          </w:p>
        </w:tc>
        <w:tc>
          <w:tcPr>
            <w:tcW w:w="1900" w:type="dxa"/>
            <w:vAlign w:val="bottom"/>
            <w:tcBorders>
              <w:bottom w:val="single" w:sz="8" w:color="CCEEFF"/>
            </w:tcBorders>
            <w:gridSpan w:val="4"/>
            <w:vMerge w:val="restart"/>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25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20" w:type="dxa"/>
            <w:vAlign w:val="bottom"/>
            <w:tcBorders>
              <w:bottom w:val="single" w:sz="8" w:color="auto"/>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900" w:type="dxa"/>
            <w:vAlign w:val="bottom"/>
            <w:tcBorders>
              <w:bottom w:val="single" w:sz="8" w:color="CCEEFF"/>
            </w:tcBorders>
            <w:gridSpan w:val="4"/>
            <w:vMerge w:val="continue"/>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25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U.S. Treasury bill, 0%, due 3/28/2024***</w:t>
            </w:r>
          </w:p>
        </w:tc>
        <w:tc>
          <w:tcPr>
            <w:tcW w:w="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12/29/2023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35,000,000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34,547,625</w:t>
            </w:r>
          </w:p>
        </w:tc>
        <w:tc>
          <w:tcPr>
            <w:tcW w:w="1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34,559,949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bill, 0%, due 6/27/2024***</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12/29/2023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29,245,079</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29,250,906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960" w:type="dxa"/>
            <w:vAlign w:val="bottom"/>
            <w:tcBorders>
              <w:top w:val="single" w:sz="8" w:color="CCEEFF"/>
              <w:bottom w:val="single" w:sz="8" w:color="CCEEFF"/>
            </w:tcBorders>
            <w:gridSpan w:val="7"/>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CCEEFF"/>
              <w:bottom w:val="single" w:sz="8" w:color="CCEEFF"/>
            </w:tcBorders>
          </w:tcPr>
          <w:p>
            <w:pPr>
              <w:spacing w:after="0"/>
              <w:rPr>
                <w:sz w:val="15"/>
                <w:szCs w:val="15"/>
                <w:color w:val="auto"/>
              </w:rPr>
            </w:pPr>
          </w:p>
        </w:tc>
        <w:tc>
          <w:tcPr>
            <w:tcW w:w="25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63,792,704</w:t>
            </w:r>
          </w:p>
        </w:tc>
        <w:tc>
          <w:tcPr>
            <w:tcW w:w="2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63,810,855</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31.38</w:t>
            </w:r>
          </w:p>
        </w:tc>
        <w:tc>
          <w:tcPr>
            <w:tcW w:w="18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276,333,902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247,892,104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60" w:type="dxa"/>
            <w:vAlign w:val="bottom"/>
            <w:gridSpan w:val="7"/>
          </w:tcPr>
          <w:p>
            <w:pPr>
              <w:jc w:val="center"/>
              <w:ind w:left="140"/>
              <w:spacing w:after="0"/>
              <w:rPr>
                <w:sz w:val="20"/>
                <w:szCs w:val="20"/>
                <w:color w:val="auto"/>
              </w:rPr>
            </w:pPr>
            <w:r>
              <w:rPr>
                <w:rFonts w:ascii="Times New Roman" w:cs="Times New Roman" w:eastAsia="Times New Roman" w:hAnsi="Times New Roman"/>
                <w:sz w:val="16"/>
                <w:szCs w:val="16"/>
                <w:i w:val="1"/>
                <w:iCs w:val="1"/>
                <w:color w:val="auto"/>
                <w:w w:val="99"/>
              </w:rPr>
              <w:t>See accompanying notes to condensed consolidated financial statements.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8" w:right="319" w:bottom="1440" w:gutter="0" w:footer="0" w:header="0"/>
        </w:sectPr>
      </w:pPr>
    </w:p>
    <w:bookmarkStart w:id="13" w:name="page14"/>
    <w:bookmarkEnd w:id="13"/>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CONDENSED CONSOLIDATED SCHEDULE OF INVESTMENTS - continued</w:t>
      </w:r>
    </w:p>
    <w:p>
      <w:pPr>
        <w:spacing w:after="0" w:line="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7887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7" w:lineRule="exact"/>
        <w:rPr>
          <w:sz w:val="20"/>
          <w:szCs w:val="20"/>
          <w:color w:val="auto"/>
        </w:rPr>
      </w:pPr>
    </w:p>
    <w:p>
      <w:pPr>
        <w:jc w:val="both"/>
        <w:ind w:left="285" w:hanging="285"/>
        <w:spacing w:after="0" w:line="255" w:lineRule="auto"/>
        <w:tabs>
          <w:tab w:leader="none" w:pos="28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 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285" w:hanging="285"/>
        <w:spacing w:after="0" w:line="280" w:lineRule="auto"/>
        <w:tabs>
          <w:tab w:leader="none" w:pos="28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December 31, 2023, 14.03% of its total investments are non-qualifying assets.</w:t>
      </w:r>
    </w:p>
    <w:p>
      <w:pPr>
        <w:spacing w:after="0" w:line="143"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22" w:lineRule="exact"/>
        <w:rPr>
          <w:sz w:val="20"/>
          <w:szCs w:val="20"/>
          <w:color w:val="auto"/>
        </w:rPr>
      </w:pPr>
    </w:p>
    <w:p>
      <w:pPr>
        <w:jc w:val="both"/>
        <w:ind w:left="565" w:right="20" w:hanging="565"/>
        <w:spacing w:after="0" w:line="259" w:lineRule="auto"/>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60" w:lineRule="exact"/>
        <w:rPr>
          <w:rFonts w:ascii="Times New Roman" w:cs="Times New Roman" w:eastAsia="Times New Roman" w:hAnsi="Times New Roman"/>
          <w:sz w:val="16"/>
          <w:szCs w:val="16"/>
          <w:color w:val="auto"/>
        </w:rPr>
      </w:pPr>
    </w:p>
    <w:p>
      <w:pPr>
        <w:jc w:val="both"/>
        <w:ind w:left="565" w:hanging="565"/>
        <w:spacing w:after="0" w:line="259" w:lineRule="auto"/>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6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198"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investments noted had been placed on non-accrual status.</w:t>
      </w:r>
    </w:p>
    <w:p>
      <w:pPr>
        <w:spacing w:after="0" w:line="198"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198" w:lineRule="exact"/>
        <w:rPr>
          <w:rFonts w:ascii="Times New Roman" w:cs="Times New Roman" w:eastAsia="Times New Roman" w:hAnsi="Times New Roman"/>
          <w:sz w:val="16"/>
          <w:szCs w:val="16"/>
          <w:color w:val="auto"/>
        </w:rPr>
      </w:pPr>
    </w:p>
    <w:p>
      <w:pPr>
        <w:ind w:left="565" w:right="20" w:hanging="565"/>
        <w:spacing w:after="0" w:line="280" w:lineRule="auto"/>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 in preferred shares of Residential Homes for Rent, LLC (d/b/a Second Avenue) are held through SuRo Capital Corp.’s wholly owned subsidiary, GSVC AV Holdings, Inc.</w:t>
      </w:r>
    </w:p>
    <w:p>
      <w:pPr>
        <w:spacing w:after="0" w:line="143" w:lineRule="exact"/>
        <w:rPr>
          <w:rFonts w:ascii="Times New Roman" w:cs="Times New Roman" w:eastAsia="Times New Roman" w:hAnsi="Times New Roman"/>
          <w:sz w:val="16"/>
          <w:szCs w:val="16"/>
          <w:color w:val="auto"/>
        </w:rPr>
      </w:pPr>
    </w:p>
    <w:p>
      <w:pPr>
        <w:jc w:val="both"/>
        <w:ind w:left="565" w:right="20" w:hanging="565"/>
        <w:spacing w:after="0" w:line="264" w:lineRule="auto"/>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Commercial Streaming Solutions Inc. (d/b/a BettorView), YouBet Technology, Inc. (d/b/a FanPower), Rebric, Inc. (d/b/a Compliable), EDGE Markets, Inc., Xgroup Holdings Limited (d/b/a Xpoint), and Stake Trade, Inc. (d/b/a Prophet Exchange) are held through SuRo Capital Corp.’s wholly owned subsidiary, SuRo Capital Sports, LLC (“SuRo Sports”).</w:t>
      </w:r>
    </w:p>
    <w:p>
      <w:pPr>
        <w:spacing w:after="0" w:line="156" w:lineRule="exact"/>
        <w:rPr>
          <w:rFonts w:ascii="Times New Roman" w:cs="Times New Roman" w:eastAsia="Times New Roman" w:hAnsi="Times New Roman"/>
          <w:sz w:val="16"/>
          <w:szCs w:val="16"/>
          <w:color w:val="auto"/>
        </w:rPr>
      </w:pPr>
    </w:p>
    <w:p>
      <w:pPr>
        <w:jc w:val="both"/>
        <w:ind w:left="565" w:hanging="565"/>
        <w:spacing w:after="0" w:line="264" w:lineRule="auto"/>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True Global Ventures 4 Plus Pte Ltd are held through SuRo Capital Corp.’s wholly owned subsidiary, GSVC SVDS Holdings, Inc. On March 31, 2023, the previously unfunded capital commitment of $1.3 million was deemed fully contributed in lieu of cash distributions. On March 31, 2023, the full $2.0 million capital commitment to True Global Ventures 4 Plus Fund LP had been called and funded.</w:t>
      </w:r>
    </w:p>
    <w:p>
      <w:pPr>
        <w:spacing w:after="0" w:line="156" w:lineRule="exact"/>
        <w:rPr>
          <w:rFonts w:ascii="Times New Roman" w:cs="Times New Roman" w:eastAsia="Times New Roman" w:hAnsi="Times New Roman"/>
          <w:sz w:val="16"/>
          <w:szCs w:val="16"/>
          <w:color w:val="auto"/>
        </w:rPr>
      </w:pPr>
    </w:p>
    <w:p>
      <w:pPr>
        <w:jc w:val="both"/>
        <w:ind w:left="565" w:hanging="565"/>
        <w:spacing w:after="0" w:line="259" w:lineRule="auto"/>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60" w:lineRule="exact"/>
        <w:rPr>
          <w:rFonts w:ascii="Times New Roman" w:cs="Times New Roman" w:eastAsia="Times New Roman" w:hAnsi="Times New Roman"/>
          <w:sz w:val="16"/>
          <w:szCs w:val="16"/>
          <w:color w:val="auto"/>
        </w:rPr>
      </w:pPr>
    </w:p>
    <w:p>
      <w:pPr>
        <w:ind w:left="565" w:right="20" w:hanging="565"/>
        <w:spacing w:after="0" w:line="280" w:lineRule="auto"/>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43"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9, 2021, Fullbridge, Inc.’s obligations under its financing arrangements with the Company became past due.</w:t>
      </w:r>
    </w:p>
    <w:p>
      <w:pPr>
        <w:spacing w:after="0" w:line="198" w:lineRule="exact"/>
        <w:rPr>
          <w:rFonts w:ascii="Times New Roman" w:cs="Times New Roman" w:eastAsia="Times New Roman" w:hAnsi="Times New Roman"/>
          <w:sz w:val="16"/>
          <w:szCs w:val="16"/>
          <w:color w:val="auto"/>
        </w:rPr>
      </w:pPr>
    </w:p>
    <w:p>
      <w:pPr>
        <w:jc w:val="both"/>
        <w:ind w:left="565" w:right="20" w:hanging="565"/>
        <w:spacing w:after="0" w:line="259" w:lineRule="auto"/>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13, 2023, SuRo Capital Corp. invested $2.0 million in Orchard Technologies, Inc.’s Series 1 Senior Preferred financing round. As part of the transaction, SuRo Capital Corp. exchanged a portion of its existing Series D Preferred shares investment for Series 1 Senior Preferred shares, Series 2 Senior Preferred shares, and Common shares. Additionally, SuRo Capital Corp.’s previous investment in the Simple Agreement for Future Equity was converted into additional Series 1 Senior Preferred shares.</w:t>
      </w:r>
    </w:p>
    <w:p>
      <w:pPr>
        <w:spacing w:after="0" w:line="160" w:lineRule="exact"/>
        <w:rPr>
          <w:rFonts w:ascii="Times New Roman" w:cs="Times New Roman" w:eastAsia="Times New Roman" w:hAnsi="Times New Roman"/>
          <w:sz w:val="16"/>
          <w:szCs w:val="16"/>
          <w:color w:val="auto"/>
        </w:rPr>
      </w:pPr>
    </w:p>
    <w:p>
      <w:pPr>
        <w:jc w:val="both"/>
        <w:ind w:left="565" w:right="20" w:hanging="565"/>
        <w:spacing w:after="0" w:line="264" w:lineRule="auto"/>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12, 2023, SuRo Capital Corp. invested $0.5 million in Shogun Enterprises, Inc. (d/b/a Hearth)’s Series B-4 Preferred financing round. As part of the transaction, the previous investment in the Convertible Note was converted into Series B-3 Preferred shares. Additionally, SuRo Capital Corp. received Common Warrants as part of the transaction.</w:t>
      </w:r>
    </w:p>
    <w:p>
      <w:pPr>
        <w:spacing w:after="0" w:line="156" w:lineRule="exact"/>
        <w:rPr>
          <w:rFonts w:ascii="Times New Roman" w:cs="Times New Roman" w:eastAsia="Times New Roman" w:hAnsi="Times New Roman"/>
          <w:sz w:val="16"/>
          <w:szCs w:val="16"/>
          <w:color w:val="auto"/>
        </w:rPr>
      </w:pPr>
    </w:p>
    <w:p>
      <w:pPr>
        <w:ind w:left="565" w:right="20" w:hanging="565"/>
        <w:spacing w:after="0" w:line="280" w:lineRule="auto"/>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11, 2023, AltC Acquisition Corp. announced it signed a definitive agreement to merge with Oklo, Inc. As part of the transaction, SuRo Capital Corp.’s Share units converted to 24,900 Class A Common shares and 214,400 Class B Common shares.</w:t>
      </w:r>
    </w:p>
    <w:p>
      <w:pPr>
        <w:spacing w:after="0" w:line="143" w:lineRule="exact"/>
        <w:rPr>
          <w:rFonts w:ascii="Times New Roman" w:cs="Times New Roman" w:eastAsia="Times New Roman" w:hAnsi="Times New Roman"/>
          <w:sz w:val="16"/>
          <w:szCs w:val="16"/>
          <w:color w:val="auto"/>
        </w:rPr>
      </w:pPr>
    </w:p>
    <w:p>
      <w:pPr>
        <w:jc w:val="both"/>
        <w:ind w:left="565" w:hanging="565"/>
        <w:spacing w:after="0" w:line="256" w:lineRule="auto"/>
        <w:tabs>
          <w:tab w:leader="none" w:pos="5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19, 2023, Colombier Acquisition Corp. (“Colombier”) stockholders approved a business combination with PSQ Holdings, Inc. (d/b/a PublicSquare) and related proposals at a special meeting. Also on July 19, 2023, PSQ Holdings, Inc. announced that it had consummated the business combination with Colombier pursuant to a merger agreement between the parties, creating the resultant combined company PSQ Holdings, Inc. (d/b/a PublicSquare). SuRo Capital Corp.’s shares of PSQ Holdings, Inc. (d/b/a PublicSquare) Class A Common shares are subject to certain restrictions on transfer, while the Company’s PSQ Holdings, Inc. warrants are freely tradable.</w:t>
      </w:r>
    </w:p>
    <w:p>
      <w:pPr>
        <w:sectPr>
          <w:pgSz w:w="11900" w:h="16838" w:orient="portrait"/>
          <w:cols w:equalWidth="0" w:num="1">
            <w:col w:w="11265"/>
          </w:cols>
          <w:pgMar w:left="315" w:top="218" w:right="319" w:bottom="1440" w:gutter="0" w:footer="0" w:header="0"/>
        </w:sectPr>
      </w:pPr>
    </w:p>
    <w:p>
      <w:pPr>
        <w:spacing w:after="0" w:line="165"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1—NATURE OF OPERATIONS</w:t>
      </w:r>
    </w:p>
    <w:p>
      <w:pPr>
        <w:spacing w:after="0" w:line="20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SuRo Capital Corp. (“we”, “us”, “our”, the “Company” or “SuRo Capital”), formerly known as Sutter Rock Capital Corp. and as GSV Capital Corp. and formed in September 2010 as a Maryland corporation, is an internally 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61"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 Company’s date of inception was January 6, 2011, which is the date it commenced development stage activities. The Company’s common stock is currently listed on the Nasdaq Global Select Market under the symbol “SSSS” (formerly “GSVC”). Prior to November 24, 2021, the Company’s common stock traded on the Nasdaq Capital Market under the same symbol (“SSSS”). The Company began its investment operations during the second quarter of 2011.</w:t>
      </w:r>
    </w:p>
    <w:p>
      <w:pPr>
        <w:spacing w:after="0" w:line="157"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The table below displays the Company’s subsidiaries as of March 31, 2024, which, other than GSV Capital Lending, LLC (“GCL”) and SuRo Capital Sports,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6"/>
          <w:szCs w:val="16"/>
          <w:i w:val="1"/>
          <w:iCs w:val="1"/>
          <w:color w:val="auto"/>
        </w:rPr>
        <w:t>Basis of Consolidation</w:t>
      </w:r>
      <w:r>
        <w:rPr>
          <w:rFonts w:ascii="Times New Roman" w:cs="Times New Roman" w:eastAsia="Times New Roman" w:hAnsi="Times New Roman"/>
          <w:sz w:val="16"/>
          <w:szCs w:val="16"/>
          <w:color w:val="auto"/>
        </w:rPr>
        <w:t>” below for further detail.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Jurisdiction of</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Formation</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2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Incorporation</w:t>
            </w:r>
          </w:p>
        </w:tc>
        <w:tc>
          <w:tcPr>
            <w:tcW w:w="2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60" w:type="dxa"/>
            <w:vAlign w:val="bottom"/>
            <w:tcBorders>
              <w:bottom w:val="single" w:sz="8" w:color="CCEEFF"/>
            </w:tcBorders>
          </w:tcPr>
          <w:p>
            <w:pPr>
              <w:spacing w:after="0"/>
              <w:rPr>
                <w:sz w:val="18"/>
                <w:szCs w:val="18"/>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GCL</w:t>
            </w:r>
          </w:p>
        </w:tc>
        <w:tc>
          <w:tcPr>
            <w:tcW w:w="220" w:type="dxa"/>
            <w:vAlign w:val="bottom"/>
            <w:shd w:val="clear" w:color="auto" w:fill="CCEEFF"/>
          </w:tcPr>
          <w:p>
            <w:pPr>
              <w:spacing w:after="0"/>
              <w:rPr>
                <w:sz w:val="16"/>
                <w:szCs w:val="16"/>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Delaware</w:t>
            </w:r>
          </w:p>
        </w:tc>
        <w:tc>
          <w:tcPr>
            <w:tcW w:w="20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April 13, 2012</w:t>
            </w:r>
          </w:p>
        </w:tc>
        <w:tc>
          <w:tcPr>
            <w:tcW w:w="2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SuRo Capital Sports, LLC (“SuRo Sports”)</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Delaware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March 19, 2021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Subsidiaries below are referred to collectively as the “Taxable Subsidiaries”</w:t>
            </w:r>
          </w:p>
        </w:tc>
        <w:tc>
          <w:tcPr>
            <w:tcW w:w="1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1"/>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GSVC AE Holdings, Inc. (“GAE”)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Delaware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November 28, 2012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GSVC AV Holdings, Inc. (“GAV”)</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Delaware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November 28, 2012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GSVC SW Holdings, Inc. (“GSW”)</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Delaware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November 28, 2012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GSVC SVDS Holdings, Inc. (“SVDS”)</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Delaware</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August 13, 2013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bl>
    <w:p>
      <w:pPr>
        <w:spacing w:after="0" w:line="174"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5"/>
          <w:szCs w:val="15"/>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 capital-backed emerging companies. The Company may invest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(“SPACs”). The Company may also invest on an opportunistic basis in select publicly traded equity securities or certain non-U.S. companies that otherwise meet its investment criteria, subject to any applicable limitations under the 1940 Act.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20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6"/>
          <w:szCs w:val="16"/>
          <w:i w:val="1"/>
          <w:iCs w:val="1"/>
          <w:color w:val="auto"/>
        </w:rPr>
        <w:t>Financial Services—Investment Companies</w:t>
      </w:r>
      <w:r>
        <w:rPr>
          <w:rFonts w:ascii="Times New Roman" w:cs="Times New Roman" w:eastAsia="Times New Roman" w:hAnsi="Times New Roman"/>
          <w:sz w:val="16"/>
          <w:szCs w:val="16"/>
          <w:color w:val="auto"/>
        </w:rPr>
        <w:t>. In the opinion of management, all adjustments, all of which were of a normal recurring nature, were considered necessary for the fair presentation of consolidated financial statements for the period have been included.</w:t>
      </w:r>
    </w:p>
    <w:p>
      <w:pPr>
        <w:spacing w:after="0" w:line="164"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The results of operations for the current interim period are not necessarily indicative of results that ultimately may be achieved for any other interim period or for the year ending December 31, 2024. The interim unaudited condensed consolidated financial statements and notes hereto should be read in conjunction with the audited consolidated financial statements and notes thereto contained in the Company’s annual report on Form 10-K for the year ended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Consolidation</w:t>
      </w:r>
    </w:p>
    <w:p>
      <w:pPr>
        <w:spacing w:after="0" w:line="200"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GCL, and SuRo Sports, its wholly owned subsidiaries. All intercompany balances and transactions have been eliminated in consolidation.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0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Uncertainties and Risk Factors</w:t>
      </w:r>
    </w:p>
    <w:p>
      <w:pPr>
        <w:spacing w:after="0" w:line="200"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at Fair Value</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44"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59" w:lineRule="exact"/>
        <w:rPr>
          <w:sz w:val="20"/>
          <w:szCs w:val="20"/>
          <w:color w:val="auto"/>
        </w:rPr>
      </w:pPr>
    </w:p>
    <w:p>
      <w:pPr>
        <w:jc w:val="both"/>
        <w:ind w:right="20" w:firstLine="287"/>
        <w:spacing w:after="0" w:line="282" w:lineRule="auto"/>
        <w:rPr>
          <w:sz w:val="20"/>
          <w:szCs w:val="20"/>
          <w:color w:val="auto"/>
        </w:rPr>
      </w:pPr>
      <w:r>
        <w:rPr>
          <w:rFonts w:ascii="Times New Roman" w:cs="Times New Roman" w:eastAsia="Times New Roman" w:hAnsi="Times New Roman"/>
          <w:sz w:val="16"/>
          <w:szCs w:val="16"/>
          <w:b w:val="1"/>
          <w:bCs w:val="1"/>
          <w:color w:val="auto"/>
        </w:rPr>
        <w:t>Level 1</w:t>
      </w:r>
      <w:r>
        <w:rPr>
          <w:rFonts w:ascii="Times New Roman" w:cs="Times New Roman" w:eastAsia="Times New Roman" w:hAnsi="Times New Roman"/>
          <w:sz w:val="16"/>
          <w:szCs w:val="16"/>
          <w:color w:val="auto"/>
        </w:rPr>
        <w:t>—Valuations based on unadjusted quoted prices for identical assets or liabilities in an active market that the Company has the ability to access at the measurement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8" w:lineRule="exact"/>
        <w:rPr>
          <w:sz w:val="20"/>
          <w:szCs w:val="20"/>
          <w:color w:val="auto"/>
        </w:rPr>
      </w:pPr>
    </w:p>
    <w:p>
      <w:pPr>
        <w:jc w:val="both"/>
        <w:ind w:firstLine="287"/>
        <w:spacing w:after="0" w:line="282" w:lineRule="auto"/>
        <w:rPr>
          <w:sz w:val="20"/>
          <w:szCs w:val="20"/>
          <w:color w:val="auto"/>
        </w:rPr>
      </w:pPr>
      <w:r>
        <w:rPr>
          <w:rFonts w:ascii="Times New Roman" w:cs="Times New Roman" w:eastAsia="Times New Roman" w:hAnsi="Times New Roman"/>
          <w:sz w:val="16"/>
          <w:szCs w:val="16"/>
          <w:b w:val="1"/>
          <w:bCs w:val="1"/>
          <w:color w:val="auto"/>
        </w:rPr>
        <w:t>Level 2</w:t>
      </w:r>
      <w:r>
        <w:rPr>
          <w:rFonts w:ascii="Times New Roman" w:cs="Times New Roman" w:eastAsia="Times New Roman" w:hAnsi="Times New Roman"/>
          <w:sz w:val="16"/>
          <w:szCs w:val="16"/>
          <w:color w:val="auto"/>
        </w:rPr>
        <w:t>—Valuations based on observable inputs other than Level 1 prices, such as quoted prices for similar assets or liabilities; quoted prices in markets that are not active;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other inputs that are observable or can be corroborated by observable market data at the measurement date for substantially the full term of the assets or liabilities.</w:t>
      </w:r>
    </w:p>
    <w:p>
      <w:pPr>
        <w:spacing w:after="0" w:line="141"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b w:val="1"/>
          <w:bCs w:val="1"/>
          <w:color w:val="auto"/>
        </w:rPr>
        <w:t>Level 3</w:t>
      </w:r>
      <w:r>
        <w:rPr>
          <w:rFonts w:ascii="Times New Roman" w:cs="Times New Roman" w:eastAsia="Times New Roman" w:hAnsi="Times New Roman"/>
          <w:sz w:val="16"/>
          <w:szCs w:val="16"/>
          <w:color w:val="auto"/>
        </w:rPr>
        <w:t>—Valuations based on unobservable inputs that reflect management’s best estimate of what market participants would use in pricing the asset or liability 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57"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61"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61"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Securities for which market quotations are readily available on an exchange are valued at the most recently available closing price of such security as of the valuation date. If there are legal or contractual restrictions on the sale or use of such security that under ASC 820-10-35, as modified by ASU 2022-03 (as defined below), should be incorporated into the security’s fair value measurement as a characteristic of the security that would transfer to market participants who would buy the security, the Company will consider those restrictions in the fair value determination of that security. Contractual sale restrictions on the sale or use of a security which are an entity-specific characteristic, rather than a security-specific characteristic (as discussed in ASU 2022-03), are not considered in the fair value determinations for such securities.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65"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Securities for which reliable market quotations are not readily available or for which the pricing source does not provide a valuation or methodology, or provides a valuation or methodology that, in the judgment of management, the Company’s Board of Directors or the valuation committee of the Company’s Board of Directors (the “Valuation Committee”), does not reliably represent fair value, shall each be valued as follows:</w:t>
      </w:r>
    </w:p>
    <w:p>
      <w:pPr>
        <w:spacing w:after="0" w:line="157" w:lineRule="exact"/>
        <w:rPr>
          <w:sz w:val="20"/>
          <w:szCs w:val="20"/>
          <w:color w:val="auto"/>
        </w:rPr>
      </w:pPr>
    </w:p>
    <w:p>
      <w:pPr>
        <w:ind w:left="560" w:right="20" w:hanging="278"/>
        <w:spacing w:after="0" w:line="28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valuation process begins with each portfolio company or investment being initially valued by the internal investment professionals responsible for the portfolio investment;</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Preliminary valuation estimates are then documented and discussed with senior management;</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43" w:lineRule="exact"/>
        <w:rPr>
          <w:rFonts w:ascii="Times New Roman" w:cs="Times New Roman" w:eastAsia="Times New Roman" w:hAnsi="Times New Roman"/>
          <w:sz w:val="16"/>
          <w:szCs w:val="16"/>
          <w:color w:val="auto"/>
        </w:rPr>
      </w:pPr>
    </w:p>
    <w:p>
      <w:pPr>
        <w:jc w:val="both"/>
        <w:ind w:left="560" w:right="20" w:hanging="278"/>
        <w:spacing w:after="0" w:line="264"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56"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Board of Directors then discusses the valuations recommended by the Valuation Committee and determines in good faith the fair value of each investment in the portfolio.</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200"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In making a good faith determination of the fair value of investments, the Board of Directors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of Directors in determining the fair value of each investment.</w:t>
      </w:r>
    </w:p>
    <w:p>
      <w:pPr>
        <w:spacing w:after="0" w:line="165"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61"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 In addition, changes in the market environment and other events that may occur over the life of the investments may cause the realized gains or losses on investments to be different from the net change in unrealized appreciation or depreciation currently reflected in the condensed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202"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These investments are generally classified as Level 2 assets. The DLOM used is generally based upon the market value of publicly traded put options with similar terms. For equity securities with readily available market quotations that are subject to entity-specific contractual sale restrictions, rather than security-specific contractual sale restrictions, if such entity-specific contractual sale restrictions first applied or were modified on or after December 15, 2023, the restrictions are not considered in the determination of fair value for that security.</w:t>
      </w:r>
    </w:p>
    <w:p>
      <w:pPr>
        <w:spacing w:after="0" w:line="167"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of Directors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of Directors may also consider other events, including the transaction in which the Company acquired its securities, subsequent equity sales by the portfolio company, and mergers or acquisitions affecting the portfolio company. In addition, the Board of Directors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65"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In determining the fair value of equity or equity-linked securities (including simple agreement for future equity (“SAFE”) notes and warrants to purchase common or preferred stock) in a portfolio company, the Board of Directors considers the rights, preferences and limitations of such securities. In cases where a portfolio company’s capital structure includes multiple classes of preferred and common stock and equity-linked securities with different rights and preferences, the Board of Directors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Investments</w:t>
      </w:r>
    </w:p>
    <w:p>
      <w:pPr>
        <w:spacing w:after="0" w:line="202"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Given the nature of the Company’s current debt investments (excluding U.S. Treasuries), which are principally convertible and promissory notes issued by venture 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in good faith by the Company’s Board of Directors.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Options</w:t>
      </w:r>
    </w:p>
    <w:p>
      <w:pPr>
        <w:spacing w:after="0" w:line="202"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 Company’s Board of Directors determines the fair value of options based on methodologies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in good faith by the Company’s Board of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Special Purpose Acquisition Companies</w:t>
      </w:r>
    </w:p>
    <w:p>
      <w:pPr>
        <w:spacing w:after="0" w:line="202"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The Company’s Board of Directors measures its SPAC sponsor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of Directors utilizes the public share price of the entity, less a DLOM if there are security-specific contractual sale restrictions on selling. The Company’s SPAC investments are valued at estimated fair value as determined in good faith by the Company’s Board of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Funds</w:t>
      </w:r>
    </w:p>
    <w:p>
      <w:pPr>
        <w:spacing w:after="0" w:line="202"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In valuing the Company’s investments in venture investment funds (“Venture Investment Funds”), the Company applies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Company Investment Classification</w:t>
      </w:r>
    </w:p>
    <w:p>
      <w:pPr>
        <w:spacing w:after="0" w:line="202"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March 31, 2024 and December 31, 2023 for details regarding the nature and composition of the Company’s investment portfolio.</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Levelling Policy</w:t>
      </w:r>
    </w:p>
    <w:p>
      <w:pPr>
        <w:spacing w:after="0" w:line="202"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Transactions</w:t>
      </w:r>
    </w:p>
    <w:p>
      <w:pPr>
        <w:spacing w:after="0" w:line="198"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Valuation of Other Financial Instruments</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carrying amounts of the Company’s other, non-investment financial instruments, consisting of cash, receivables, accounts payable, and accrued expenses, approximate fair value due to their short-term nature.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w:t>
      </w:r>
    </w:p>
    <w:p>
      <w:pPr>
        <w:spacing w:after="0" w:line="202"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 Company custodies its cash with Western Alliance Trust Company, N.A., and may place cash in demand deposit accounts with other high-quality financial institutions. The cash held in these accounts may exceed the Federal Deposit Insurance Corporation insured limit. The Company believes the risk of loss associated with any uninsured balance is remote.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Escrow Proceeds Receivable</w:t>
      </w:r>
    </w:p>
    <w:p>
      <w:pPr>
        <w:spacing w:after="0" w:line="202"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Escrow proceeds receivable resulting from contingent consideration are to be recognized when the amount of the contingent consideration becomes realized or realizable. As of March 31, 2024 and December 31, 2023, the Company had $236,303 and $309,293, respectively, in escrow proceeds receivable.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Financing Costs</w:t>
      </w:r>
    </w:p>
    <w:p>
      <w:pPr>
        <w:spacing w:after="0" w:line="202"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The Company records fees and expenses incurred in connection with financing or capital raising activities other than the Company’s 6.00% Notes due 2026 as deferred financing costs. These costs are deferred and amortized as part of interest expense using the straight-line method over the respective life of the financing instrument. For modifications to a financing instrument,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The Company records fees and expenses incurred in connection with its 6.00% Notes due 2026 as deferred debt issuance costs. Such costs are reflected in the carrying value of the 6.00% Notes due 2026, and not the Company’s deferred financing costs. For debt capital raised, the associated offering costs are amortized over the life of the debt instrument. As of March 31, 2024 and December 31, 2023, the Company had deferred financing costs of $577,900 and $594,726, respectively, on the Condensed Consolidated Statement of Assets and Liabilities.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1"/>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3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1,165,526</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1,254,793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577,900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594,726</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1,743,426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1,849,519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300" w:type="dxa"/>
            <w:vAlign w:val="bottom"/>
            <w:vMerge w:val="restart"/>
          </w:tcPr>
          <w:p>
            <w:pPr>
              <w:jc w:val="right"/>
              <w:ind w:right="1200"/>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6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8"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10 — Debt Capital Activities” for further detail regarding the Company’s deferred debt issuance costs.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 &amp; Related Deposits</w:t>
      </w:r>
    </w:p>
    <w:p>
      <w:pPr>
        <w:spacing w:after="0" w:line="200" w:lineRule="exact"/>
        <w:rPr>
          <w:sz w:val="20"/>
          <w:szCs w:val="20"/>
          <w:color w:val="auto"/>
        </w:rPr>
      </w:pPr>
    </w:p>
    <w:p>
      <w:pPr>
        <w:jc w:val="both"/>
        <w:ind w:right="20" w:firstLine="358"/>
        <w:spacing w:after="0" w:line="255" w:lineRule="auto"/>
        <w:rPr>
          <w:sz w:val="20"/>
          <w:szCs w:val="20"/>
          <w:color w:val="auto"/>
        </w:rPr>
      </w:pPr>
      <w:r>
        <w:rPr>
          <w:rFonts w:ascii="Times New Roman" w:cs="Times New Roman" w:eastAsia="Times New Roman" w:hAnsi="Times New Roman"/>
          <w:sz w:val="16"/>
          <w:szCs w:val="16"/>
          <w:color w:val="auto"/>
        </w:rPr>
        <w:t xml:space="preserve">The Company accounts for its operating leases as prescribed by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6"/>
          <w:szCs w:val="16"/>
          <w:i w:val="1"/>
          <w:iCs w:val="1"/>
          <w:color w:val="auto"/>
        </w:rPr>
        <w:t>Operating Leases and Related Deposits</w:t>
      </w:r>
      <w:r>
        <w:rPr>
          <w:rFonts w:ascii="Times New Roman" w:cs="Times New Roman" w:eastAsia="Times New Roman" w:hAnsi="Times New Roman"/>
          <w:sz w:val="16"/>
          <w:szCs w:val="16"/>
          <w:color w:val="auto"/>
        </w:rPr>
        <w:t>” for further detail.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200" w:lineRule="exact"/>
        <w:rPr>
          <w:sz w:val="20"/>
          <w:szCs w:val="20"/>
          <w:color w:val="auto"/>
        </w:rPr>
      </w:pPr>
    </w:p>
    <w:p>
      <w:pPr>
        <w:jc w:val="both"/>
        <w:ind w:right="20" w:firstLine="358"/>
        <w:spacing w:after="0" w:line="260" w:lineRule="auto"/>
        <w:rPr>
          <w:sz w:val="20"/>
          <w:szCs w:val="20"/>
          <w:color w:val="auto"/>
        </w:rPr>
      </w:pPr>
      <w:r>
        <w:rPr>
          <w:rFonts w:ascii="Times New Roman" w:cs="Times New Roman" w:eastAsia="Times New Roman" w:hAnsi="Times New Roman"/>
          <w:sz w:val="16"/>
          <w:szCs w:val="16"/>
          <w:color w:val="auto"/>
        </w:rPr>
        <w:t xml:space="preserve">Using the fair value recognition provisions as prescribed by ASC 718, </w:t>
      </w:r>
      <w:r>
        <w:rPr>
          <w:rFonts w:ascii="Times New Roman" w:cs="Times New Roman" w:eastAsia="Times New Roman" w:hAnsi="Times New Roman"/>
          <w:sz w:val="16"/>
          <w:szCs w:val="16"/>
          <w:i w:val="1"/>
          <w:iCs w:val="1"/>
          <w:color w:val="auto"/>
        </w:rPr>
        <w:t>Stock Compensation</w:t>
      </w:r>
      <w:r>
        <w:rPr>
          <w:rFonts w:ascii="Times New Roman" w:cs="Times New Roman" w:eastAsia="Times New Roman" w:hAnsi="Times New Roman"/>
          <w:sz w:val="16"/>
          <w:szCs w:val="16"/>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the Company’s stock price. Differences between actual results and these estimates could have a material effect on the Company’s financial results. Forfeitures are accounted for as they occur. Refer to “Note 11—Stock-Based Compensation” for further detail.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Transaction Costs and Escrow Deposits</w:t>
      </w:r>
    </w:p>
    <w:p>
      <w:pPr>
        <w:spacing w:after="0" w:line="200"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March 31, 2024 and December 31, 2023, the Company had no escrow deposits.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Unrealized Appreciation or Depreciation of Investments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Unrealized appreciation or depreciation is calculated as the difference between the fair value of the investment and the cost basis of such investment.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Federal and State Income Taxes</w:t>
      </w:r>
    </w:p>
    <w:p>
      <w:pPr>
        <w:spacing w:after="0" w:line="200"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The Company elected to be treated as a RIC under Subchapter M of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the sum of 90% of its investment company taxable income (“ICTI”), including payment-in-kind interest income, as defined by the Code, and 90% of its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200"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65"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64"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9—Income Taxes” for further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 Share Information</w:t>
      </w:r>
    </w:p>
    <w:p>
      <w:pPr>
        <w:spacing w:after="0" w:line="20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Times New Roman" w:cs="Times New Roman" w:eastAsia="Times New Roman" w:hAnsi="Times New Roman"/>
          <w:sz w:val="16"/>
          <w:szCs w:val="16"/>
          <w:i w:val="1"/>
          <w:iCs w:val="1"/>
          <w:color w:val="auto"/>
        </w:rPr>
        <w:t>, Earnings Per Share</w:t>
      </w:r>
      <w:r>
        <w:rPr>
          <w:rFonts w:ascii="Times New Roman" w:cs="Times New Roman" w:eastAsia="Times New Roman" w:hAnsi="Times New Roman"/>
          <w:sz w:val="16"/>
          <w:szCs w:val="16"/>
          <w:color w:val="auto"/>
        </w:rPr>
        <w:t xml:space="preserve"> (“ASC 260”), to determine the number of potentially dilutive shares outstanding. Refer to “Note 6—Net Increase in Net Assets Resulting from Operations per Common Share—Basic and Diluted” for further detail.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Adopted Accounting Standards</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In June 2022, the FASB issued ASU No. 2022-03, “Fair Value Measurements (Topic 820): Fair Value Measurement of Equity Securities Subject to Contractual Sale Restrictions.” This change prospectively prohibits entities from taking into account contractual restrictions on the sale of equity securities when estimating fair value and introduces required disclosures for such transactions. The standard is effective for annual periods beginning after December 15, 2023, and applied prospectively. The Company adopted the requirements of ASU 2022-03 during the period ended March 31, 2024.</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Standards</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In December 2023, the FASB issued ASU 2023-09, “Improvements to Income Tax Disclosures.” The amendments in this update require more disaggregated information on income taxes paid. The standard is effective for annual periods beginning after December 15, 2024. Early adoption is permitted; however, the Company has not elected to adopt this provision as of the date of the condensed consolidated financial statements. The Company is still assessing the impact of the new guidance. However, it does not expect ASU 2023-09 to have a material impact on the Company’s future financial statements.</w:t>
      </w:r>
    </w:p>
    <w:p>
      <w:pPr>
        <w:spacing w:after="0" w:line="161"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condensed consolidated financial statements upon adoption.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3—RELATED-PARTY ARRANGEMENTS</w:t>
      </w:r>
    </w:p>
    <w:p>
      <w:pPr>
        <w:spacing w:after="0" w:line="200"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57"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61"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61"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The Company’s investment in Churchill Sponsor VI LLC, the sponsor of Churchill Capital Corp. VI, a SPAC, constituted a “remote-affiliate” transaction for purposes of the 1940 Act in light of the fact that Mark D. Klein, the Company’s Chairman, Chief Executive Officer and President, has a non-controlling interest in the entity that controlled Churchill Sponsor VI LLC, and was a non-controlling member of the board of directors of Churchill Capital Corp. VI. In addition, Mr. Klein’s brother, Michael Klein, was a control person of such Churchill entities. On November 17, 2023, Churchill Capital Corp. VI announced that it would not consummate an initial business combination within the time period required by its Amended and Restated Certificate of Incorporation, as amended, and the Company realized a loss on the entirety of its Churchill Sponsor VI LLC common share units and warrant units in the amount of $200,000.</w:t>
      </w:r>
    </w:p>
    <w:p>
      <w:pPr>
        <w:spacing w:after="0" w:line="164"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The Company’s investment in Churchill Sponsor VII LLC, the sponsor of Churchill Capital Corp. VII, a SPAC, constituted a “remote-affiliate” transaction for purposes of the 1940 Act in light of the fact that Mark D. Klein, the Company’s Chairman, Chief Executive Officer and President, has a non-controlling interest in the entity that controls Churchill Sponsor VII LLC, and is a non-controlling member of the board of directors of Churchill Capital Corp. VII. In addition, Mr. Klein’s brother, Michael Klein, is a control person of such Churchill entities. As of March 31, 2024, the fair value of the Company’s investment in Churchill Sponsor VII LLC was $394,774.</w:t>
      </w:r>
    </w:p>
    <w:p>
      <w:pPr>
        <w:spacing w:after="0" w:line="161"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The Company’s investment in Skillsoft Corp. (f/k/a Software Luxembourg Holding S.A.) (“Skillsoft”) constituted a “remote-affiliate” transaction for purposes of the 1940 Act in light of the fact that Mr. Klein has a non-controlling interest in the entity that controlled Churchill Sponsor II LLC, the sponsor of Churchill Capital Corp. II, a SPAC, and was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was a control person of such Churchill entities. As of March 31, 2024, the fair value of the Company’s investment in Skillsoft was $441,828.</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The Company’s initial investment in Shogun Enterprises, Inc. (d/b/a Hearth) on February 26, 2021 constituted a “remote-affiliate” transaction for purposes of the 1940 Act in light of the fact that Keri Findley, a former senior managing director of the Company until her departure on March 9, 2022, was at the time of investment a non-controlling member of the board of directors of Shogun Enterprises, Inc., and held a minority equity interest in such portfolio company. As of March 31, 2024, the fair value of the Company’s remote-affiliate investment in Shogun Enterprises, Inc. (d/b/a Hearth) was $6,775,071.</w:t>
      </w:r>
    </w:p>
    <w:p>
      <w:pPr>
        <w:spacing w:after="0" w:line="161"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 Company’s investment in Architect Capital PayJoy SPV, LLC also constituted a “remote-affiliate” transaction for purposes of the 1940 Act in light of the fact that Ms. Findley, at the time of investment, was a non-controlling member of the board of directors of the investment manager to Architect Capital PayJoy SPV, LLC, and held a minority equity interest in such investment manager. As of March 31, 2024, the fair value of the Company’s remote-affiliate investment in Architect Capital PayJoy SPV, LLC was $10,000,000.</w:t>
      </w:r>
    </w:p>
    <w:p>
      <w:pPr>
        <w:spacing w:after="0" w:line="161"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In addition, Ms. Findley and Claire Councill, a former investment professional of the Company until her departure on April 15, 2022, were non-controlling members of the board of directors of Colombier Acquisition Corp., a SPAC, which was sponsored by Colombier Sponsor LLC, one of the Company’s portfolio companies until its dissolution upon completion of Colombier Acquisition Corp.’s business combination into PSQ Holdings, Inc. (d/b/a PublicSquare). As of March 31, 2024, the fair value of the Company’s investment in PSQ Holdings, Inc. (d/b/a PublicSquare) was $10,528,818.</w:t>
      </w:r>
    </w:p>
    <w:p>
      <w:pPr>
        <w:spacing w:after="0" w:line="161"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The Company’s investment in AltC Sponsor LLC, the sponsor of AltC Acquisition Corp, a SPAC, constituted a “remote-affiliate” transaction for purposes of the 1940 Act in light of the fact that Mr. Klein has a non-controlling interest in one of the entities that controls AltC Sponsor LLC, and Allison Green, the Company’s Chief Financial Officer, Chief Compliance Officer, Treasurer and Secretary, is a non-controlling member of the board of directors of AltC Acquisition Corp. As of March 31, 2024, the fair value of the Company’s investment in AltC Sponsor LLC was $945,983.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4—INVESTMENTS AT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Portfolio Composition</w:t>
      </w:r>
    </w:p>
    <w:p>
      <w:pPr>
        <w:spacing w:after="0" w:line="20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 Company’s investments in portfolio companies consist primarily of equity securities (such as common stock, preferred stock and options or agreements to purchase or acquire common and preferred stock) and to a lesser extent, debt securities, issued by private and publicly traded companies. The Company may also, from time to time, invest in U.S. Treasury securities. Non-portfolio investments represent investments in U.S. Treasury securities. As of March 31, 2024, the Company had 63 positions in 38 portfolio companies. As of December 31, 2023, the Company had 63 positions in 38 portfolio companies.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200" w:lineRule="exact"/>
        <w:rPr>
          <w:sz w:val="20"/>
          <w:szCs w:val="20"/>
          <w:color w:val="auto"/>
        </w:rPr>
      </w:pPr>
    </w:p>
    <w:p>
      <w:pPr>
        <w:ind w:right="20" w:firstLine="287"/>
        <w:spacing w:after="0" w:line="280" w:lineRule="auto"/>
        <w:rPr>
          <w:sz w:val="20"/>
          <w:szCs w:val="20"/>
          <w:color w:val="auto"/>
        </w:rPr>
      </w:pPr>
      <w:r>
        <w:rPr>
          <w:rFonts w:ascii="Times New Roman" w:cs="Times New Roman" w:eastAsia="Times New Roman" w:hAnsi="Times New Roman"/>
          <w:sz w:val="16"/>
          <w:szCs w:val="16"/>
          <w:color w:val="auto"/>
        </w:rPr>
        <w:t>The following tables summarize the composition of the Company’s investment portfolio by security type at cost and fair value as of March 31, 2024 and December 31,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7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60" w:type="dxa"/>
            <w:vAlign w:val="bottom"/>
            <w:gridSpan w:val="2"/>
          </w:tcPr>
          <w:p>
            <w:pPr>
              <w:spacing w:after="0"/>
              <w:rPr>
                <w:sz w:val="14"/>
                <w:szCs w:val="14"/>
                <w:color w:val="auto"/>
              </w:rPr>
            </w:pPr>
          </w:p>
        </w:tc>
      </w:tr>
      <w:tr>
        <w:trPr>
          <w:trHeight w:val="213"/>
        </w:trPr>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4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191"/>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191"/>
        </w:trPr>
        <w:tc>
          <w:tcPr>
            <w:tcW w:w="3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117,212,944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113,934,393</w:t>
            </w:r>
          </w:p>
        </w:tc>
        <w:tc>
          <w:tcPr>
            <w:tcW w:w="32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73,003,835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39,086,792</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19.2%</w:t>
            </w:r>
          </w:p>
        </w:tc>
      </w:tr>
      <w:tr>
        <w:trPr>
          <w:trHeight w:val="191"/>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73,265,265</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40,960,684</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22.5%</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107,209,010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122,744,564</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60.4%</w:t>
            </w:r>
          </w:p>
        </w:tc>
      </w:tr>
      <w:tr>
        <w:trPr>
          <w:trHeight w:val="191"/>
        </w:trPr>
        <w:tc>
          <w:tcPr>
            <w:tcW w:w="3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Debt Investments</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5,146,349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3,442,976</w:t>
            </w:r>
          </w:p>
        </w:tc>
        <w:tc>
          <w:tcPr>
            <w:tcW w:w="32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5,146,349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3,098,734</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r>
      <w:tr>
        <w:trPr>
          <w:trHeight w:val="223"/>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11,796,448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3,495,333</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12,057,878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3,638,161</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r>
      <w:tr>
        <w:trPr>
          <w:trHeight w:val="179"/>
        </w:trPr>
        <w:tc>
          <w:tcPr>
            <w:tcW w:w="3380" w:type="dxa"/>
            <w:vAlign w:val="bottom"/>
            <w:tcBorders>
              <w:top w:val="single" w:sz="8" w:color="CCEEFF"/>
              <w:bottom w:val="single" w:sz="8" w:color="CCEEFF"/>
            </w:tcBorders>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Total Private Portfolio Companies</w:t>
            </w: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207,421,006</w:t>
            </w:r>
          </w:p>
        </w:tc>
        <w:tc>
          <w:tcPr>
            <w:tcW w:w="14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161,833,386</w:t>
            </w:r>
          </w:p>
        </w:tc>
        <w:tc>
          <w:tcPr>
            <w:tcW w:w="320" w:type="dxa"/>
            <w:vAlign w:val="bottom"/>
            <w:tcBorders>
              <w:top w:val="single" w:sz="8" w:color="CCEEFF"/>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89.1</w:t>
            </w:r>
          </w:p>
        </w:tc>
        <w:tc>
          <w:tcPr>
            <w:tcW w:w="360" w:type="dxa"/>
            <w:vAlign w:val="bottom"/>
            <w:tcBorders>
              <w:top w:val="single" w:sz="8" w:color="CCEEFF"/>
              <w:bottom w:val="single" w:sz="8" w:color="CCEEFF"/>
            </w:tcBorders>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197,417,072</w:t>
            </w: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168,568,251</w:t>
            </w:r>
          </w:p>
        </w:tc>
        <w:tc>
          <w:tcPr>
            <w:tcW w:w="320" w:type="dxa"/>
            <w:vAlign w:val="bottom"/>
            <w:tcBorders>
              <w:top w:val="single" w:sz="8" w:color="CCEEFF"/>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82.9</w:t>
            </w:r>
          </w:p>
        </w:tc>
        <w:tc>
          <w:tcPr>
            <w:tcW w:w="160" w:type="dxa"/>
            <w:vAlign w:val="bottom"/>
            <w:tcBorders>
              <w:top w:val="single" w:sz="8" w:color="CCEEFF"/>
              <w:bottom w:val="single" w:sz="8" w:color="CCEEFF"/>
            </w:tcBorders>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w w:val="89"/>
              </w:rPr>
              <w:t>%</w:t>
            </w:r>
          </w:p>
        </w:tc>
      </w:tr>
      <w:tr>
        <w:trPr>
          <w:trHeight w:val="19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1"/>
        </w:trPr>
        <w:tc>
          <w:tcPr>
            <w:tcW w:w="3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13,469,003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11,689,761</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14,095,473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13,548,248</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r>
      <w:tr>
        <w:trPr>
          <w:trHeight w:val="223"/>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985,722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1,492,424</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1,028,653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1,964,750</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179"/>
        </w:trPr>
        <w:tc>
          <w:tcPr>
            <w:tcW w:w="3380" w:type="dxa"/>
            <w:vAlign w:val="bottom"/>
            <w:tcBorders>
              <w:top w:val="single" w:sz="8" w:color="CCEEFF"/>
              <w:bottom w:val="single" w:sz="8" w:color="CCEEFF"/>
            </w:tcBorders>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Total Publicly Traded Portfolio Companies</w:t>
            </w: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14,454,725</w:t>
            </w:r>
          </w:p>
        </w:tc>
        <w:tc>
          <w:tcPr>
            <w:tcW w:w="14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13,182,185</w:t>
            </w:r>
          </w:p>
        </w:tc>
        <w:tc>
          <w:tcPr>
            <w:tcW w:w="320" w:type="dxa"/>
            <w:vAlign w:val="bottom"/>
            <w:tcBorders>
              <w:top w:val="single" w:sz="8" w:color="CCEEFF"/>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7.2</w:t>
            </w:r>
          </w:p>
        </w:tc>
        <w:tc>
          <w:tcPr>
            <w:tcW w:w="360" w:type="dxa"/>
            <w:vAlign w:val="bottom"/>
            <w:tcBorders>
              <w:top w:val="single" w:sz="8" w:color="CCEEFF"/>
              <w:bottom w:val="single" w:sz="8" w:color="CCEEFF"/>
            </w:tcBorders>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15,124,126</w:t>
            </w: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15,512,998</w:t>
            </w:r>
          </w:p>
        </w:tc>
        <w:tc>
          <w:tcPr>
            <w:tcW w:w="320" w:type="dxa"/>
            <w:vAlign w:val="bottom"/>
            <w:tcBorders>
              <w:top w:val="single" w:sz="8" w:color="CCEEFF"/>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7.7</w:t>
            </w:r>
          </w:p>
        </w:tc>
        <w:tc>
          <w:tcPr>
            <w:tcW w:w="160" w:type="dxa"/>
            <w:vAlign w:val="bottom"/>
            <w:tcBorders>
              <w:top w:val="single" w:sz="8" w:color="CCEEFF"/>
              <w:bottom w:val="single" w:sz="8" w:color="CCEEFF"/>
            </w:tcBorders>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w w:val="89"/>
              </w:rPr>
              <w:t>%</w:t>
            </w:r>
          </w:p>
        </w:tc>
      </w:tr>
      <w:tr>
        <w:trPr>
          <w:trHeight w:val="211"/>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221,875,731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175,015,571</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36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212,541,198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184,081,249</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89"/>
              </w:rPr>
              <w:t>%</w:t>
            </w:r>
          </w:p>
        </w:tc>
      </w:tr>
      <w:tr>
        <w:trPr>
          <w:trHeight w:val="175"/>
        </w:trPr>
        <w:tc>
          <w:tcPr>
            <w:tcW w:w="338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Non-Portfolio Investments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U.S. Treasury Bills</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29,245,079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29,621,913</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16.3%</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63,792,704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63,810,855</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31.4%</w:t>
            </w:r>
          </w:p>
        </w:tc>
      </w:tr>
      <w:tr>
        <w:trPr>
          <w:trHeight w:val="187"/>
        </w:trPr>
        <w:tc>
          <w:tcPr>
            <w:tcW w:w="3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251,120,810</w:t>
            </w:r>
          </w:p>
        </w:tc>
        <w:tc>
          <w:tcPr>
            <w:tcW w:w="1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204,637,484</w:t>
            </w:r>
          </w:p>
        </w:tc>
        <w:tc>
          <w:tcPr>
            <w:tcW w:w="32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360" w:type="dxa"/>
            <w:vAlign w:val="bottom"/>
            <w:tcBorders>
              <w:top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276,333,902</w:t>
            </w: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247,892,104</w:t>
            </w:r>
          </w:p>
        </w:tc>
        <w:tc>
          <w:tcPr>
            <w:tcW w:w="32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3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geographic and industrial compositions of the Company’s portfolio at fair value as of March 31, 2024 and December 31, 2023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March 31, 2024</w:t>
            </w:r>
          </w:p>
        </w:tc>
        <w:tc>
          <w:tcPr>
            <w:tcW w:w="10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December 31, 2023</w:t>
            </w: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72"/>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60" w:type="dxa"/>
            <w:vAlign w:val="bottom"/>
          </w:tcPr>
          <w:p>
            <w:pPr>
              <w:spacing w:after="0"/>
              <w:rPr>
                <w:sz w:val="14"/>
                <w:szCs w:val="14"/>
                <w:color w:val="auto"/>
              </w:rPr>
            </w:pPr>
          </w:p>
        </w:tc>
      </w:tr>
      <w:tr>
        <w:trPr>
          <w:trHeight w:val="213"/>
        </w:trPr>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Portfolio</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20" w:type="dxa"/>
            <w:vAlign w:val="bottom"/>
          </w:tcPr>
          <w:p>
            <w:pPr>
              <w:spacing w:after="0"/>
              <w:rPr>
                <w:sz w:val="18"/>
                <w:szCs w:val="18"/>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Portfolio</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191"/>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191"/>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West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101,868,755</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58.3%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108,500,197</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58.9%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19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Northeast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40,340,217</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23.0%</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17,881,248</w:t>
            </w:r>
          </w:p>
        </w:tc>
        <w:tc>
          <w:tcPr>
            <w:tcW w:w="1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191"/>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Midwest</w:t>
            </w:r>
          </w:p>
        </w:tc>
        <w:tc>
          <w:tcPr>
            <w:tcW w:w="1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16,623,472</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9.5%</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12,107,136</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9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Southeast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12,128,818</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41,538,359</w:t>
            </w:r>
          </w:p>
        </w:tc>
        <w:tc>
          <w:tcPr>
            <w:tcW w:w="1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0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4,054,309</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4,054,309</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175,015,571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36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184,081,249</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March 31, 2024</w:t>
            </w:r>
          </w:p>
        </w:tc>
        <w:tc>
          <w:tcPr>
            <w:tcW w:w="10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December 31, 2023</w:t>
            </w: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72"/>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60" w:type="dxa"/>
            <w:vAlign w:val="bottom"/>
          </w:tcPr>
          <w:p>
            <w:pPr>
              <w:spacing w:after="0"/>
              <w:rPr>
                <w:sz w:val="14"/>
                <w:szCs w:val="14"/>
                <w:color w:val="auto"/>
              </w:rPr>
            </w:pPr>
          </w:p>
        </w:tc>
      </w:tr>
      <w:tr>
        <w:trPr>
          <w:trHeight w:val="213"/>
        </w:trPr>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Portfolio</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20" w:type="dxa"/>
            <w:vAlign w:val="bottom"/>
          </w:tcPr>
          <w:p>
            <w:pPr>
              <w:spacing w:after="0"/>
              <w:rPr>
                <w:sz w:val="18"/>
                <w:szCs w:val="18"/>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Portfolio</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191"/>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191"/>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Education Technology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54,065,439</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30.9%</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69,381,463</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37.7%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19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Big Data/Cloud</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34,089,299</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19.5%</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32,201,947</w:t>
            </w:r>
          </w:p>
        </w:tc>
        <w:tc>
          <w:tcPr>
            <w:tcW w:w="1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191"/>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Marketplaces</w:t>
            </w:r>
          </w:p>
        </w:tc>
        <w:tc>
          <w:tcPr>
            <w:tcW w:w="1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33,889,237</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19.4%</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36,386,519</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19.8%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19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Technology</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29,553,385</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16.8%</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31,687,240</w:t>
            </w:r>
          </w:p>
        </w:tc>
        <w:tc>
          <w:tcPr>
            <w:tcW w:w="1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191"/>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Social/Mobile/Consumer</w:t>
            </w:r>
          </w:p>
        </w:tc>
        <w:tc>
          <w:tcPr>
            <w:tcW w:w="1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23,042,330</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13.2%</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14,041,699</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2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Sustainability</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375,881</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382,381</w:t>
            </w:r>
          </w:p>
        </w:tc>
        <w:tc>
          <w:tcPr>
            <w:tcW w:w="1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187"/>
        </w:trPr>
        <w:tc>
          <w:tcPr>
            <w:tcW w:w="3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175,015,571</w:t>
            </w:r>
          </w:p>
        </w:tc>
        <w:tc>
          <w:tcPr>
            <w:tcW w:w="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360" w:type="dxa"/>
            <w:vAlign w:val="bottom"/>
            <w:tcBorders>
              <w:top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184,081,249</w:t>
            </w:r>
          </w:p>
        </w:tc>
        <w:tc>
          <w:tcPr>
            <w:tcW w:w="320" w:type="dxa"/>
            <w:vAlign w:val="bottom"/>
            <w:tcBorders>
              <w:top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2"/>
        </w:trPr>
        <w:tc>
          <w:tcPr>
            <w:tcW w:w="3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23</w:t>
            </w: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March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details the composition of the Company’s industrial themes presented in the preceding tables:</w:t>
      </w:r>
    </w:p>
    <w:p>
      <w:pPr>
        <w:sectPr>
          <w:pgSz w:w="11900" w:h="16838" w:orient="portrait"/>
          <w:cols w:equalWidth="0" w:num="1">
            <w:col w:w="10139"/>
          </w:cols>
          <w:pgMar w:left="320" w:top="218" w:right="1440"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28917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89175" cy="1524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228917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89175" cy="1524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628650</wp:posOffset>
            </wp:positionV>
            <wp:extent cx="228917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917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749935</wp:posOffset>
            </wp:positionV>
            <wp:extent cx="228917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8917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871220</wp:posOffset>
            </wp:positionV>
            <wp:extent cx="228917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8917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Social/Mobile/Consumer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757555</wp:posOffset>
            </wp:positionV>
            <wp:extent cx="228917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8917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Sustainability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471487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4875" cy="1524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Education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Interactive Learning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71487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14875" cy="1524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Contractor Management Software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Gaming Licensing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Geolocation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Retail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Supply Chain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Warehouse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71487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14875" cy="1524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E-Commerce Marketplace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Global Innovation Platform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Knowledge Networks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Micromobility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Pharmaceutical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Real Estate Platform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Sports Betting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71487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14875" cy="1524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Cannabis REIT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Services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Gaming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 Improvement Finance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Mobile Finance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Online Marketplace Finance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Special Purpose Acquisition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71487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14875" cy="1524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Digital Media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Fitness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Interactive Media &amp; Services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Lifestyle Beverage Brand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Mobile Access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Data Platform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71487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14875" cy="1524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Clean Technology</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3100" w:space="720"/>
            <w:col w:w="6319"/>
          </w:cols>
          <w:pgMar w:left="320" w:top="218" w:right="1440"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Valuation Inputs</w:t>
      </w:r>
    </w:p>
    <w:p>
      <w:pPr>
        <w:spacing w:after="0" w:line="200" w:lineRule="exact"/>
        <w:rPr>
          <w:sz w:val="20"/>
          <w:szCs w:val="20"/>
          <w:color w:val="auto"/>
        </w:rPr>
      </w:pPr>
    </w:p>
    <w:p>
      <w:pPr>
        <w:ind w:right="20" w:firstLine="287"/>
        <w:spacing w:after="0" w:line="280" w:lineRule="auto"/>
        <w:rPr>
          <w:sz w:val="20"/>
          <w:szCs w:val="20"/>
          <w:color w:val="auto"/>
        </w:rPr>
      </w:pPr>
      <w:r>
        <w:rPr>
          <w:rFonts w:ascii="Times New Roman" w:cs="Times New Roman" w:eastAsia="Times New Roman" w:hAnsi="Times New Roman"/>
          <w:sz w:val="16"/>
          <w:szCs w:val="16"/>
          <w:color w:val="auto"/>
        </w:rPr>
        <w:t>The fair values of the Company’s investments disaggregated into the three levels of the fair value hierarchy based upon the lowest level of significant input used in the valuation as of March 31, 2024 and December 31, 2023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2"/>
        </w:trPr>
        <w:tc>
          <w:tcPr>
            <w:tcW w:w="3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460"/>
              <w:spacing w:after="0" w:line="172"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80" w:type="dxa"/>
            <w:vAlign w:val="bottom"/>
          </w:tcPr>
          <w:p>
            <w:pPr>
              <w:spacing w:after="0"/>
              <w:rPr>
                <w:sz w:val="14"/>
                <w:szCs w:val="14"/>
                <w:color w:val="auto"/>
              </w:rPr>
            </w:pPr>
          </w:p>
        </w:tc>
        <w:tc>
          <w:tcPr>
            <w:tcW w:w="1620" w:type="dxa"/>
            <w:vAlign w:val="bottom"/>
            <w:gridSpan w:val="2"/>
          </w:tcPr>
          <w:p>
            <w:pPr>
              <w:jc w:val="center"/>
              <w:ind w:right="400"/>
              <w:spacing w:after="0" w:line="172" w:lineRule="exact"/>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40" w:type="dxa"/>
            <w:vAlign w:val="bottom"/>
          </w:tcPr>
          <w:p>
            <w:pPr>
              <w:spacing w:after="0"/>
              <w:rPr>
                <w:sz w:val="14"/>
                <w:szCs w:val="14"/>
                <w:color w:val="auto"/>
              </w:rPr>
            </w:pPr>
          </w:p>
        </w:tc>
        <w:tc>
          <w:tcPr>
            <w:tcW w:w="136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w w:val="97"/>
              </w:rPr>
              <w:t>Significant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3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Active Markets for</w:t>
            </w:r>
          </w:p>
        </w:tc>
        <w:tc>
          <w:tcPr>
            <w:tcW w:w="8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Identical Securities</w:t>
            </w:r>
          </w:p>
        </w:tc>
        <w:tc>
          <w:tcPr>
            <w:tcW w:w="80" w:type="dxa"/>
            <w:vAlign w:val="bottom"/>
          </w:tcPr>
          <w:p>
            <w:pPr>
              <w:spacing w:after="0"/>
              <w:rPr>
                <w:sz w:val="16"/>
                <w:szCs w:val="16"/>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4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8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1"/>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Investments at Fair Value</w:t>
            </w:r>
          </w:p>
        </w:tc>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Stock</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113,934,393</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113,934,393</w:t>
            </w:r>
          </w:p>
        </w:tc>
      </w:tr>
      <w:tr>
        <w:trPr>
          <w:trHeight w:val="191"/>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40,960,684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40,960,684</w:t>
            </w:r>
          </w:p>
        </w:tc>
      </w:tr>
      <w:tr>
        <w:trPr>
          <w:trHeight w:val="191"/>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Investments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3,442,976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3,442,976</w:t>
            </w:r>
          </w:p>
        </w:tc>
        <w:tc>
          <w:tcPr>
            <w:tcW w:w="120" w:type="dxa"/>
            <w:vAlign w:val="bottom"/>
            <w:shd w:val="clear" w:color="auto" w:fill="CCEEFF"/>
          </w:tcPr>
          <w:p>
            <w:pPr>
              <w:spacing w:after="0"/>
              <w:rPr>
                <w:sz w:val="16"/>
                <w:szCs w:val="16"/>
                <w:color w:val="auto"/>
              </w:rPr>
            </w:pPr>
          </w:p>
        </w:tc>
      </w:tr>
      <w:tr>
        <w:trPr>
          <w:trHeight w:val="207"/>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3,495,333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3,495,333</w:t>
            </w:r>
          </w:p>
        </w:tc>
        <w:tc>
          <w:tcPr>
            <w:tcW w:w="120" w:type="dxa"/>
            <w:vAlign w:val="bottom"/>
          </w:tcPr>
          <w:p>
            <w:pPr>
              <w:spacing w:after="0"/>
              <w:rPr>
                <w:sz w:val="17"/>
                <w:szCs w:val="17"/>
                <w:color w:val="auto"/>
              </w:rPr>
            </w:pPr>
          </w:p>
        </w:tc>
      </w:tr>
      <w:tr>
        <w:trPr>
          <w:trHeight w:val="211"/>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161,833,386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161,833,386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36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2,653,367</w:t>
            </w:r>
          </w:p>
        </w:tc>
        <w:tc>
          <w:tcPr>
            <w:tcW w:w="8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9,036,394</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11,689,761</w:t>
            </w:r>
          </w:p>
        </w:tc>
      </w:tr>
      <w:tr>
        <w:trPr>
          <w:trHeight w:val="207"/>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1,492,424</w:t>
            </w:r>
          </w:p>
        </w:tc>
        <w:tc>
          <w:tcPr>
            <w:tcW w:w="8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1,492,424</w:t>
            </w:r>
          </w:p>
        </w:tc>
        <w:tc>
          <w:tcPr>
            <w:tcW w:w="120" w:type="dxa"/>
            <w:vAlign w:val="bottom"/>
          </w:tcPr>
          <w:p>
            <w:pPr>
              <w:spacing w:after="0"/>
              <w:rPr>
                <w:sz w:val="17"/>
                <w:szCs w:val="17"/>
                <w:color w:val="auto"/>
              </w:rPr>
            </w:pPr>
          </w:p>
        </w:tc>
      </w:tr>
      <w:tr>
        <w:trPr>
          <w:trHeight w:val="211"/>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4,145,791</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9,036,394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13,182,185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362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4,145,791</w:t>
            </w: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9,036,394</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161,833,386</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175,015,571</w:t>
            </w:r>
          </w:p>
        </w:tc>
        <w:tc>
          <w:tcPr>
            <w:tcW w:w="120" w:type="dxa"/>
            <w:vAlign w:val="bottom"/>
            <w:tcBorders>
              <w:bottom w:val="single" w:sz="8" w:color="CCEEFF"/>
            </w:tcBorders>
          </w:tcPr>
          <w:p>
            <w:pPr>
              <w:spacing w:after="0"/>
              <w:rPr>
                <w:sz w:val="15"/>
                <w:szCs w:val="15"/>
                <w:color w:val="auto"/>
              </w:rPr>
            </w:pPr>
          </w:p>
        </w:tc>
      </w:tr>
      <w:tr>
        <w:trPr>
          <w:trHeight w:val="19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Non-Portfolio Investments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U.S. Treasury bills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29,621,913</w:t>
            </w:r>
          </w:p>
        </w:tc>
        <w:tc>
          <w:tcPr>
            <w:tcW w:w="8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29,621,913</w:t>
            </w:r>
          </w:p>
        </w:tc>
      </w:tr>
      <w:tr>
        <w:trPr>
          <w:trHeight w:val="20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33,767,704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9,036,394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161,833,386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204,637,484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4"/>
        </w:trPr>
        <w:tc>
          <w:tcPr>
            <w:tcW w:w="3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2"/>
        </w:trPr>
        <w:tc>
          <w:tcPr>
            <w:tcW w:w="3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460"/>
              <w:spacing w:after="0" w:line="172"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80" w:type="dxa"/>
            <w:vAlign w:val="bottom"/>
          </w:tcPr>
          <w:p>
            <w:pPr>
              <w:spacing w:after="0"/>
              <w:rPr>
                <w:sz w:val="14"/>
                <w:szCs w:val="14"/>
                <w:color w:val="auto"/>
              </w:rPr>
            </w:pPr>
          </w:p>
        </w:tc>
        <w:tc>
          <w:tcPr>
            <w:tcW w:w="1620" w:type="dxa"/>
            <w:vAlign w:val="bottom"/>
            <w:gridSpan w:val="2"/>
          </w:tcPr>
          <w:p>
            <w:pPr>
              <w:jc w:val="center"/>
              <w:ind w:right="400"/>
              <w:spacing w:after="0" w:line="172" w:lineRule="exact"/>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40" w:type="dxa"/>
            <w:vAlign w:val="bottom"/>
          </w:tcPr>
          <w:p>
            <w:pPr>
              <w:spacing w:after="0"/>
              <w:rPr>
                <w:sz w:val="14"/>
                <w:szCs w:val="14"/>
                <w:color w:val="auto"/>
              </w:rPr>
            </w:pPr>
          </w:p>
        </w:tc>
        <w:tc>
          <w:tcPr>
            <w:tcW w:w="136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w w:val="97"/>
              </w:rPr>
              <w:t>Significant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3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Active Markets for</w:t>
            </w:r>
          </w:p>
        </w:tc>
        <w:tc>
          <w:tcPr>
            <w:tcW w:w="8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Identical Securities</w:t>
            </w:r>
          </w:p>
        </w:tc>
        <w:tc>
          <w:tcPr>
            <w:tcW w:w="80" w:type="dxa"/>
            <w:vAlign w:val="bottom"/>
          </w:tcPr>
          <w:p>
            <w:pPr>
              <w:spacing w:after="0"/>
              <w:rPr>
                <w:sz w:val="16"/>
                <w:szCs w:val="16"/>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4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8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1"/>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Investments at Fair Value</w:t>
            </w:r>
          </w:p>
        </w:tc>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Stock</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122,744,564</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122,744,564</w:t>
            </w:r>
          </w:p>
        </w:tc>
        <w:tc>
          <w:tcPr>
            <w:tcW w:w="120" w:type="dxa"/>
            <w:vAlign w:val="bottom"/>
            <w:shd w:val="clear" w:color="auto" w:fill="CCEEFF"/>
          </w:tcPr>
          <w:p>
            <w:pPr>
              <w:spacing w:after="0"/>
              <w:rPr>
                <w:sz w:val="16"/>
                <w:szCs w:val="16"/>
                <w:color w:val="auto"/>
              </w:rPr>
            </w:pPr>
          </w:p>
        </w:tc>
      </w:tr>
      <w:tr>
        <w:trPr>
          <w:trHeight w:val="191"/>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39,086,792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39,086,792</w:t>
            </w:r>
          </w:p>
        </w:tc>
      </w:tr>
      <w:tr>
        <w:trPr>
          <w:trHeight w:val="191"/>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Investments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3,098,734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3,098,734</w:t>
            </w:r>
          </w:p>
        </w:tc>
        <w:tc>
          <w:tcPr>
            <w:tcW w:w="120" w:type="dxa"/>
            <w:vAlign w:val="bottom"/>
            <w:shd w:val="clear" w:color="auto" w:fill="CCEEFF"/>
          </w:tcPr>
          <w:p>
            <w:pPr>
              <w:spacing w:after="0"/>
              <w:rPr>
                <w:sz w:val="16"/>
                <w:szCs w:val="16"/>
                <w:color w:val="auto"/>
              </w:rPr>
            </w:pPr>
          </w:p>
        </w:tc>
      </w:tr>
      <w:tr>
        <w:trPr>
          <w:trHeight w:val="207"/>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3,638,161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3,638,161</w:t>
            </w:r>
          </w:p>
        </w:tc>
        <w:tc>
          <w:tcPr>
            <w:tcW w:w="120" w:type="dxa"/>
            <w:vAlign w:val="bottom"/>
          </w:tcPr>
          <w:p>
            <w:pPr>
              <w:spacing w:after="0"/>
              <w:rPr>
                <w:sz w:val="17"/>
                <w:szCs w:val="17"/>
                <w:color w:val="auto"/>
              </w:rPr>
            </w:pPr>
          </w:p>
        </w:tc>
      </w:tr>
      <w:tr>
        <w:trPr>
          <w:trHeight w:val="211"/>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168,568,251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168,568,251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36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5,005,862</w:t>
            </w:r>
          </w:p>
        </w:tc>
        <w:tc>
          <w:tcPr>
            <w:tcW w:w="8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8,542,386</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13,548,248</w:t>
            </w:r>
          </w:p>
        </w:tc>
      </w:tr>
      <w:tr>
        <w:trPr>
          <w:trHeight w:val="207"/>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1,964,750</w:t>
            </w:r>
          </w:p>
        </w:tc>
        <w:tc>
          <w:tcPr>
            <w:tcW w:w="8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1,964,750</w:t>
            </w:r>
          </w:p>
        </w:tc>
        <w:tc>
          <w:tcPr>
            <w:tcW w:w="120" w:type="dxa"/>
            <w:vAlign w:val="bottom"/>
          </w:tcPr>
          <w:p>
            <w:pPr>
              <w:spacing w:after="0"/>
              <w:rPr>
                <w:sz w:val="17"/>
                <w:szCs w:val="17"/>
                <w:color w:val="auto"/>
              </w:rPr>
            </w:pPr>
          </w:p>
        </w:tc>
      </w:tr>
      <w:tr>
        <w:trPr>
          <w:trHeight w:val="211"/>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6,970,612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15,512,998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362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6,970,612</w:t>
            </w: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8,542,386</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168,568,251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184,081,249</w:t>
            </w:r>
          </w:p>
        </w:tc>
        <w:tc>
          <w:tcPr>
            <w:tcW w:w="120" w:type="dxa"/>
            <w:vAlign w:val="bottom"/>
            <w:tcBorders>
              <w:bottom w:val="single" w:sz="8" w:color="CCEEFF"/>
            </w:tcBorders>
          </w:tcPr>
          <w:p>
            <w:pPr>
              <w:spacing w:after="0"/>
              <w:rPr>
                <w:sz w:val="15"/>
                <w:szCs w:val="15"/>
                <w:color w:val="auto"/>
              </w:rPr>
            </w:pPr>
          </w:p>
        </w:tc>
      </w:tr>
      <w:tr>
        <w:trPr>
          <w:trHeight w:val="19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Non-Portfolio Investments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U.S. Treasury bills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63,810,855</w:t>
            </w:r>
          </w:p>
        </w:tc>
        <w:tc>
          <w:tcPr>
            <w:tcW w:w="8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63,810,855</w:t>
            </w:r>
          </w:p>
        </w:tc>
      </w:tr>
      <w:tr>
        <w:trPr>
          <w:trHeight w:val="20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70,781,467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168,568,251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247,892,104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2"/>
        </w:trPr>
        <w:tc>
          <w:tcPr>
            <w:tcW w:w="3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25</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8" w:right="319" w:bottom="1440" w:gutter="0" w:footer="0" w:header="0"/>
        </w:sectPr>
      </w:pPr>
    </w:p>
    <w:bookmarkStart w:id="27" w:name="page28"/>
    <w:bookmarkEnd w:id="27"/>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2485"/>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Significant Unobservable Inputs for Level 3 Assets and Liabilities</w:t>
      </w:r>
    </w:p>
    <w:p>
      <w:pPr>
        <w:spacing w:after="0" w:line="200" w:lineRule="exact"/>
        <w:rPr>
          <w:sz w:val="20"/>
          <w:szCs w:val="20"/>
          <w:color w:val="auto"/>
        </w:rPr>
      </w:pPr>
    </w:p>
    <w:p>
      <w:pPr>
        <w:jc w:val="both"/>
        <w:ind w:left="5" w:firstLine="287"/>
        <w:spacing w:after="0" w:line="254" w:lineRule="auto"/>
        <w:rPr>
          <w:sz w:val="20"/>
          <w:szCs w:val="20"/>
          <w:color w:val="auto"/>
        </w:rPr>
      </w:pPr>
      <w:r>
        <w:rPr>
          <w:rFonts w:ascii="Times New Roman" w:cs="Times New Roman" w:eastAsia="Times New Roman" w:hAnsi="Times New Roman"/>
          <w:sz w:val="16"/>
          <w:szCs w:val="16"/>
          <w:color w:val="auto"/>
        </w:rPr>
        <w:t xml:space="preserve">In accordance with FASB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the tables below provide quantitative information about the fair value measurements of the Company’s Level 3 assets as of March 31, 2024 and December 31, 2023. In addition to the techniques and inputs noted in the tables below, according to the Company’s valuation policy, the Board of Directors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March 31, 2024 and December 31, 2023. Significant changes in the inputs in isolation would result in a significant change in the fair value measurement, depending on the input and the materiality of the investment.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65"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63"/>
        </w:trPr>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Valuation</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195"/>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Approach/</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2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45"/>
        </w:trPr>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Asset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340" w:type="dxa"/>
            <w:vAlign w:val="bottom"/>
            <w:gridSpan w:val="2"/>
          </w:tcPr>
          <w:p>
            <w:pPr>
              <w:jc w:val="center"/>
              <w:ind w:right="120"/>
              <w:spacing w:after="0" w:line="241" w:lineRule="exact"/>
              <w:rPr>
                <w:sz w:val="20"/>
                <w:szCs w:val="20"/>
                <w:color w:val="auto"/>
              </w:rPr>
            </w:pPr>
            <w:r>
              <w:rPr>
                <w:rFonts w:ascii="Times New Roman" w:cs="Times New Roman" w:eastAsia="Times New Roman" w:hAnsi="Times New Roman"/>
                <w:sz w:val="16"/>
                <w:szCs w:val="16"/>
                <w:b w:val="1"/>
                <w:bCs w:val="1"/>
                <w:color w:val="auto"/>
                <w:w w:val="93"/>
              </w:rPr>
              <w:t>Technique</w:t>
            </w:r>
            <w:r>
              <w:rPr>
                <w:rFonts w:ascii="Times New Roman" w:cs="Times New Roman" w:eastAsia="Times New Roman" w:hAnsi="Times New Roman"/>
                <w:sz w:val="26"/>
                <w:szCs w:val="26"/>
                <w:b w:val="1"/>
                <w:bCs w:val="1"/>
                <w:color w:val="auto"/>
                <w:w w:val="93"/>
                <w:vertAlign w:val="superscript"/>
              </w:rPr>
              <w:t>(1)</w:t>
            </w:r>
          </w:p>
        </w:tc>
        <w:tc>
          <w:tcPr>
            <w:tcW w:w="2360" w:type="dxa"/>
            <w:vAlign w:val="bottom"/>
            <w:gridSpan w:val="2"/>
          </w:tcPr>
          <w:p>
            <w:pPr>
              <w:jc w:val="center"/>
              <w:ind w:right="120"/>
              <w:spacing w:after="0" w:line="241" w:lineRule="exact"/>
              <w:rPr>
                <w:sz w:val="20"/>
                <w:szCs w:val="20"/>
                <w:color w:val="auto"/>
              </w:rPr>
            </w:pPr>
            <w:r>
              <w:rPr>
                <w:rFonts w:ascii="Times New Roman" w:cs="Times New Roman" w:eastAsia="Times New Roman" w:hAnsi="Times New Roman"/>
                <w:sz w:val="16"/>
                <w:szCs w:val="16"/>
                <w:b w:val="1"/>
                <w:bCs w:val="1"/>
                <w:color w:val="auto"/>
                <w:w w:val="92"/>
              </w:rPr>
              <w:t>Inputs</w:t>
            </w:r>
            <w:r>
              <w:rPr>
                <w:rFonts w:ascii="Times New Roman" w:cs="Times New Roman" w:eastAsia="Times New Roman" w:hAnsi="Times New Roman"/>
                <w:sz w:val="26"/>
                <w:szCs w:val="26"/>
                <w:b w:val="1"/>
                <w:bCs w:val="1"/>
                <w:color w:val="auto"/>
                <w:w w:val="92"/>
                <w:vertAlign w:val="superscript"/>
              </w:rPr>
              <w:t>(2)</w:t>
            </w:r>
          </w:p>
        </w:tc>
        <w:tc>
          <w:tcPr>
            <w:tcW w:w="2500" w:type="dxa"/>
            <w:vAlign w:val="bottom"/>
            <w:gridSpan w:val="2"/>
          </w:tcPr>
          <w:p>
            <w:pPr>
              <w:jc w:val="center"/>
              <w:ind w:right="140"/>
              <w:spacing w:after="0" w:line="241" w:lineRule="exact"/>
              <w:rPr>
                <w:sz w:val="20"/>
                <w:szCs w:val="20"/>
                <w:color w:val="auto"/>
              </w:rPr>
            </w:pPr>
            <w:r>
              <w:rPr>
                <w:rFonts w:ascii="Times New Roman" w:cs="Times New Roman" w:eastAsia="Times New Roman" w:hAnsi="Times New Roman"/>
                <w:sz w:val="16"/>
                <w:szCs w:val="16"/>
                <w:b w:val="1"/>
                <w:bCs w:val="1"/>
                <w:color w:val="auto"/>
                <w:w w:val="92"/>
              </w:rPr>
              <w:t>Average)</w:t>
            </w:r>
            <w:r>
              <w:rPr>
                <w:rFonts w:ascii="Times New Roman" w:cs="Times New Roman" w:eastAsia="Times New Roman" w:hAnsi="Times New Roman"/>
                <w:sz w:val="26"/>
                <w:szCs w:val="26"/>
                <w:b w:val="1"/>
                <w:bCs w:val="1"/>
                <w:color w:val="auto"/>
                <w:w w:val="92"/>
                <w:vertAlign w:val="superscript"/>
              </w:rPr>
              <w:t>(3)</w:t>
            </w:r>
          </w:p>
        </w:tc>
      </w:tr>
      <w:tr>
        <w:trPr>
          <w:trHeight w:val="191"/>
        </w:trPr>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Common stock in private companies</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40,960,684</w:t>
            </w: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Market approach</w:t>
            </w:r>
          </w:p>
        </w:tc>
        <w:tc>
          <w:tcPr>
            <w:tcW w:w="10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10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0.12x - 10.08x (8.23x)</w:t>
            </w:r>
          </w:p>
        </w:tc>
        <w:tc>
          <w:tcPr>
            <w:tcW w:w="160" w:type="dxa"/>
            <w:vAlign w:val="bottom"/>
            <w:tcBorders>
              <w:top w:val="single" w:sz="8" w:color="CCEEFF"/>
            </w:tcBorders>
            <w:shd w:val="clear" w:color="auto" w:fill="CCEEFF"/>
          </w:tcPr>
          <w:p>
            <w:pPr>
              <w:spacing w:after="0"/>
              <w:rPr>
                <w:sz w:val="16"/>
                <w:szCs w:val="16"/>
                <w:color w:val="auto"/>
              </w:rPr>
            </w:pPr>
          </w:p>
        </w:tc>
      </w:tr>
      <w:tr>
        <w:trPr>
          <w:trHeight w:val="227"/>
        </w:trPr>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center"/>
              <w:ind w:right="120"/>
              <w:spacing w:after="0" w:line="227" w:lineRule="exact"/>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DLOM</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- 25.0% (18.3%)</w:t>
            </w:r>
          </w:p>
        </w:tc>
        <w:tc>
          <w:tcPr>
            <w:tcW w:w="160" w:type="dxa"/>
            <w:vAlign w:val="bottom"/>
            <w:shd w:val="clear" w:color="auto" w:fill="CCEEFF"/>
          </w:tcPr>
          <w:p>
            <w:pPr>
              <w:spacing w:after="0"/>
              <w:rPr>
                <w:sz w:val="19"/>
                <w:szCs w:val="19"/>
                <w:color w:val="auto"/>
              </w:rPr>
            </w:pPr>
          </w:p>
        </w:tc>
      </w:tr>
      <w:tr>
        <w:trPr>
          <w:trHeight w:val="227"/>
        </w:trPr>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jc w:val="center"/>
              <w:ind w:right="100"/>
              <w:spacing w:after="0" w:line="227" w:lineRule="exact"/>
              <w:rPr>
                <w:sz w:val="20"/>
                <w:szCs w:val="20"/>
                <w:color w:val="auto"/>
              </w:rPr>
            </w:pPr>
            <w:r>
              <w:rPr>
                <w:rFonts w:ascii="Times New Roman" w:cs="Times New Roman" w:eastAsia="Times New Roman" w:hAnsi="Times New Roman"/>
                <w:sz w:val="16"/>
                <w:szCs w:val="16"/>
                <w:color w:val="auto"/>
                <w:w w:val="96"/>
              </w:rPr>
              <w:t>AFFO</w:t>
            </w:r>
            <w:r>
              <w:rPr>
                <w:rFonts w:ascii="Times New Roman" w:cs="Times New Roman" w:eastAsia="Times New Roman" w:hAnsi="Times New Roman"/>
                <w:sz w:val="26"/>
                <w:szCs w:val="26"/>
                <w:color w:val="auto"/>
                <w:w w:val="96"/>
                <w:vertAlign w:val="superscript"/>
              </w:rPr>
              <w:t>(4)</w:t>
            </w:r>
            <w:r>
              <w:rPr>
                <w:rFonts w:ascii="Times New Roman" w:cs="Times New Roman" w:eastAsia="Times New Roman" w:hAnsi="Times New Roman"/>
                <w:sz w:val="16"/>
                <w:szCs w:val="16"/>
                <w:color w:val="auto"/>
                <w:w w:val="96"/>
              </w:rPr>
              <w:t xml:space="preserve"> multiple</w:t>
            </w:r>
          </w:p>
        </w:tc>
        <w:tc>
          <w:tcPr>
            <w:tcW w:w="2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8.79x</w:t>
            </w:r>
          </w:p>
        </w:tc>
      </w:tr>
      <w:tr>
        <w:trPr>
          <w:trHeight w:val="191"/>
        </w:trPr>
        <w:tc>
          <w:tcPr>
            <w:tcW w:w="2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Discount Rate</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r>
      <w:tr>
        <w:trPr>
          <w:trHeight w:val="174"/>
        </w:trPr>
        <w:tc>
          <w:tcPr>
            <w:tcW w:w="24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Preferred stock in private companies</w:t>
            </w:r>
          </w:p>
        </w:tc>
        <w:tc>
          <w:tcPr>
            <w:tcW w:w="120" w:type="dxa"/>
            <w:vAlign w:val="bottom"/>
          </w:tcPr>
          <w:p>
            <w:pPr>
              <w:spacing w:after="0"/>
              <w:rPr>
                <w:sz w:val="15"/>
                <w:szCs w:val="15"/>
                <w:color w:val="auto"/>
              </w:rPr>
            </w:pPr>
          </w:p>
        </w:tc>
        <w:tc>
          <w:tcPr>
            <w:tcW w:w="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113,934,393</w:t>
            </w:r>
          </w:p>
        </w:tc>
        <w:tc>
          <w:tcPr>
            <w:tcW w:w="234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9"/>
              </w:rPr>
              <w:t>Market approach</w:t>
            </w:r>
          </w:p>
        </w:tc>
        <w:tc>
          <w:tcPr>
            <w:tcW w:w="236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8"/>
              </w:rPr>
              <w:t>Revenue multiples</w:t>
            </w:r>
          </w:p>
        </w:tc>
        <w:tc>
          <w:tcPr>
            <w:tcW w:w="250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0.12x - 8.05x (1.83x)</w:t>
            </w:r>
          </w:p>
        </w:tc>
      </w:tr>
      <w:tr>
        <w:trPr>
          <w:trHeight w:val="227"/>
        </w:trPr>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2"/>
          </w:tcPr>
          <w:p>
            <w:pPr>
              <w:jc w:val="center"/>
              <w:ind w:right="120"/>
              <w:spacing w:after="0" w:line="227" w:lineRule="exact"/>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Discount rate</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r>
      <w:tr>
        <w:trPr>
          <w:trHeight w:val="208"/>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2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1.55x - 1.76x (1.66x)</w:t>
            </w:r>
          </w:p>
        </w:tc>
      </w:tr>
      <w:tr>
        <w:trPr>
          <w:trHeight w:val="191"/>
        </w:trPr>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Debt investments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3,442,976</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Market approach</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2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0.87x - 1.82x (1.70x)</w:t>
            </w:r>
          </w:p>
        </w:tc>
      </w:tr>
      <w:tr>
        <w:trPr>
          <w:trHeight w:val="227"/>
        </w:trPr>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center"/>
              <w:ind w:right="120"/>
              <w:spacing w:after="0" w:line="227" w:lineRule="exact"/>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Discount Rate</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r>
      <w:tr>
        <w:trPr>
          <w:trHeight w:val="174"/>
        </w:trPr>
        <w:tc>
          <w:tcPr>
            <w:tcW w:w="24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Options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9"/>
              </w:rPr>
              <w:t>Option Pricing Model</w:t>
            </w:r>
          </w:p>
        </w:tc>
        <w:tc>
          <w:tcPr>
            <w:tcW w:w="236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color w:val="auto"/>
                <w:w w:val="97"/>
              </w:rPr>
              <w:t>Term to expiration (Years)</w:t>
            </w:r>
          </w:p>
        </w:tc>
        <w:tc>
          <w:tcPr>
            <w:tcW w:w="23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160" w:type="dxa"/>
            <w:vAlign w:val="bottom"/>
          </w:tcPr>
          <w:p>
            <w:pPr>
              <w:spacing w:after="0"/>
              <w:rPr>
                <w:sz w:val="15"/>
                <w:szCs w:val="15"/>
                <w:color w:val="auto"/>
              </w:rPr>
            </w:pPr>
          </w:p>
        </w:tc>
      </w:tr>
      <w:tr>
        <w:trPr>
          <w:trHeight w:val="191"/>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Volatility</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r>
      <w:tr>
        <w:trPr>
          <w:trHeight w:val="227"/>
        </w:trPr>
        <w:tc>
          <w:tcPr>
            <w:tcW w:w="24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3,495,333</w:t>
            </w:r>
          </w:p>
        </w:tc>
        <w:tc>
          <w:tcPr>
            <w:tcW w:w="2340" w:type="dxa"/>
            <w:vAlign w:val="bottom"/>
            <w:gridSpan w:val="2"/>
          </w:tcPr>
          <w:p>
            <w:pPr>
              <w:jc w:val="center"/>
              <w:ind w:right="120"/>
              <w:spacing w:after="0" w:line="227" w:lineRule="exact"/>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Term to expiration (Years)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0.40 - 5.25 (0.54)</w:t>
            </w:r>
          </w:p>
        </w:tc>
        <w:tc>
          <w:tcPr>
            <w:tcW w:w="160" w:type="dxa"/>
            <w:vAlign w:val="bottom"/>
          </w:tcPr>
          <w:p>
            <w:pPr>
              <w:spacing w:after="0"/>
              <w:rPr>
                <w:sz w:val="19"/>
                <w:szCs w:val="19"/>
                <w:color w:val="auto"/>
              </w:rPr>
            </w:pPr>
          </w:p>
        </w:tc>
      </w:tr>
      <w:tr>
        <w:trPr>
          <w:trHeight w:val="191"/>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Volatility</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Discount Rate</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r>
      <w:tr>
        <w:trPr>
          <w:trHeight w:val="208"/>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DLOM</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- 18% (16.0%)</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0" w:lineRule="exact"/>
        <w:rPr>
          <w:sz w:val="20"/>
          <w:szCs w:val="20"/>
          <w:color w:val="auto"/>
        </w:rPr>
      </w:pPr>
    </w:p>
    <w:p>
      <w:pPr>
        <w:jc w:val="both"/>
        <w:ind w:left="565" w:hanging="565"/>
        <w:spacing w:after="0" w:line="253" w:lineRule="auto"/>
        <w:tabs>
          <w:tab w:leader="none" w:pos="56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2024,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2" w:lineRule="exact"/>
        <w:rPr>
          <w:rFonts w:ascii="Times New Roman" w:cs="Times New Roman" w:eastAsia="Times New Roman" w:hAnsi="Times New Roman"/>
          <w:sz w:val="16"/>
          <w:szCs w:val="16"/>
          <w:color w:val="auto"/>
        </w:rPr>
      </w:pPr>
    </w:p>
    <w:p>
      <w:pPr>
        <w:jc w:val="both"/>
        <w:ind w:left="565" w:hanging="565"/>
        <w:spacing w:after="0" w:line="250" w:lineRule="auto"/>
        <w:tabs>
          <w:tab w:leader="none" w:pos="56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6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28" w:name="page29"/>
    <w:bookmarkEnd w:id="28"/>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200" w:lineRule="exact"/>
        <w:rPr>
          <w:sz w:val="20"/>
          <w:szCs w:val="20"/>
          <w:color w:val="auto"/>
        </w:rPr>
      </w:pPr>
    </w:p>
    <w:p>
      <w:pPr>
        <w:ind w:left="565" w:hanging="565"/>
        <w:spacing w:after="0"/>
        <w:tabs>
          <w:tab w:leader="none" w:pos="56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spacing w:after="0" w:line="23"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63"/>
        </w:trPr>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Valuation</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198"/>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25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Approach/</w:t>
            </w: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2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43"/>
        </w:trPr>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Asset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520" w:type="dxa"/>
            <w:vAlign w:val="bottom"/>
            <w:gridSpan w:val="3"/>
          </w:tcPr>
          <w:p>
            <w:pPr>
              <w:ind w:left="720"/>
              <w:spacing w:after="0" w:line="238" w:lineRule="exact"/>
              <w:rPr>
                <w:sz w:val="20"/>
                <w:szCs w:val="20"/>
                <w:color w:val="auto"/>
              </w:rPr>
            </w:pPr>
            <w:r>
              <w:rPr>
                <w:rFonts w:ascii="Times New Roman" w:cs="Times New Roman" w:eastAsia="Times New Roman" w:hAnsi="Times New Roman"/>
                <w:sz w:val="16"/>
                <w:szCs w:val="16"/>
                <w:b w:val="1"/>
                <w:bCs w:val="1"/>
                <w:color w:val="auto"/>
              </w:rPr>
              <w:t>Technique</w:t>
            </w:r>
            <w:r>
              <w:rPr>
                <w:rFonts w:ascii="Times New Roman" w:cs="Times New Roman" w:eastAsia="Times New Roman" w:hAnsi="Times New Roman"/>
                <w:sz w:val="26"/>
                <w:szCs w:val="26"/>
                <w:b w:val="1"/>
                <w:bCs w:val="1"/>
                <w:color w:val="auto"/>
                <w:vertAlign w:val="superscript"/>
              </w:rPr>
              <w:t>(1)</w:t>
            </w:r>
          </w:p>
        </w:tc>
        <w:tc>
          <w:tcPr>
            <w:tcW w:w="2180" w:type="dxa"/>
            <w:vAlign w:val="bottom"/>
            <w:gridSpan w:val="2"/>
          </w:tcPr>
          <w:p>
            <w:pPr>
              <w:jc w:val="center"/>
              <w:ind w:right="300"/>
              <w:spacing w:after="0" w:line="238" w:lineRule="exact"/>
              <w:rPr>
                <w:sz w:val="20"/>
                <w:szCs w:val="20"/>
                <w:color w:val="auto"/>
              </w:rPr>
            </w:pPr>
            <w:r>
              <w:rPr>
                <w:rFonts w:ascii="Times New Roman" w:cs="Times New Roman" w:eastAsia="Times New Roman" w:hAnsi="Times New Roman"/>
                <w:sz w:val="16"/>
                <w:szCs w:val="16"/>
                <w:b w:val="1"/>
                <w:bCs w:val="1"/>
                <w:color w:val="auto"/>
                <w:w w:val="92"/>
              </w:rPr>
              <w:t>Inputs</w:t>
            </w:r>
            <w:r>
              <w:rPr>
                <w:rFonts w:ascii="Times New Roman" w:cs="Times New Roman" w:eastAsia="Times New Roman" w:hAnsi="Times New Roman"/>
                <w:sz w:val="26"/>
                <w:szCs w:val="26"/>
                <w:b w:val="1"/>
                <w:bCs w:val="1"/>
                <w:color w:val="auto"/>
                <w:w w:val="92"/>
                <w:vertAlign w:val="superscript"/>
              </w:rPr>
              <w:t>(2)</w:t>
            </w:r>
          </w:p>
        </w:tc>
        <w:tc>
          <w:tcPr>
            <w:tcW w:w="2500" w:type="dxa"/>
            <w:vAlign w:val="bottom"/>
            <w:gridSpan w:val="2"/>
          </w:tcPr>
          <w:p>
            <w:pPr>
              <w:jc w:val="center"/>
              <w:ind w:right="140"/>
              <w:spacing w:after="0" w:line="238" w:lineRule="exact"/>
              <w:rPr>
                <w:sz w:val="20"/>
                <w:szCs w:val="20"/>
                <w:color w:val="auto"/>
              </w:rPr>
            </w:pPr>
            <w:r>
              <w:rPr>
                <w:rFonts w:ascii="Times New Roman" w:cs="Times New Roman" w:eastAsia="Times New Roman" w:hAnsi="Times New Roman"/>
                <w:sz w:val="16"/>
                <w:szCs w:val="16"/>
                <w:b w:val="1"/>
                <w:bCs w:val="1"/>
                <w:color w:val="auto"/>
                <w:w w:val="92"/>
              </w:rPr>
              <w:t>Average)</w:t>
            </w:r>
            <w:r>
              <w:rPr>
                <w:rFonts w:ascii="Times New Roman" w:cs="Times New Roman" w:eastAsia="Times New Roman" w:hAnsi="Times New Roman"/>
                <w:sz w:val="26"/>
                <w:szCs w:val="26"/>
                <w:b w:val="1"/>
                <w:bCs w:val="1"/>
                <w:color w:val="auto"/>
                <w:w w:val="92"/>
                <w:vertAlign w:val="superscript"/>
              </w:rPr>
              <w:t>(3)</w:t>
            </w:r>
          </w:p>
        </w:tc>
      </w:tr>
      <w:tr>
        <w:trPr>
          <w:trHeight w:val="191"/>
        </w:trPr>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Common stock in private companies</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39,086,792</w:t>
            </w: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Market approach</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10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0.15x - 11.13x (9.29x)</w:t>
            </w:r>
          </w:p>
        </w:tc>
        <w:tc>
          <w:tcPr>
            <w:tcW w:w="160" w:type="dxa"/>
            <w:vAlign w:val="bottom"/>
            <w:tcBorders>
              <w:top w:val="single" w:sz="8" w:color="CCEEFF"/>
            </w:tcBorders>
            <w:shd w:val="clear" w:color="auto" w:fill="CCEEFF"/>
          </w:tcPr>
          <w:p>
            <w:pPr>
              <w:spacing w:after="0"/>
              <w:rPr>
                <w:sz w:val="16"/>
                <w:szCs w:val="16"/>
                <w:color w:val="auto"/>
              </w:rPr>
            </w:pPr>
          </w:p>
        </w:tc>
      </w:tr>
      <w:tr>
        <w:trPr>
          <w:trHeight w:val="227"/>
        </w:trPr>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jc w:val="center"/>
              <w:ind w:right="300"/>
              <w:spacing w:after="0" w:line="227" w:lineRule="exact"/>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1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7"/>
              </w:rPr>
              <w:t>DLOM</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- 25.0% (18.5%)</w:t>
            </w:r>
          </w:p>
        </w:tc>
        <w:tc>
          <w:tcPr>
            <w:tcW w:w="160" w:type="dxa"/>
            <w:vAlign w:val="bottom"/>
            <w:shd w:val="clear" w:color="auto" w:fill="CCEEFF"/>
          </w:tcPr>
          <w:p>
            <w:pPr>
              <w:spacing w:after="0"/>
              <w:rPr>
                <w:sz w:val="19"/>
                <w:szCs w:val="19"/>
                <w:color w:val="auto"/>
              </w:rPr>
            </w:pPr>
          </w:p>
        </w:tc>
      </w:tr>
      <w:tr>
        <w:trPr>
          <w:trHeight w:val="227"/>
        </w:trPr>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center"/>
              <w:ind w:right="280"/>
              <w:spacing w:after="0" w:line="227" w:lineRule="exact"/>
              <w:rPr>
                <w:sz w:val="20"/>
                <w:szCs w:val="20"/>
                <w:color w:val="auto"/>
              </w:rPr>
            </w:pPr>
            <w:r>
              <w:rPr>
                <w:rFonts w:ascii="Times New Roman" w:cs="Times New Roman" w:eastAsia="Times New Roman" w:hAnsi="Times New Roman"/>
                <w:sz w:val="16"/>
                <w:szCs w:val="16"/>
                <w:color w:val="auto"/>
                <w:w w:val="96"/>
              </w:rPr>
              <w:t>AFFO</w:t>
            </w:r>
            <w:r>
              <w:rPr>
                <w:rFonts w:ascii="Times New Roman" w:cs="Times New Roman" w:eastAsia="Times New Roman" w:hAnsi="Times New Roman"/>
                <w:sz w:val="26"/>
                <w:szCs w:val="26"/>
                <w:color w:val="auto"/>
                <w:w w:val="96"/>
                <w:vertAlign w:val="superscript"/>
              </w:rPr>
              <w:t>(4)</w:t>
            </w:r>
            <w:r>
              <w:rPr>
                <w:rFonts w:ascii="Times New Roman" w:cs="Times New Roman" w:eastAsia="Times New Roman" w:hAnsi="Times New Roman"/>
                <w:sz w:val="16"/>
                <w:szCs w:val="16"/>
                <w:color w:val="auto"/>
                <w:w w:val="96"/>
              </w:rPr>
              <w:t xml:space="preserve"> multiple</w:t>
            </w:r>
          </w:p>
        </w:tc>
        <w:tc>
          <w:tcPr>
            <w:tcW w:w="2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10.79x</w:t>
            </w:r>
          </w:p>
        </w:tc>
      </w:tr>
      <w:tr>
        <w:trPr>
          <w:trHeight w:val="191"/>
        </w:trPr>
        <w:tc>
          <w:tcPr>
            <w:tcW w:w="2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8"/>
              </w:rPr>
              <w:t>Discount Rate</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r>
      <w:tr>
        <w:trPr>
          <w:trHeight w:val="174"/>
        </w:trPr>
        <w:tc>
          <w:tcPr>
            <w:tcW w:w="24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Preferred stock in private companies</w:t>
            </w:r>
          </w:p>
        </w:tc>
        <w:tc>
          <w:tcPr>
            <w:tcW w:w="120" w:type="dxa"/>
            <w:vAlign w:val="bottom"/>
          </w:tcPr>
          <w:p>
            <w:pPr>
              <w:spacing w:after="0"/>
              <w:rPr>
                <w:sz w:val="15"/>
                <w:szCs w:val="15"/>
                <w:color w:val="auto"/>
              </w:rPr>
            </w:pPr>
          </w:p>
        </w:tc>
        <w:tc>
          <w:tcPr>
            <w:tcW w:w="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122,744,564</w:t>
            </w:r>
          </w:p>
        </w:tc>
        <w:tc>
          <w:tcPr>
            <w:tcW w:w="2520" w:type="dxa"/>
            <w:vAlign w:val="bottom"/>
            <w:gridSpan w:val="3"/>
          </w:tcPr>
          <w:p>
            <w:pPr>
              <w:jc w:val="center"/>
              <w:ind w:right="280"/>
              <w:spacing w:after="0" w:line="175" w:lineRule="exact"/>
              <w:rPr>
                <w:sz w:val="20"/>
                <w:szCs w:val="20"/>
                <w:color w:val="auto"/>
              </w:rPr>
            </w:pPr>
            <w:r>
              <w:rPr>
                <w:rFonts w:ascii="Times New Roman" w:cs="Times New Roman" w:eastAsia="Times New Roman" w:hAnsi="Times New Roman"/>
                <w:sz w:val="16"/>
                <w:szCs w:val="16"/>
                <w:color w:val="auto"/>
                <w:w w:val="99"/>
              </w:rPr>
              <w:t>Market approach</w:t>
            </w:r>
          </w:p>
        </w:tc>
        <w:tc>
          <w:tcPr>
            <w:tcW w:w="218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6"/>
                <w:szCs w:val="16"/>
                <w:color w:val="auto"/>
                <w:w w:val="98"/>
              </w:rPr>
              <w:t>Revenue multiples</w:t>
            </w:r>
          </w:p>
        </w:tc>
        <w:tc>
          <w:tcPr>
            <w:tcW w:w="250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0.15x - 11.41x (2.73x)</w:t>
            </w:r>
          </w:p>
        </w:tc>
      </w:tr>
      <w:tr>
        <w:trPr>
          <w:trHeight w:val="243"/>
        </w:trPr>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3"/>
          </w:tcPr>
          <w:p>
            <w:pPr>
              <w:jc w:val="center"/>
              <w:ind w:right="300"/>
              <w:spacing w:after="0" w:line="243" w:lineRule="exact"/>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Discount rate</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r>
      <w:tr>
        <w:trPr>
          <w:trHeight w:val="191"/>
        </w:trPr>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Debt investments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3,098,734</w:t>
            </w:r>
          </w:p>
        </w:tc>
        <w:tc>
          <w:tcPr>
            <w:tcW w:w="25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9"/>
              </w:rPr>
              <w:t>Market approach</w:t>
            </w:r>
          </w:p>
        </w:tc>
        <w:tc>
          <w:tcPr>
            <w:tcW w:w="21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2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1.21x - 1.66x (1.56x)</w:t>
            </w:r>
          </w:p>
        </w:tc>
      </w:tr>
      <w:tr>
        <w:trPr>
          <w:trHeight w:val="227"/>
        </w:trPr>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jc w:val="center"/>
              <w:ind w:right="300"/>
              <w:spacing w:after="0" w:line="227" w:lineRule="exact"/>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1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7"/>
              </w:rPr>
              <w:t>DLOM</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r>
      <w:tr>
        <w:trPr>
          <w:trHeight w:val="210"/>
        </w:trPr>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Options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3,638,161</w:t>
            </w:r>
          </w:p>
        </w:tc>
        <w:tc>
          <w:tcPr>
            <w:tcW w:w="2520" w:type="dxa"/>
            <w:vAlign w:val="bottom"/>
            <w:gridSpan w:val="3"/>
          </w:tcPr>
          <w:p>
            <w:pPr>
              <w:jc w:val="center"/>
              <w:ind w:right="300"/>
              <w:spacing w:after="0" w:line="210" w:lineRule="exact"/>
              <w:rPr>
                <w:sz w:val="20"/>
                <w:szCs w:val="20"/>
                <w:color w:val="auto"/>
              </w:rPr>
            </w:pPr>
            <w:r>
              <w:rPr>
                <w:rFonts w:ascii="Times New Roman" w:cs="Times New Roman" w:eastAsia="Times New Roman" w:hAnsi="Times New Roman"/>
                <w:sz w:val="15"/>
                <w:szCs w:val="15"/>
                <w:color w:val="auto"/>
              </w:rPr>
              <w:t>PWERM</w:t>
            </w:r>
            <w:r>
              <w:rPr>
                <w:rFonts w:ascii="Times New Roman" w:cs="Times New Roman" w:eastAsia="Times New Roman" w:hAnsi="Times New Roman"/>
                <w:sz w:val="24"/>
                <w:szCs w:val="24"/>
                <w:color w:val="auto"/>
                <w:vertAlign w:val="superscript"/>
              </w:rPr>
              <w:t>(5)</w:t>
            </w: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7"/>
              </w:rPr>
              <w:t>Term to expiration (Years)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0.65 - 5.63 (0.79)</w:t>
            </w:r>
          </w:p>
        </w:tc>
        <w:tc>
          <w:tcPr>
            <w:tcW w:w="160" w:type="dxa"/>
            <w:vAlign w:val="bottom"/>
          </w:tcPr>
          <w:p>
            <w:pPr>
              <w:spacing w:after="0"/>
              <w:rPr>
                <w:sz w:val="18"/>
                <w:szCs w:val="18"/>
                <w:color w:val="auto"/>
              </w:rPr>
            </w:pPr>
          </w:p>
        </w:tc>
      </w:tr>
      <w:tr>
        <w:trPr>
          <w:trHeight w:val="191"/>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4"/>
              </w:rPr>
              <w:t>Volatility</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8"/>
              </w:rPr>
              <w:t>Discount Rate</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r>
      <w:tr>
        <w:trPr>
          <w:trHeight w:val="208"/>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7"/>
              </w:rPr>
              <w:t>DLOM</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- 18% (16.0%)</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0" w:lineRule="exact"/>
        <w:rPr>
          <w:sz w:val="20"/>
          <w:szCs w:val="20"/>
          <w:color w:val="auto"/>
        </w:rPr>
      </w:pPr>
    </w:p>
    <w:p>
      <w:pPr>
        <w:jc w:val="both"/>
        <w:ind w:left="565" w:hanging="565"/>
        <w:spacing w:after="0" w:line="253" w:lineRule="auto"/>
        <w:tabs>
          <w:tab w:leader="none" w:pos="56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2" w:lineRule="exact"/>
        <w:rPr>
          <w:rFonts w:ascii="Times New Roman" w:cs="Times New Roman" w:eastAsia="Times New Roman" w:hAnsi="Times New Roman"/>
          <w:sz w:val="16"/>
          <w:szCs w:val="16"/>
          <w:color w:val="auto"/>
        </w:rPr>
      </w:pPr>
    </w:p>
    <w:p>
      <w:pPr>
        <w:jc w:val="both"/>
        <w:ind w:left="565" w:hanging="565"/>
        <w:spacing w:after="0" w:line="250" w:lineRule="auto"/>
        <w:tabs>
          <w:tab w:leader="none" w:pos="56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6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29" w:name="page30"/>
    <w:bookmarkEnd w:id="29"/>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200" w:lineRule="exact"/>
        <w:rPr>
          <w:sz w:val="20"/>
          <w:szCs w:val="20"/>
          <w:color w:val="auto"/>
        </w:rPr>
      </w:pPr>
    </w:p>
    <w:p>
      <w:pPr>
        <w:ind w:left="565" w:hanging="565"/>
        <w:spacing w:after="0"/>
        <w:tabs>
          <w:tab w:leader="none" w:pos="56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spacing w:after="0" w:line="23"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spacing w:after="0" w:line="18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aggregate values of Level 3 assets and liabilities changed during the three months ended March 31, 2024 as follows:</w:t>
      </w:r>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9"/>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20"/>
              <w:spacing w:after="0" w:line="17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line="172" w:lineRule="exact"/>
              <w:rPr>
                <w:sz w:val="20"/>
                <w:szCs w:val="20"/>
                <w:color w:val="auto"/>
              </w:rPr>
            </w:pPr>
            <w:r>
              <w:rPr>
                <w:rFonts w:ascii="Times New Roman" w:cs="Times New Roman" w:eastAsia="Times New Roman" w:hAnsi="Times New Roman"/>
                <w:sz w:val="16"/>
                <w:szCs w:val="16"/>
                <w:b w:val="1"/>
                <w:bCs w:val="1"/>
                <w:color w:val="auto"/>
              </w:rPr>
              <w:t>Preferred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740"/>
              <w:spacing w:after="0" w:line="172" w:lineRule="exact"/>
              <w:rPr>
                <w:sz w:val="20"/>
                <w:szCs w:val="20"/>
                <w:color w:val="auto"/>
              </w:rPr>
            </w:pPr>
            <w:r>
              <w:rPr>
                <w:rFonts w:ascii="Times New Roman" w:cs="Times New Roman" w:eastAsia="Times New Roman" w:hAnsi="Times New Roman"/>
                <w:sz w:val="16"/>
                <w:szCs w:val="16"/>
                <w:b w:val="1"/>
                <w:bCs w:val="1"/>
                <w:color w:val="auto"/>
              </w:rPr>
              <w:t>Debt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39,086,792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122,744,564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3,098,734</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3,638,161</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168,568,251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capitalized fees and interest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10,003,934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10,003,934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change in unrealized appreciation/(depreciation) included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in earnings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1,873,892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(18,814,105)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344,242</w:t>
            </w:r>
          </w:p>
        </w:tc>
        <w:tc>
          <w:tcPr>
            <w:tcW w:w="1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(142,828)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(16,738,799)</w:t>
            </w: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March 31, 2024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40,960,684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113,934,393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3,442,976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3,495,333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161,833,386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7" w:lineRule="exact"/>
              <w:rPr>
                <w:sz w:val="20"/>
                <w:szCs w:val="20"/>
                <w:color w:val="auto"/>
              </w:rPr>
            </w:pPr>
            <w:r>
              <w:rPr>
                <w:rFonts w:ascii="Times New Roman" w:cs="Times New Roman" w:eastAsia="Times New Roman" w:hAnsi="Times New Roman"/>
                <w:sz w:val="16"/>
                <w:szCs w:val="16"/>
                <w:color w:val="auto"/>
              </w:rPr>
              <w:t>Net change in unrealized appreciation/ (depreciation) of</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Level 3 investments still held as of March 31, 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1,873,892</w:t>
            </w:r>
          </w:p>
        </w:tc>
        <w:tc>
          <w:tcPr>
            <w:tcW w:w="1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(18,814,105)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344,242</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(142,828)</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(16,738,799)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aggregate values of Level 3 assets and liabilities changed during the year ended December 31, 2023 as follows:</w:t>
      </w:r>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line="17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line="172" w:lineRule="exact"/>
              <w:rPr>
                <w:sz w:val="20"/>
                <w:szCs w:val="20"/>
                <w:color w:val="auto"/>
              </w:rPr>
            </w:pPr>
            <w:r>
              <w:rPr>
                <w:rFonts w:ascii="Times New Roman" w:cs="Times New Roman" w:eastAsia="Times New Roman" w:hAnsi="Times New Roman"/>
                <w:sz w:val="16"/>
                <w:szCs w:val="16"/>
                <w:b w:val="1"/>
                <w:bCs w:val="1"/>
                <w:color w:val="auto"/>
              </w:rPr>
              <w:t>Preferred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740"/>
              <w:spacing w:after="0" w:line="172" w:lineRule="exact"/>
              <w:rPr>
                <w:sz w:val="20"/>
                <w:szCs w:val="20"/>
                <w:color w:val="auto"/>
              </w:rPr>
            </w:pPr>
            <w:r>
              <w:rPr>
                <w:rFonts w:ascii="Times New Roman" w:cs="Times New Roman" w:eastAsia="Times New Roman" w:hAnsi="Times New Roman"/>
                <w:sz w:val="16"/>
                <w:szCs w:val="16"/>
                <w:b w:val="1"/>
                <w:bCs w:val="1"/>
                <w:color w:val="auto"/>
              </w:rPr>
              <w:t>Debt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18,692,931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117,214,465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4,488,200</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3,469,497</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143,865,093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out of Level 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(1,554,355)</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(1,157,487)</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(2,711,842)</w:t>
            </w:r>
          </w:p>
        </w:tc>
        <w:tc>
          <w:tcPr>
            <w:tcW w:w="0" w:type="dxa"/>
            <w:vAlign w:val="bottom"/>
          </w:tcPr>
          <w:p>
            <w:pPr>
              <w:spacing w:after="0"/>
              <w:rPr>
                <w:sz w:val="1"/>
                <w:szCs w:val="1"/>
                <w:color w:val="auto"/>
              </w:rPr>
            </w:pPr>
          </w:p>
        </w:tc>
      </w:tr>
      <w:tr>
        <w:trPr>
          <w:trHeight w:val="19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Purchases, capitalized fees and interest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19,380,910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2,510,363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329,883</w:t>
            </w:r>
          </w:p>
        </w:tc>
        <w:tc>
          <w:tcPr>
            <w:tcW w:w="20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2,264,274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24,485,430</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Sales/Maturity of investments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(369,222)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(1,000,000)</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(5,080)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(1,374,302)</w:t>
            </w:r>
          </w:p>
        </w:tc>
        <w:tc>
          <w:tcPr>
            <w:tcW w:w="0" w:type="dxa"/>
            <w:vAlign w:val="bottom"/>
          </w:tcPr>
          <w:p>
            <w:pPr>
              <w:spacing w:after="0"/>
              <w:rPr>
                <w:sz w:val="1"/>
                <w:szCs w:val="1"/>
                <w:color w:val="auto"/>
              </w:rPr>
            </w:pPr>
          </w:p>
        </w:tc>
      </w:tr>
      <w:tr>
        <w:trPr>
          <w:trHeight w:val="227"/>
        </w:trPr>
        <w:tc>
          <w:tcPr>
            <w:tcW w:w="406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Exercises and conversions</w:t>
            </w:r>
            <w:r>
              <w:rPr>
                <w:rFonts w:ascii="Times New Roman" w:cs="Times New Roman" w:eastAsia="Times New Roman" w:hAnsi="Times New Roman"/>
                <w:sz w:val="26"/>
                <w:szCs w:val="26"/>
                <w:color w:val="auto"/>
                <w:vertAlign w:val="superscript"/>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3,751,518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(2,859,095)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(500,000)</w:t>
            </w:r>
          </w:p>
        </w:tc>
        <w:tc>
          <w:tcPr>
            <w:tcW w:w="2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(361,603)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30,820</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gains/(losses)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1,195,703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(10,914,376)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(96,350)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(9,815,023)</w:t>
            </w:r>
          </w:p>
        </w:tc>
        <w:tc>
          <w:tcPr>
            <w:tcW w:w="0" w:type="dxa"/>
            <w:vAlign w:val="bottom"/>
          </w:tcPr>
          <w:p>
            <w:pPr>
              <w:spacing w:after="0"/>
              <w:rPr>
                <w:sz w:val="1"/>
                <w:szCs w:val="1"/>
                <w:color w:val="auto"/>
              </w:rPr>
            </w:pPr>
          </w:p>
        </w:tc>
      </w:tr>
      <w:tr>
        <w:trPr>
          <w:trHeight w:val="174"/>
        </w:trPr>
        <w:tc>
          <w:tcPr>
            <w:tcW w:w="40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change in unrealized appreciation/(depreciation) included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in earnings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(2,010,693)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16,793,207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(219,349)</w:t>
            </w:r>
          </w:p>
        </w:tc>
        <w:tc>
          <w:tcPr>
            <w:tcW w:w="2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(475,090)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14,088,075</w:t>
            </w: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39,086,792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122,744,564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3,098,734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3,638,161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168,568,251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7" w:lineRule="exact"/>
              <w:rPr>
                <w:sz w:val="20"/>
                <w:szCs w:val="20"/>
                <w:color w:val="auto"/>
              </w:rPr>
            </w:pPr>
            <w:r>
              <w:rPr>
                <w:rFonts w:ascii="Times New Roman" w:cs="Times New Roman" w:eastAsia="Times New Roman" w:hAnsi="Times New Roman"/>
                <w:sz w:val="16"/>
                <w:szCs w:val="16"/>
                <w:color w:val="auto"/>
              </w:rPr>
              <w:t>Net change in unrealized appreciation/ (depreciation) of</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Level 3 investments still held as of December 31, 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(2,010,694)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5,878,830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(219,349)</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(512,480)</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3,136,307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0" w:lineRule="exact"/>
        <w:rPr>
          <w:sz w:val="20"/>
          <w:szCs w:val="20"/>
          <w:color w:val="auto"/>
        </w:rPr>
      </w:pPr>
    </w:p>
    <w:p>
      <w:pPr>
        <w:ind w:left="565" w:hanging="565"/>
        <w:spacing w:after="0"/>
        <w:tabs>
          <w:tab w:leader="none" w:pos="56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2023, the Company’s portfolio investments had the following corporate actions which are reflected above:</w:t>
      </w:r>
    </w:p>
    <w:p>
      <w:pPr>
        <w:sectPr>
          <w:pgSz w:w="11900" w:h="16838" w:orient="portrait"/>
          <w:cols w:equalWidth="0" w:num="1">
            <w:col w:w="11265"/>
          </w:cols>
          <w:pgMar w:left="315" w:top="218" w:right="319" w:bottom="1440" w:gutter="0" w:footer="0" w:header="0"/>
        </w:sectPr>
      </w:pPr>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Pr>
          <w:p>
            <w:pPr>
              <w:spacing w:after="0"/>
              <w:rPr>
                <w:sz w:val="18"/>
                <w:szCs w:val="18"/>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Conversion from</w:t>
            </w:r>
          </w:p>
        </w:tc>
        <w:tc>
          <w:tcPr>
            <w:tcW w:w="0" w:type="dxa"/>
            <w:vAlign w:val="bottom"/>
          </w:tcPr>
          <w:p>
            <w:pPr>
              <w:spacing w:after="0"/>
              <w:rPr>
                <w:sz w:val="1"/>
                <w:szCs w:val="1"/>
                <w:color w:val="auto"/>
              </w:rPr>
            </w:pPr>
          </w:p>
        </w:tc>
      </w:tr>
      <w:tr>
        <w:trPr>
          <w:trHeight w:val="27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Orchard Technologies, Inc.</w:t>
            </w: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Preferred shares, Series D</w:t>
            </w:r>
          </w:p>
        </w:tc>
        <w:tc>
          <w:tcPr>
            <w:tcW w:w="0" w:type="dxa"/>
            <w:vAlign w:val="bottom"/>
          </w:tcPr>
          <w:p>
            <w:pPr>
              <w:spacing w:after="0"/>
              <w:rPr>
                <w:sz w:val="1"/>
                <w:szCs w:val="1"/>
                <w:color w:val="auto"/>
              </w:rPr>
            </w:pPr>
          </w:p>
        </w:tc>
      </w:tr>
      <w:tr>
        <w:trPr>
          <w:trHeight w:val="112"/>
        </w:trPr>
        <w:tc>
          <w:tcPr>
            <w:tcW w:w="3820" w:type="dxa"/>
            <w:vAlign w:val="bottom"/>
            <w:gridSpan w:val="2"/>
            <w:vMerge w:val="continue"/>
          </w:tcPr>
          <w:p>
            <w:pPr>
              <w:spacing w:after="0"/>
              <w:rPr>
                <w:sz w:val="9"/>
                <w:szCs w:val="9"/>
                <w:color w:val="auto"/>
              </w:rPr>
            </w:pP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Simple Agreement for Future Equity</w:t>
            </w: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Shogun Enterprises, Inc. (d/b/a Hearth)</w:t>
            </w: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Convertible Note 0.5%</w:t>
            </w:r>
          </w:p>
        </w:tc>
        <w:tc>
          <w:tcPr>
            <w:tcW w:w="0" w:type="dxa"/>
            <w:vAlign w:val="bottom"/>
          </w:tcPr>
          <w:p>
            <w:pPr>
              <w:spacing w:after="0"/>
              <w:rPr>
                <w:sz w:val="1"/>
                <w:szCs w:val="1"/>
                <w:color w:val="auto"/>
              </w:rPr>
            </w:pPr>
          </w:p>
        </w:tc>
      </w:tr>
      <w:tr>
        <w:trPr>
          <w:trHeight w:val="365"/>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Colombier Sponsor LLC</w:t>
            </w: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Class B Units</w:t>
            </w:r>
          </w:p>
        </w:tc>
        <w:tc>
          <w:tcPr>
            <w:tcW w:w="0" w:type="dxa"/>
            <w:vAlign w:val="bottom"/>
          </w:tcPr>
          <w:p>
            <w:pPr>
              <w:spacing w:after="0"/>
              <w:rPr>
                <w:sz w:val="1"/>
                <w:szCs w:val="1"/>
                <w:color w:val="auto"/>
              </w:rPr>
            </w:pPr>
          </w:p>
        </w:tc>
      </w:tr>
      <w:tr>
        <w:trPr>
          <w:trHeight w:val="112"/>
        </w:trPr>
        <w:tc>
          <w:tcPr>
            <w:tcW w:w="3820" w:type="dxa"/>
            <w:vAlign w:val="bottom"/>
            <w:gridSpan w:val="2"/>
            <w:vMerge w:val="continue"/>
          </w:tcPr>
          <w:p>
            <w:pPr>
              <w:spacing w:after="0"/>
              <w:rPr>
                <w:sz w:val="9"/>
                <w:szCs w:val="9"/>
                <w:color w:val="auto"/>
              </w:rPr>
            </w:pP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Class W Units</w:t>
            </w: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7"/>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AltC Sponsor LLC</w:t>
            </w: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Share units</w:t>
            </w:r>
          </w:p>
        </w:tc>
        <w:tc>
          <w:tcPr>
            <w:tcW w:w="0" w:type="dxa"/>
            <w:vAlign w:val="bottom"/>
          </w:tcPr>
          <w:p>
            <w:pPr>
              <w:spacing w:after="0"/>
              <w:rPr>
                <w:sz w:val="1"/>
                <w:szCs w:val="1"/>
                <w:color w:val="auto"/>
              </w:rPr>
            </w:pPr>
          </w:p>
        </w:tc>
      </w:tr>
      <w:tr>
        <w:trPr>
          <w:trHeight w:val="477"/>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-969645</wp:posOffset>
            </wp:positionV>
            <wp:extent cx="7148195" cy="485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485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-1470025</wp:posOffset>
            </wp:positionV>
            <wp:extent cx="7148195" cy="379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379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Conversion to</w:t>
      </w:r>
    </w:p>
    <w:p>
      <w:pPr>
        <w:spacing w:after="0" w:line="33" w:lineRule="exact"/>
        <w:rPr>
          <w:sz w:val="20"/>
          <w:szCs w:val="20"/>
          <w:color w:val="auto"/>
        </w:rPr>
      </w:pPr>
    </w:p>
    <w:p>
      <w:pPr>
        <w:jc w:val="center"/>
        <w:ind w:left="620" w:right="140"/>
        <w:spacing w:after="0" w:line="254" w:lineRule="auto"/>
        <w:rPr>
          <w:sz w:val="20"/>
          <w:szCs w:val="20"/>
          <w:color w:val="auto"/>
        </w:rPr>
      </w:pPr>
      <w:r>
        <w:rPr>
          <w:rFonts w:ascii="Times New Roman" w:cs="Times New Roman" w:eastAsia="Times New Roman" w:hAnsi="Times New Roman"/>
          <w:sz w:val="16"/>
          <w:szCs w:val="16"/>
          <w:color w:val="auto"/>
        </w:rPr>
        <w:t>Senior Preferred shares, Series 1 Senior Preferred shares, Series 2 Common Shares, Class A Preferred Shares, Series B-3</w:t>
      </w:r>
    </w:p>
    <w:p>
      <w:pPr>
        <w:spacing w:after="0" w:line="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5"/>
          <w:szCs w:val="15"/>
          <w:color w:val="auto"/>
        </w:rPr>
        <w:t>PSQ Holdings, Inc. (d/b/a PublicSquare) - Common</w:t>
      </w:r>
    </w:p>
    <w:p>
      <w:pPr>
        <w:spacing w:after="0" w:line="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shares, Class A (Level 2)</w:t>
      </w:r>
    </w:p>
    <w:p>
      <w:pPr>
        <w:spacing w:after="0" w:line="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PSQ Holdings, Inc. (d/b/a PublicSquare) Warrants</w:t>
      </w:r>
    </w:p>
    <w:p>
      <w:pPr>
        <w:spacing w:after="0" w:line="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(Level 1)</w:t>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Common shares, Class A</w:t>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Common shares, Class B</w:t>
      </w:r>
    </w:p>
    <w:p>
      <w:pPr>
        <w:sectPr>
          <w:pgSz w:w="11900" w:h="16838" w:orient="portrait"/>
          <w:cols w:equalWidth="0" w:num="2">
            <w:col w:w="7445" w:space="360"/>
            <w:col w:w="3460"/>
          </w:cols>
          <w:pgMar w:left="315" w:top="218" w:right="3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 of Investments In, and Advances to, Affiliates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Transactions during the three months ended March 31, 2024 involving the Company’s controlled investments and non-controlled/affiliate investments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Fees, or</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at March</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Credited</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10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6"/>
                <w:szCs w:val="16"/>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0" w:type="dxa"/>
            <w:vAlign w:val="bottom"/>
          </w:tcPr>
          <w:p>
            <w:pPr>
              <w:spacing w:after="0"/>
              <w:rPr>
                <w:sz w:val="1"/>
                <w:szCs w:val="1"/>
                <w:color w:val="auto"/>
              </w:rPr>
            </w:pPr>
          </w:p>
        </w:tc>
      </w:tr>
      <w:tr>
        <w:trPr>
          <w:trHeight w:val="213"/>
        </w:trPr>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Type/Industry/Portfolio Company/Investment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7"/>
              </w:rPr>
              <w:t>Quantity</w:t>
            </w: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Income</w:t>
            </w:r>
          </w:p>
        </w:tc>
        <w:tc>
          <w:tcPr>
            <w:tcW w:w="120" w:type="dxa"/>
            <w:vAlign w:val="bottom"/>
          </w:tcPr>
          <w:p>
            <w:pPr>
              <w:spacing w:after="0"/>
              <w:rPr>
                <w:sz w:val="18"/>
                <w:szCs w:val="18"/>
                <w:color w:val="auto"/>
              </w:rPr>
            </w:pPr>
          </w:p>
        </w:tc>
        <w:tc>
          <w:tcPr>
            <w:tcW w:w="8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80" w:type="dxa"/>
            <w:vAlign w:val="bottom"/>
          </w:tcPr>
          <w:p>
            <w:pPr>
              <w:spacing w:after="0"/>
              <w:rPr>
                <w:sz w:val="18"/>
                <w:szCs w:val="18"/>
                <w:color w:val="auto"/>
              </w:rPr>
            </w:pPr>
          </w:p>
        </w:tc>
        <w:tc>
          <w:tcPr>
            <w:tcW w:w="74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31"/>
        </w:trPr>
        <w:tc>
          <w:tcPr>
            <w:tcW w:w="2400" w:type="dxa"/>
            <w:vAlign w:val="bottom"/>
            <w:tcBorders>
              <w:top w:val="single" w:sz="8" w:color="auto"/>
              <w:bottom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CONTROLLED INVESTMENTS*</w:t>
            </w:r>
          </w:p>
        </w:tc>
        <w:tc>
          <w:tcPr>
            <w:tcW w:w="160" w:type="dxa"/>
            <w:vAlign w:val="bottom"/>
            <w:tcBorders>
              <w:top w:val="single" w:sz="8" w:color="auto"/>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(2)</w:t>
            </w:r>
          </w:p>
        </w:tc>
        <w:tc>
          <w:tcPr>
            <w:tcW w:w="86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400" w:type="dxa"/>
            <w:vAlign w:val="bottom"/>
            <w:tcBorders>
              <w:bottom w:val="single" w:sz="8" w:color="auto"/>
            </w:tcBorders>
            <w:gridSpan w:val="3"/>
            <w:vMerge w:val="continue"/>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Special Purpose Acquisition Company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gridSpan w:val="6"/>
          </w:tcPr>
          <w:p>
            <w:pPr>
              <w:ind w:left="320"/>
              <w:spacing w:after="0"/>
              <w:rPr>
                <w:sz w:val="20"/>
                <w:szCs w:val="20"/>
                <w:color w:val="auto"/>
              </w:rPr>
            </w:pPr>
            <w:r>
              <w:rPr>
                <w:rFonts w:ascii="Times New Roman" w:cs="Times New Roman" w:eastAsia="Times New Roman" w:hAnsi="Times New Roman"/>
                <w:sz w:val="16"/>
                <w:szCs w:val="16"/>
                <w:color w:val="auto"/>
              </w:rPr>
              <w:t>Colombier Sponsor II LLC**–Class W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1,600,000</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498,305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498,305</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191"/>
        </w:trPr>
        <w:tc>
          <w:tcPr>
            <w:tcW w:w="34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498,305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498,305</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191"/>
        </w:trPr>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20" w:type="dxa"/>
            <w:vAlign w:val="bottom"/>
            <w:gridSpan w:val="6"/>
          </w:tcPr>
          <w:p>
            <w:pPr>
              <w:ind w:left="320"/>
              <w:spacing w:after="0" w:line="175" w:lineRule="exact"/>
              <w:rPr>
                <w:sz w:val="20"/>
                <w:szCs w:val="20"/>
                <w:color w:val="auto"/>
              </w:rPr>
            </w:pPr>
            <w:r>
              <w:rPr>
                <w:rFonts w:ascii="Times New Roman" w:cs="Times New Roman" w:eastAsia="Times New Roman" w:hAnsi="Times New Roman"/>
                <w:sz w:val="16"/>
                <w:szCs w:val="16"/>
                <w:color w:val="auto"/>
              </w:rPr>
              <w:t>SPBRX, INC. (f/k/a GSV Sustainability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20" w:type="dxa"/>
            <w:vAlign w:val="bottom"/>
            <w:gridSpan w:val="6"/>
          </w:tcPr>
          <w:p>
            <w:pPr>
              <w:ind w:left="320"/>
              <w:spacing w:after="0"/>
              <w:rPr>
                <w:sz w:val="20"/>
                <w:szCs w:val="20"/>
                <w:color w:val="auto"/>
              </w:rPr>
            </w:pPr>
            <w:r>
              <w:rPr>
                <w:rFonts w:ascii="Times New Roman" w:cs="Times New Roman" w:eastAsia="Times New Roman" w:hAnsi="Times New Roman"/>
                <w:sz w:val="16"/>
                <w:szCs w:val="16"/>
                <w:color w:val="auto"/>
              </w:rPr>
              <w:t>Partners, Inc.)–Preferred shares, Class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7"/>
              </w:rPr>
              <w:t>14,300,000</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382,381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(6,500)</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375,881</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191"/>
        </w:trPr>
        <w:tc>
          <w:tcPr>
            <w:tcW w:w="34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382,381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(6,500)</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375,881</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191"/>
        </w:trPr>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20" w:type="dxa"/>
            <w:vAlign w:val="bottom"/>
            <w:gridSpan w:val="6"/>
          </w:tcPr>
          <w:p>
            <w:pPr>
              <w:ind w:left="320"/>
              <w:spacing w:after="0" w:line="175" w:lineRule="exact"/>
              <w:rPr>
                <w:sz w:val="20"/>
                <w:szCs w:val="20"/>
                <w:color w:val="auto"/>
              </w:rPr>
            </w:pPr>
            <w:r>
              <w:rPr>
                <w:rFonts w:ascii="Times New Roman" w:cs="Times New Roman" w:eastAsia="Times New Roman" w:hAnsi="Times New Roman"/>
                <w:sz w:val="16"/>
                <w:szCs w:val="16"/>
                <w:color w:val="auto"/>
              </w:rPr>
              <w:t>SPBRX, INC. (f/k/a GSV Sustainability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20" w:type="dxa"/>
            <w:vAlign w:val="bottom"/>
            <w:gridSpan w:val="6"/>
          </w:tcPr>
          <w:p>
            <w:pPr>
              <w:ind w:left="320"/>
              <w:spacing w:after="0"/>
              <w:rPr>
                <w:sz w:val="20"/>
                <w:szCs w:val="20"/>
                <w:color w:val="auto"/>
              </w:rPr>
            </w:pPr>
            <w:r>
              <w:rPr>
                <w:rFonts w:ascii="Times New Roman" w:cs="Times New Roman" w:eastAsia="Times New Roman" w:hAnsi="Times New Roman"/>
                <w:sz w:val="16"/>
                <w:szCs w:val="16"/>
                <w:color w:val="auto"/>
              </w:rPr>
              <w:t>Partners, Inc.)–Common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42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Mobile Finance Technology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20" w:type="dxa"/>
            <w:vAlign w:val="bottom"/>
            <w:gridSpan w:val="6"/>
          </w:tcPr>
          <w:p>
            <w:pPr>
              <w:ind w:left="320"/>
              <w:spacing w:after="0" w:line="175" w:lineRule="exact"/>
              <w:rPr>
                <w:sz w:val="20"/>
                <w:szCs w:val="20"/>
                <w:color w:val="auto"/>
              </w:rPr>
            </w:pPr>
            <w:r>
              <w:rPr>
                <w:rFonts w:ascii="Times New Roman" w:cs="Times New Roman" w:eastAsia="Times New Roman" w:hAnsi="Times New Roman"/>
                <w:sz w:val="16"/>
                <w:szCs w:val="16"/>
                <w:color w:val="auto"/>
              </w:rPr>
              <w:t>Architect Capital PayJoy SPV, LLC**–</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20" w:type="dxa"/>
            <w:vAlign w:val="bottom"/>
            <w:gridSpan w:val="6"/>
          </w:tcPr>
          <w:p>
            <w:pPr>
              <w:ind w:left="320"/>
              <w:spacing w:after="0"/>
              <w:rPr>
                <w:sz w:val="20"/>
                <w:szCs w:val="20"/>
                <w:color w:val="auto"/>
              </w:rPr>
            </w:pPr>
            <w:r>
              <w:rPr>
                <w:rFonts w:ascii="Times New Roman" w:cs="Times New Roman" w:eastAsia="Times New Roman" w:hAnsi="Times New Roman"/>
                <w:sz w:val="16"/>
                <w:szCs w:val="16"/>
                <w:color w:val="auto"/>
              </w:rPr>
              <w:t>Membership Interest in Lending SPV***</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7"/>
              </w:rPr>
              <w:t>10,000,000</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435,000</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10,000,000</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191"/>
        </w:trPr>
        <w:tc>
          <w:tcPr>
            <w:tcW w:w="342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Special Purpose Acquisition Company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gridSpan w:val="6"/>
          </w:tcPr>
          <w:p>
            <w:pPr>
              <w:ind w:left="320"/>
              <w:spacing w:after="0"/>
              <w:rPr>
                <w:sz w:val="20"/>
                <w:szCs w:val="20"/>
                <w:color w:val="auto"/>
              </w:rPr>
            </w:pPr>
            <w:r>
              <w:rPr>
                <w:rFonts w:ascii="Times New Roman" w:cs="Times New Roman" w:eastAsia="Times New Roman" w:hAnsi="Times New Roman"/>
                <w:sz w:val="16"/>
                <w:szCs w:val="16"/>
                <w:color w:val="auto"/>
              </w:rPr>
              <w:t>Colombier Sponsor II LLC**–Class B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1,040,000</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1,101,695</w:t>
            </w:r>
          </w:p>
        </w:tc>
        <w:tc>
          <w:tcPr>
            <w:tcW w:w="80" w:type="dxa"/>
            <w:vAlign w:val="bottom"/>
          </w:tcPr>
          <w:p>
            <w:pPr>
              <w:spacing w:after="0"/>
              <w:rPr>
                <w:sz w:val="16"/>
                <w:szCs w:val="16"/>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203"/>
        </w:trPr>
        <w:tc>
          <w:tcPr>
            <w:tcW w:w="34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11,101,695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11,101,695</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gridSpan w:val="6"/>
            <w:vMerge w:val="restart"/>
          </w:tcPr>
          <w:p>
            <w:pPr>
              <w:spacing w:after="0" w:line="219" w:lineRule="exact"/>
              <w:rPr>
                <w:sz w:val="20"/>
                <w:szCs w:val="20"/>
                <w:color w:val="auto"/>
              </w:rPr>
            </w:pPr>
            <w:r>
              <w:rPr>
                <w:rFonts w:ascii="Times New Roman" w:cs="Times New Roman" w:eastAsia="Times New Roman" w:hAnsi="Times New Roman"/>
                <w:sz w:val="15"/>
                <w:szCs w:val="15"/>
                <w:b w:val="1"/>
                <w:bCs w:val="1"/>
                <w:color w:val="auto"/>
              </w:rPr>
              <w:t>TOTAL CONTROLLED INVESTMENTS*</w:t>
            </w:r>
            <w:r>
              <w:rPr>
                <w:rFonts w:ascii="Times New Roman" w:cs="Times New Roman" w:eastAsia="Times New Roman" w:hAnsi="Times New Roman"/>
                <w:sz w:val="25"/>
                <w:szCs w:val="25"/>
                <w:b w:val="1"/>
                <w:bCs w:val="1"/>
                <w:color w:val="auto"/>
                <w:vertAlign w:val="superscript"/>
              </w:rPr>
              <w:t>(2)</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2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435,000</w:t>
            </w: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11,982,381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(6,500)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11,975,881</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6.59%</w:t>
            </w:r>
          </w:p>
        </w:tc>
        <w:tc>
          <w:tcPr>
            <w:tcW w:w="0" w:type="dxa"/>
            <w:vAlign w:val="bottom"/>
          </w:tcPr>
          <w:p>
            <w:pPr>
              <w:spacing w:after="0"/>
              <w:rPr>
                <w:sz w:val="1"/>
                <w:szCs w:val="1"/>
                <w:color w:val="auto"/>
              </w:rPr>
            </w:pPr>
          </w:p>
        </w:tc>
      </w:tr>
      <w:tr>
        <w:trPr>
          <w:trHeight w:val="155"/>
        </w:trPr>
        <w:tc>
          <w:tcPr>
            <w:tcW w:w="2440" w:type="dxa"/>
            <w:vAlign w:val="bottom"/>
            <w:tcBorders>
              <w:bottom w:val="single" w:sz="8" w:color="auto"/>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NON-CONTROLLED/AFFILIATE</w:t>
            </w:r>
          </w:p>
        </w:tc>
        <w:tc>
          <w:tcPr>
            <w:tcW w:w="98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2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INVESTMENTS*</w:t>
            </w:r>
          </w:p>
        </w:tc>
        <w:tc>
          <w:tcPr>
            <w:tcW w:w="1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78"/>
              </w:rPr>
              <w:t>(1)</w:t>
            </w:r>
          </w:p>
        </w:tc>
        <w:tc>
          <w:tcPr>
            <w:tcW w:w="2040" w:type="dxa"/>
            <w:vAlign w:val="bottom"/>
            <w:tcBorders>
              <w:bottom w:val="single" w:sz="8" w:color="CCEEFF"/>
            </w:tcBorders>
            <w:gridSpan w:val="4"/>
            <w:vMerge w:val="restart"/>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1240" w:type="dxa"/>
            <w:vAlign w:val="bottom"/>
            <w:tcBorders>
              <w:bottom w:val="single" w:sz="8" w:color="auto"/>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040" w:type="dxa"/>
            <w:vAlign w:val="bottom"/>
            <w:tcBorders>
              <w:bottom w:val="single" w:sz="8" w:color="CCEEFF"/>
            </w:tcBorders>
            <w:gridSpan w:val="4"/>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20" w:type="dxa"/>
            <w:vAlign w:val="bottom"/>
            <w:gridSpan w:val="6"/>
          </w:tcPr>
          <w:p>
            <w:pPr>
              <w:ind w:left="320"/>
              <w:spacing w:after="0" w:line="175" w:lineRule="exact"/>
              <w:rPr>
                <w:sz w:val="20"/>
                <w:szCs w:val="20"/>
                <w:color w:val="auto"/>
              </w:rPr>
            </w:pPr>
            <w:r>
              <w:rPr>
                <w:rFonts w:ascii="Times New Roman" w:cs="Times New Roman" w:eastAsia="Times New Roman" w:hAnsi="Times New Roman"/>
                <w:sz w:val="16"/>
                <w:szCs w:val="16"/>
                <w:color w:val="auto"/>
              </w:rPr>
              <w:t>OneValley, Inc. (f/k/a NestGSV, Inc.)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420" w:type="dxa"/>
            <w:vAlign w:val="bottom"/>
            <w:gridSpan w:val="6"/>
          </w:tcPr>
          <w:p>
            <w:pPr>
              <w:ind w:left="320"/>
              <w:spacing w:after="0"/>
              <w:rPr>
                <w:sz w:val="20"/>
                <w:szCs w:val="20"/>
                <w:color w:val="auto"/>
              </w:rPr>
            </w:pPr>
            <w:r>
              <w:rPr>
                <w:rFonts w:ascii="Times New Roman" w:cs="Times New Roman" w:eastAsia="Times New Roman" w:hAnsi="Times New Roman"/>
                <w:sz w:val="16"/>
                <w:szCs w:val="16"/>
                <w:color w:val="auto"/>
              </w:rPr>
              <w:t>Convertible Promissory Note 8%, Due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240" w:type="dxa"/>
            <w:vAlign w:val="bottom"/>
          </w:tcPr>
          <w:p>
            <w:pPr>
              <w:ind w:left="320"/>
              <w:spacing w:after="0" w:line="240" w:lineRule="exact"/>
              <w:rPr>
                <w:sz w:val="20"/>
                <w:szCs w:val="20"/>
                <w:color w:val="auto"/>
              </w:rPr>
            </w:pPr>
            <w:r>
              <w:rPr>
                <w:rFonts w:ascii="Times New Roman" w:cs="Times New Roman" w:eastAsia="Times New Roman" w:hAnsi="Times New Roman"/>
                <w:sz w:val="16"/>
                <w:szCs w:val="16"/>
                <w:color w:val="auto"/>
              </w:rPr>
              <w:t>8/23/2024</w:t>
            </w:r>
            <w:r>
              <w:rPr>
                <w:rFonts w:ascii="Times New Roman" w:cs="Times New Roman" w:eastAsia="Times New Roman" w:hAnsi="Times New Roman"/>
                <w:sz w:val="26"/>
                <w:szCs w:val="26"/>
                <w:color w:val="auto"/>
                <w:vertAlign w:val="superscript"/>
              </w:rPr>
              <w:t>(4)</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1,010,198</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1,267,395</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10,910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1,278,305</w:t>
            </w:r>
          </w:p>
        </w:tc>
        <w:tc>
          <w:tcPr>
            <w:tcW w:w="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191"/>
        </w:trPr>
        <w:tc>
          <w:tcPr>
            <w:tcW w:w="34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1,267,395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10,910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1,278,305</w:t>
            </w:r>
          </w:p>
        </w:tc>
        <w:tc>
          <w:tcPr>
            <w:tcW w:w="8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386"/>
        </w:trPr>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color w:val="auto"/>
                <w:w w:val="99"/>
              </w:rPr>
              <w:t>29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8" w:right="31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60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gridSpan w:val="1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SURO CAPITAL CORP. AND SUBSIDIARIES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600" w:type="dxa"/>
            <w:vAlign w:val="bottom"/>
          </w:tcPr>
          <w:p>
            <w:pPr>
              <w:spacing w:after="0"/>
              <w:rPr>
                <w:sz w:val="24"/>
                <w:szCs w:val="24"/>
                <w:color w:val="auto"/>
              </w:rPr>
            </w:pPr>
          </w:p>
        </w:tc>
        <w:tc>
          <w:tcPr>
            <w:tcW w:w="7740" w:type="dxa"/>
            <w:vAlign w:val="bottom"/>
            <w:gridSpan w:val="19"/>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w w:val="98"/>
              </w:rPr>
              <w:t>NOTES TO CONDENSED CONSOLIDATED FINANCIAL STATEMENTS March 31, 2024</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Fees, or</w:t>
            </w:r>
          </w:p>
        </w:tc>
        <w:tc>
          <w:tcPr>
            <w:tcW w:w="8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8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 March</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Principal/</w:t>
            </w:r>
          </w:p>
        </w:tc>
        <w:tc>
          <w:tcPr>
            <w:tcW w:w="80" w:type="dxa"/>
            <w:vAlign w:val="bottom"/>
          </w:tcPr>
          <w:p>
            <w:pPr>
              <w:spacing w:after="0"/>
              <w:rPr>
                <w:sz w:val="16"/>
                <w:szCs w:val="16"/>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Credited</w:t>
            </w:r>
          </w:p>
        </w:tc>
        <w:tc>
          <w:tcPr>
            <w:tcW w:w="8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0" w:type="dxa"/>
            <w:vAlign w:val="bottom"/>
          </w:tcPr>
          <w:p>
            <w:pPr>
              <w:spacing w:after="0"/>
              <w:rPr>
                <w:sz w:val="1"/>
                <w:szCs w:val="1"/>
                <w:color w:val="auto"/>
              </w:rPr>
            </w:pPr>
          </w:p>
        </w:tc>
      </w:tr>
      <w:tr>
        <w:trPr>
          <w:trHeight w:val="213"/>
        </w:trPr>
        <w:tc>
          <w:tcPr>
            <w:tcW w:w="3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Type/Industry/Portfolio Company/Investment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6"/>
              </w:rPr>
              <w:t>in Income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Gains/(Losses)</w:t>
            </w:r>
          </w:p>
        </w:tc>
        <w:tc>
          <w:tcPr>
            <w:tcW w:w="8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91"/>
        </w:trPr>
        <w:tc>
          <w:tcPr>
            <w:tcW w:w="3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0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00" w:type="dxa"/>
            <w:vAlign w:val="bottom"/>
            <w:gridSpan w:val="3"/>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Maven Research, Inc.–Preferred shares,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Series C</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318,979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3300" w:type="dxa"/>
            <w:vAlign w:val="bottom"/>
            <w:gridSpan w:val="3"/>
          </w:tcPr>
          <w:p>
            <w:pPr>
              <w:ind w:left="320"/>
              <w:spacing w:after="0" w:line="175" w:lineRule="exact"/>
              <w:rPr>
                <w:sz w:val="20"/>
                <w:szCs w:val="20"/>
                <w:color w:val="auto"/>
              </w:rPr>
            </w:pPr>
            <w:r>
              <w:rPr>
                <w:rFonts w:ascii="Times New Roman" w:cs="Times New Roman" w:eastAsia="Times New Roman" w:hAnsi="Times New Roman"/>
                <w:sz w:val="16"/>
                <w:szCs w:val="16"/>
                <w:color w:val="auto"/>
              </w:rPr>
              <w:t>Maven Research, Inc.–Preferred shares,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3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Series B</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49,505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330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gridSpan w:val="3"/>
            <w:vMerge w:val="continue"/>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0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gridSpan w:val="3"/>
            <w:shd w:val="clear" w:color="auto" w:fill="CCEEFF"/>
          </w:tcPr>
          <w:p>
            <w:pPr>
              <w:ind w:left="320"/>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 Preferred shares,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Series D 8%</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329,337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653,975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(88,404)</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565,571</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10"/>
        </w:trPr>
        <w:tc>
          <w:tcPr>
            <w:tcW w:w="3300" w:type="dxa"/>
            <w:vAlign w:val="bottom"/>
            <w:gridSpan w:val="3"/>
          </w:tcPr>
          <w:p>
            <w:pPr>
              <w:ind w:left="320"/>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 Preferred shares,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Series C 8%</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2,779,134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6,804,933</w:t>
            </w: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(828,596)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5,976,337</w:t>
            </w:r>
          </w:p>
        </w:tc>
        <w:tc>
          <w:tcPr>
            <w:tcW w:w="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0"/>
        </w:trPr>
        <w:tc>
          <w:tcPr>
            <w:tcW w:w="3300" w:type="dxa"/>
            <w:vAlign w:val="bottom"/>
            <w:gridSpan w:val="3"/>
            <w:shd w:val="clear" w:color="auto" w:fill="CCEEFF"/>
          </w:tcPr>
          <w:p>
            <w:pPr>
              <w:ind w:left="320"/>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 Preferred shares,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Series B 8%</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3,279,629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4,751,064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(880,358)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3,870,706</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0"/>
        </w:trPr>
        <w:tc>
          <w:tcPr>
            <w:tcW w:w="3300" w:type="dxa"/>
            <w:vAlign w:val="bottom"/>
            <w:gridSpan w:val="3"/>
          </w:tcPr>
          <w:p>
            <w:pPr>
              <w:ind w:left="320"/>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 Preferred shares,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Series A 8%</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366,666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325,903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(98,425)</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227,478</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4"/>
        </w:trPr>
        <w:tc>
          <w:tcPr>
            <w:tcW w:w="330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gridSpan w:val="3"/>
            <w:vMerge w:val="continue"/>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12,535,875</w:t>
            </w:r>
          </w:p>
        </w:tc>
        <w:tc>
          <w:tcPr>
            <w:tcW w:w="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(1,895,783)</w:t>
            </w:r>
          </w:p>
        </w:tc>
        <w:tc>
          <w:tcPr>
            <w:tcW w:w="20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10,640,092</w:t>
            </w:r>
          </w:p>
        </w:tc>
        <w:tc>
          <w:tcPr>
            <w:tcW w:w="8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191"/>
        </w:trPr>
        <w:tc>
          <w:tcPr>
            <w:tcW w:w="3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12,535,875</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(1,895,783)</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10,640,092</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191"/>
        </w:trPr>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0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00" w:type="dxa"/>
            <w:vAlign w:val="bottom"/>
            <w:gridSpan w:val="3"/>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OneValley, Inc. (f/k/a NestGSV, Inc.)–</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Derivative Security, Expiration Date</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600" w:type="dxa"/>
            <w:vAlign w:val="bottom"/>
            <w:shd w:val="clear" w:color="auto" w:fill="CCEEFF"/>
          </w:tcPr>
          <w:p>
            <w:pPr>
              <w:ind w:left="320"/>
              <w:spacing w:after="0" w:line="251" w:lineRule="exact"/>
              <w:rPr>
                <w:sz w:val="20"/>
                <w:szCs w:val="20"/>
                <w:color w:val="auto"/>
              </w:rPr>
            </w:pPr>
            <w:r>
              <w:rPr>
                <w:rFonts w:ascii="Times New Roman" w:cs="Times New Roman" w:eastAsia="Times New Roman" w:hAnsi="Times New Roman"/>
                <w:sz w:val="16"/>
                <w:szCs w:val="16"/>
                <w:color w:val="auto"/>
              </w:rPr>
              <w:t>8/23/2024</w:t>
            </w:r>
            <w:r>
              <w:rPr>
                <w:rFonts w:ascii="Times New Roman" w:cs="Times New Roman" w:eastAsia="Times New Roman" w:hAnsi="Times New Roman"/>
                <w:sz w:val="26"/>
                <w:szCs w:val="26"/>
                <w:color w:val="auto"/>
                <w:vertAlign w:val="superscript"/>
              </w:rPr>
              <w:t>(6)</w:t>
            </w: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620,927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(196,438)</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424,489</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gridSpan w:val="3"/>
            <w:vMerge w:val="restart"/>
          </w:tcPr>
          <w:p>
            <w:pPr>
              <w:ind w:left="16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300" w:type="dxa"/>
            <w:vAlign w:val="bottom"/>
            <w:gridSpan w:val="3"/>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620,927</w:t>
            </w: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continue"/>
          </w:tcPr>
          <w:p>
            <w:pPr>
              <w:spacing w:after="0"/>
              <w:rPr>
                <w:sz w:val="15"/>
                <w:szCs w:val="15"/>
                <w:color w:val="auto"/>
              </w:rPr>
            </w:pP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(196,438)</w:t>
            </w:r>
          </w:p>
        </w:tc>
        <w:tc>
          <w:tcPr>
            <w:tcW w:w="200" w:type="dxa"/>
            <w:vAlign w:val="bottom"/>
            <w:vMerge w:val="continue"/>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424,489</w:t>
            </w:r>
          </w:p>
        </w:tc>
        <w:tc>
          <w:tcPr>
            <w:tcW w:w="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91"/>
        </w:trPr>
        <w:tc>
          <w:tcPr>
            <w:tcW w:w="3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E-Commerce Marketplace</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00" w:type="dxa"/>
            <w:vAlign w:val="bottom"/>
            <w:gridSpan w:val="3"/>
          </w:tcPr>
          <w:p>
            <w:pPr>
              <w:ind w:left="320"/>
              <w:spacing w:after="0" w:line="214" w:lineRule="exact"/>
              <w:rPr>
                <w:sz w:val="20"/>
                <w:szCs w:val="20"/>
                <w:color w:val="auto"/>
              </w:rPr>
            </w:pPr>
            <w:r>
              <w:rPr>
                <w:rFonts w:ascii="Times New Roman" w:cs="Times New Roman" w:eastAsia="Times New Roman" w:hAnsi="Times New Roman"/>
                <w:sz w:val="15"/>
                <w:szCs w:val="15"/>
                <w:color w:val="auto"/>
              </w:rPr>
              <w:t>PSQ Holdings, Inc. (d/b/a PublicSquare)**</w:t>
            </w:r>
            <w:r>
              <w:rPr>
                <w:rFonts w:ascii="Times New Roman" w:cs="Times New Roman" w:eastAsia="Times New Roman" w:hAnsi="Times New Roman"/>
                <w:sz w:val="24"/>
                <w:szCs w:val="24"/>
                <w:color w:val="auto"/>
                <w:vertAlign w:val="superscript"/>
              </w:rPr>
              <w:t>(7)</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300" w:type="dxa"/>
            <w:vAlign w:val="bottom"/>
            <w:gridSpan w:val="3"/>
          </w:tcPr>
          <w:p>
            <w:pPr>
              <w:ind w:left="320"/>
              <w:spacing w:after="0" w:line="240"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 Warrants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2,296,037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1,964,750</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(102,998)</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60,067</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(429,395)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1,492,424</w:t>
            </w:r>
          </w:p>
        </w:tc>
        <w:tc>
          <w:tcPr>
            <w:tcW w:w="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0.82%</w:t>
            </w:r>
          </w:p>
        </w:tc>
        <w:tc>
          <w:tcPr>
            <w:tcW w:w="0" w:type="dxa"/>
            <w:vAlign w:val="bottom"/>
          </w:tcPr>
          <w:p>
            <w:pPr>
              <w:spacing w:after="0"/>
              <w:rPr>
                <w:sz w:val="1"/>
                <w:szCs w:val="1"/>
                <w:color w:val="auto"/>
              </w:rPr>
            </w:pPr>
          </w:p>
        </w:tc>
      </w:tr>
      <w:tr>
        <w:trPr>
          <w:trHeight w:val="191"/>
        </w:trPr>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2,585,677</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(102,998)</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60,067</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(625,833)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1,916,913</w:t>
            </w:r>
          </w:p>
        </w:tc>
        <w:tc>
          <w:tcPr>
            <w:tcW w:w="8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91"/>
        </w:trPr>
        <w:tc>
          <w:tcPr>
            <w:tcW w:w="3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Curious.com, Inc.–Common shares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1,135,944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E-Commerce Marketplace</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00" w:type="dxa"/>
            <w:vAlign w:val="bottom"/>
            <w:gridSpan w:val="3"/>
          </w:tcPr>
          <w:p>
            <w:pPr>
              <w:ind w:left="320"/>
              <w:spacing w:after="0" w:line="214" w:lineRule="exact"/>
              <w:rPr>
                <w:sz w:val="20"/>
                <w:szCs w:val="20"/>
                <w:color w:val="auto"/>
              </w:rPr>
            </w:pPr>
            <w:r>
              <w:rPr>
                <w:rFonts w:ascii="Times New Roman" w:cs="Times New Roman" w:eastAsia="Times New Roman" w:hAnsi="Times New Roman"/>
                <w:sz w:val="15"/>
                <w:szCs w:val="15"/>
                <w:color w:val="auto"/>
              </w:rPr>
              <w:t>PSQ Holdings, Inc. (d/b/a PublicSquare)**</w:t>
            </w:r>
            <w:r>
              <w:rPr>
                <w:rFonts w:ascii="Times New Roman" w:cs="Times New Roman" w:eastAsia="Times New Roman" w:hAnsi="Times New Roman"/>
                <w:sz w:val="24"/>
                <w:szCs w:val="24"/>
                <w:color w:val="auto"/>
                <w:vertAlign w:val="superscript"/>
              </w:rPr>
              <w:t>(7)</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300" w:type="dxa"/>
            <w:vAlign w:val="bottom"/>
            <w:gridSpan w:val="3"/>
          </w:tcPr>
          <w:p>
            <w:pPr>
              <w:ind w:left="320"/>
              <w:spacing w:after="0" w:line="240"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 Common shares, Class A</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1,976,032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8,542,386</w:t>
            </w:r>
          </w:p>
        </w:tc>
        <w:tc>
          <w:tcPr>
            <w:tcW w:w="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494,008</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9,036,394</w:t>
            </w:r>
          </w:p>
        </w:tc>
        <w:tc>
          <w:tcPr>
            <w:tcW w:w="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23"/>
        </w:trPr>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8,542,386</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494,008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9,036,394</w:t>
            </w: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148"/>
        </w:trPr>
        <w:tc>
          <w:tcPr>
            <w:tcW w:w="3300" w:type="dxa"/>
            <w:vAlign w:val="bottom"/>
            <w:tcBorders>
              <w:top w:val="single" w:sz="8" w:color="CCEEFF"/>
            </w:tcBorders>
            <w:gridSpan w:val="3"/>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TOTAL NON-CONTROLLED/AFFILIATE</w:t>
            </w:r>
          </w:p>
        </w:tc>
        <w:tc>
          <w:tcPr>
            <w:tcW w:w="7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3300" w:type="dxa"/>
            <w:vAlign w:val="bottom"/>
            <w:gridSpan w:val="3"/>
          </w:tcPr>
          <w:p>
            <w:pPr>
              <w:spacing w:after="0" w:line="266"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6"/>
                <w:szCs w:val="26"/>
                <w:b w:val="1"/>
                <w:bCs w:val="1"/>
                <w:color w:val="auto"/>
                <w:vertAlign w:val="superscript"/>
              </w:rPr>
              <w:t>(1)</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  24,931,333</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(102,998)</w:t>
            </w: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60,067</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(2,016,698)</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5"/>
              </w:rPr>
              <w:t>$ 22,871,704</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12.59%</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30</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06" w:right="319" w:bottom="1440" w:gutter="0" w:footer="0" w:header="0"/>
        </w:sectPr>
      </w:pPr>
    </w:p>
    <w:bookmarkStart w:id="32" w:name="page33"/>
    <w:bookmarkEnd w:id="32"/>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887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216" w:lineRule="exact"/>
        <w:rPr>
          <w:sz w:val="20"/>
          <w:szCs w:val="20"/>
          <w:color w:val="auto"/>
        </w:rPr>
      </w:pPr>
    </w:p>
    <w:p>
      <w:pPr>
        <w:jc w:val="both"/>
        <w:ind w:left="285" w:right="20" w:hanging="285"/>
        <w:spacing w:after="0" w:line="254" w:lineRule="auto"/>
        <w:tabs>
          <w:tab w:leader="none" w:pos="28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65" w:lineRule="exact"/>
        <w:rPr>
          <w:sz w:val="20"/>
          <w:szCs w:val="20"/>
          <w:color w:val="auto"/>
        </w:rPr>
      </w:pPr>
    </w:p>
    <w:p>
      <w:pPr>
        <w:ind w:left="285" w:hanging="285"/>
        <w:spacing w:after="0" w:line="280" w:lineRule="auto"/>
        <w:tabs>
          <w:tab w:leader="none" w:pos="28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1940 Act. Of the Company’s total investments as of March 31, 2024, 15.66% of its total investments are non-qualifying assets.</w:t>
      </w:r>
    </w:p>
    <w:p>
      <w:pPr>
        <w:spacing w:after="0" w:line="143"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22" w:lineRule="exact"/>
        <w:rPr>
          <w:sz w:val="20"/>
          <w:szCs w:val="20"/>
          <w:color w:val="auto"/>
        </w:rPr>
      </w:pPr>
    </w:p>
    <w:p>
      <w:pPr>
        <w:jc w:val="both"/>
        <w:ind w:left="565" w:right="20" w:hanging="565"/>
        <w:spacing w:after="0" w:line="264" w:lineRule="auto"/>
        <w:tabs>
          <w:tab w:leader="none" w:pos="56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spacing w:after="0" w:line="156" w:lineRule="exact"/>
        <w:rPr>
          <w:rFonts w:ascii="Times New Roman" w:cs="Times New Roman" w:eastAsia="Times New Roman" w:hAnsi="Times New Roman"/>
          <w:sz w:val="16"/>
          <w:szCs w:val="16"/>
          <w:color w:val="auto"/>
        </w:rPr>
      </w:pPr>
    </w:p>
    <w:p>
      <w:pPr>
        <w:jc w:val="both"/>
        <w:ind w:left="565" w:hanging="565"/>
        <w:spacing w:after="0" w:line="264" w:lineRule="auto"/>
        <w:tabs>
          <w:tab w:leader="none" w:pos="56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5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198"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2024, the investments noted had been placed on non-accrual status.</w:t>
      </w:r>
    </w:p>
    <w:p>
      <w:pPr>
        <w:spacing w:after="0" w:line="198"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198" w:lineRule="exact"/>
        <w:rPr>
          <w:rFonts w:ascii="Times New Roman" w:cs="Times New Roman" w:eastAsia="Times New Roman" w:hAnsi="Times New Roman"/>
          <w:sz w:val="16"/>
          <w:szCs w:val="16"/>
          <w:color w:val="auto"/>
        </w:rPr>
      </w:pPr>
    </w:p>
    <w:p>
      <w:pPr>
        <w:jc w:val="both"/>
        <w:ind w:left="565" w:hanging="565"/>
        <w:spacing w:after="0" w:line="259" w:lineRule="auto"/>
        <w:tabs>
          <w:tab w:leader="none" w:pos="56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60" w:lineRule="exact"/>
        <w:rPr>
          <w:rFonts w:ascii="Times New Roman" w:cs="Times New Roman" w:eastAsia="Times New Roman" w:hAnsi="Times New Roman"/>
          <w:sz w:val="16"/>
          <w:szCs w:val="16"/>
          <w:color w:val="auto"/>
        </w:rPr>
      </w:pPr>
    </w:p>
    <w:p>
      <w:pPr>
        <w:jc w:val="both"/>
        <w:ind w:left="565" w:hanging="565"/>
        <w:spacing w:after="0" w:line="253" w:lineRule="auto"/>
        <w:tabs>
          <w:tab w:leader="none" w:pos="56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19, 2023, Colombier Acquisition Corp. (“Colombier”) stockholders approved a business combination with PSQ Holdings, Inc. (d/b/a PublicSq.) and related proposals at a special meeting. Also on July 19, 2023, PSQ Holdings, Inc. announced that it had consummated the business combination with Colombier pursuant to a merger agreement between the parties, creating the resultant combined company PSQ Holdings, Inc. (d/b/a PublicSq.). SuRo Capital Corp.’s shares of PSQ Holdings, Inc. (d/b/a PublicSquare) Class A Common shares are subject to contractual sale restrictions in the form of a lock-up agreement applicable to the common shares after the company’s IPO, while the PSQ Holdings, Inc. (d/b/a PublicSquare) warrants are freely tradable. The lock-up agreement expires on July 19, 2024. The lock-up agreement has early lock-up expiration provisions which would allow SuRo Capital Corp. to sell its Class A common shares in PSQ Holdings, Inc. (d/b/a PublicSquare) if the closing price of the Class A common stock equals or exceeds $12.00 per share, as adjusted for stock splits, stock dividends, reorganizations, and recapitalizations for any 20 trading days within any 30 trading day period commencing on December 16, 2023.</w:t>
      </w:r>
    </w:p>
    <w:p>
      <w:pPr>
        <w:spacing w:after="0" w:line="16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 of Investments In, and Advances to, Affiliates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Transactions during the year ended December 31, 2023 involving the Company’s controlled investments and non-controlled/affiliate investments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Purchases,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Fees, or</w:t>
            </w: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Type/Industry/Portfolio</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40" w:type="dxa"/>
            <w:vAlign w:val="bottom"/>
          </w:tcPr>
          <w:p>
            <w:pPr>
              <w:spacing w:after="0"/>
              <w:rPr>
                <w:sz w:val="16"/>
                <w:szCs w:val="16"/>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Credited</w:t>
            </w: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Transfer</w:t>
            </w: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Interest and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of Net</w:t>
            </w:r>
          </w:p>
        </w:tc>
        <w:tc>
          <w:tcPr>
            <w:tcW w:w="0" w:type="dxa"/>
            <w:vAlign w:val="bottom"/>
          </w:tcPr>
          <w:p>
            <w:pPr>
              <w:spacing w:after="0"/>
              <w:rPr>
                <w:sz w:val="1"/>
                <w:szCs w:val="1"/>
                <w:color w:val="auto"/>
              </w:rPr>
            </w:pPr>
          </w:p>
        </w:tc>
      </w:tr>
      <w:tr>
        <w:trPr>
          <w:trHeight w:val="213"/>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Company/Investment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7"/>
              </w:rPr>
              <w:t>Quantity</w:t>
            </w:r>
          </w:p>
        </w:tc>
        <w:tc>
          <w:tcPr>
            <w:tcW w:w="4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Income</w:t>
            </w:r>
          </w:p>
        </w:tc>
        <w:tc>
          <w:tcPr>
            <w:tcW w:w="120" w:type="dxa"/>
            <w:vAlign w:val="bottom"/>
          </w:tcPr>
          <w:p>
            <w:pPr>
              <w:spacing w:after="0"/>
              <w:rPr>
                <w:sz w:val="18"/>
                <w:szCs w:val="18"/>
                <w:color w:val="auto"/>
              </w:rPr>
            </w:pPr>
          </w:p>
        </w:tc>
        <w:tc>
          <w:tcPr>
            <w:tcW w:w="8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(Out)</w:t>
            </w: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4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140" w:type="dxa"/>
            <w:vAlign w:val="bottom"/>
          </w:tcPr>
          <w:p>
            <w:pPr>
              <w:spacing w:after="0"/>
              <w:rPr>
                <w:sz w:val="18"/>
                <w:szCs w:val="18"/>
                <w:color w:val="auto"/>
              </w:rPr>
            </w:pPr>
          </w:p>
        </w:tc>
        <w:tc>
          <w:tcPr>
            <w:tcW w:w="80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8"/>
                <w:szCs w:val="18"/>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55"/>
        </w:trPr>
        <w:tc>
          <w:tcPr>
            <w:tcW w:w="2040" w:type="dxa"/>
            <w:vAlign w:val="bottom"/>
            <w:tcBorders>
              <w:top w:val="single" w:sz="8" w:color="auto"/>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CONTROLLED</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w w:val="78"/>
              </w:rPr>
              <w:t>(2)</w:t>
            </w:r>
          </w:p>
        </w:tc>
        <w:tc>
          <w:tcPr>
            <w:tcW w:w="64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4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INVESTMENTS*</w:t>
            </w: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64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gridSpan w:val="2"/>
            <w:vMerge w:val="restart"/>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1240" w:type="dxa"/>
            <w:vAlign w:val="bottom"/>
            <w:tcBorders>
              <w:bottom w:val="single" w:sz="8" w:color="auto"/>
            </w:tcBorders>
            <w:gridSpan w:val="3"/>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gridSpan w:val="2"/>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80" w:type="dxa"/>
            <w:vAlign w:val="bottom"/>
            <w:gridSpan w:val="7"/>
            <w:shd w:val="clear" w:color="auto" w:fill="CCEEFF"/>
          </w:tcPr>
          <w:p>
            <w:pPr>
              <w:ind w:left="160"/>
              <w:spacing w:after="0" w:line="172"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80" w:type="dxa"/>
            <w:vAlign w:val="bottom"/>
            <w:gridSpan w:val="7"/>
          </w:tcPr>
          <w:p>
            <w:pPr>
              <w:ind w:left="320"/>
              <w:spacing w:after="0" w:line="175" w:lineRule="exact"/>
              <w:rPr>
                <w:sz w:val="20"/>
                <w:szCs w:val="20"/>
                <w:color w:val="auto"/>
              </w:rPr>
            </w:pPr>
            <w:r>
              <w:rPr>
                <w:rFonts w:ascii="Times New Roman" w:cs="Times New Roman" w:eastAsia="Times New Roman" w:hAnsi="Times New Roman"/>
                <w:sz w:val="16"/>
                <w:szCs w:val="16"/>
                <w:color w:val="auto"/>
              </w:rPr>
              <w:t>Colombier Sponsor II</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8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LLC**–Class W Units</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1,600,000</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760,651</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(262,347)</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498,305</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80" w:type="dxa"/>
            <w:vAlign w:val="bottom"/>
            <w:gridSpan w:val="7"/>
            <w:shd w:val="clear" w:color="auto" w:fill="CCEEFF"/>
          </w:tcPr>
          <w:p>
            <w:pPr>
              <w:ind w:left="320"/>
              <w:spacing w:after="0" w:line="178" w:lineRule="exact"/>
              <w:rPr>
                <w:sz w:val="20"/>
                <w:szCs w:val="20"/>
                <w:color w:val="auto"/>
              </w:rPr>
            </w:pPr>
            <w:r>
              <w:rPr>
                <w:rFonts w:ascii="Times New Roman" w:cs="Times New Roman" w:eastAsia="Times New Roman" w:hAnsi="Times New Roman"/>
                <w:sz w:val="16"/>
                <w:szCs w:val="16"/>
                <w:color w:val="auto"/>
              </w:rPr>
              <w:t>Colombier Sponsor</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80" w:type="dxa"/>
            <w:vAlign w:val="bottom"/>
            <w:gridSpan w:val="7"/>
            <w:shd w:val="clear" w:color="auto" w:fill="CCEEFF"/>
          </w:tcPr>
          <w:p>
            <w:pPr>
              <w:ind w:left="320"/>
              <w:spacing w:after="0" w:line="240" w:lineRule="exact"/>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 xml:space="preserve"> –Class W Units</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(1,159,150)</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1,663</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(1,159,150)</w:t>
            </w:r>
          </w:p>
        </w:tc>
        <w:tc>
          <w:tcPr>
            <w:tcW w:w="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760,651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(260,684)</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498,304</w:t>
            </w:r>
          </w:p>
        </w:tc>
        <w:tc>
          <w:tcPr>
            <w:tcW w:w="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7"/>
          </w:tcPr>
          <w:p>
            <w:pPr>
              <w:ind w:left="16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7"/>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SPBRX, INC. (f/k/a GSV</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Sustainability Partners,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Inc.)–Preferred shares,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Class A</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7"/>
              </w:rPr>
              <w:t>14,300,000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984,028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(601,647)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382,381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984,028</w:t>
            </w: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(601,647)</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382,381</w:t>
            </w:r>
          </w:p>
        </w:tc>
        <w:tc>
          <w:tcPr>
            <w:tcW w:w="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7"/>
          </w:tcPr>
          <w:p>
            <w:pPr>
              <w:ind w:left="16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7"/>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SPBRX, INC. (f/k/a GSV</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Sustainability Partners,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Inc.)–Common shares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7"/>
          </w:tcPr>
          <w:p>
            <w:pPr>
              <w:ind w:left="160"/>
              <w:spacing w:after="0"/>
              <w:rPr>
                <w:sz w:val="20"/>
                <w:szCs w:val="20"/>
                <w:color w:val="auto"/>
              </w:rPr>
            </w:pPr>
            <w:r>
              <w:rPr>
                <w:rFonts w:ascii="Times New Roman" w:cs="Times New Roman" w:eastAsia="Times New Roman" w:hAnsi="Times New Roman"/>
                <w:sz w:val="16"/>
                <w:szCs w:val="16"/>
                <w:i w:val="1"/>
                <w:iCs w:val="1"/>
                <w:color w:val="auto"/>
              </w:rPr>
              <w:t>Mobile Finance Technology</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7"/>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Architect Capital PayJoy</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SPV, LLC**–Membership</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in Lending</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SPV***</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7"/>
              </w:rPr>
              <w:t>10,000,000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1,331,258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10,000,000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10,000,000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80" w:type="dxa"/>
            <w:vAlign w:val="bottom"/>
            <w:gridSpan w:val="7"/>
          </w:tcPr>
          <w:p>
            <w:pPr>
              <w:ind w:left="160"/>
              <w:spacing w:after="0" w:line="172"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gridSpan w:val="7"/>
          </w:tcPr>
          <w:p>
            <w:pPr>
              <w:ind w:left="160"/>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80" w:type="dxa"/>
            <w:vAlign w:val="bottom"/>
            <w:gridSpan w:val="7"/>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Colombier Sponsor II</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8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LLC**–Class B Units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1,040,000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842,289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259,406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1,101,695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80" w:type="dxa"/>
            <w:vAlign w:val="bottom"/>
            <w:gridSpan w:val="7"/>
            <w:shd w:val="clear" w:color="auto" w:fill="CCEEFF"/>
          </w:tcPr>
          <w:p>
            <w:pPr>
              <w:ind w:left="320"/>
              <w:spacing w:after="0" w:line="178" w:lineRule="exact"/>
              <w:rPr>
                <w:sz w:val="20"/>
                <w:szCs w:val="20"/>
                <w:color w:val="auto"/>
              </w:rPr>
            </w:pPr>
            <w:r>
              <w:rPr>
                <w:rFonts w:ascii="Times New Roman" w:cs="Times New Roman" w:eastAsia="Times New Roman" w:hAnsi="Times New Roman"/>
                <w:sz w:val="16"/>
                <w:szCs w:val="16"/>
                <w:color w:val="auto"/>
              </w:rPr>
              <w:t>Colombier Sponsor</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80" w:type="dxa"/>
            <w:vAlign w:val="bottom"/>
            <w:gridSpan w:val="7"/>
            <w:shd w:val="clear" w:color="auto" w:fill="CCEEFF"/>
          </w:tcPr>
          <w:p>
            <w:pPr>
              <w:ind w:left="320"/>
              <w:spacing w:after="0" w:line="240" w:lineRule="exact"/>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 xml:space="preserve"> –Class B Units</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1,554,355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(1,556,587)</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2,232</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1,331,258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11,554,355</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(1,556,587)</w:t>
            </w: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842,289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261,638</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11,101,695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80" w:type="dxa"/>
            <w:vAlign w:val="bottom"/>
            <w:tcBorders>
              <w:top w:val="single" w:sz="8" w:color="CCEEFF"/>
            </w:tcBorders>
            <w:gridSpan w:val="7"/>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TOTAL CONTROLLED</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80" w:type="dxa"/>
            <w:vAlign w:val="bottom"/>
            <w:gridSpan w:val="7"/>
            <w:shd w:val="clear" w:color="auto" w:fill="CCEEFF"/>
          </w:tcPr>
          <w:p>
            <w:pPr>
              <w:spacing w:after="0" w:line="241"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6"/>
                <w:szCs w:val="26"/>
                <w:b w:val="1"/>
                <w:bCs w:val="1"/>
                <w:color w:val="auto"/>
                <w:vertAlign w:val="superscript"/>
              </w:rPr>
              <w:t>(2)</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1,831,258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13,695,870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6"/>
              </w:rPr>
              <w:t>(2,715,737)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1,602,940</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(600,693)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11,982,380</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5.89%</w:t>
            </w:r>
          </w:p>
        </w:tc>
        <w:tc>
          <w:tcPr>
            <w:tcW w:w="0" w:type="dxa"/>
            <w:vAlign w:val="bottom"/>
          </w:tcPr>
          <w:p>
            <w:pPr>
              <w:spacing w:after="0"/>
              <w:rPr>
                <w:sz w:val="1"/>
                <w:szCs w:val="1"/>
                <w:color w:val="auto"/>
              </w:rPr>
            </w:pPr>
          </w:p>
        </w:tc>
      </w:tr>
      <w:tr>
        <w:trPr>
          <w:trHeight w:val="155"/>
        </w:trPr>
        <w:tc>
          <w:tcPr>
            <w:tcW w:w="208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gridSpan w:val="7"/>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CONTROLLED/AFFILIATE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240" w:type="dxa"/>
            <w:vAlign w:val="bottom"/>
            <w:tcBorders>
              <w:top w:val="single" w:sz="8" w:color="auto"/>
              <w:bottom w:val="single" w:sz="8" w:color="auto"/>
            </w:tcBorders>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INVESTMENTS*</w:t>
            </w:r>
          </w:p>
        </w:tc>
        <w:tc>
          <w:tcPr>
            <w:tcW w:w="1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78"/>
              </w:rPr>
              <w:t>(1)</w:t>
            </w:r>
          </w:p>
        </w:tc>
        <w:tc>
          <w:tcPr>
            <w:tcW w:w="640" w:type="dxa"/>
            <w:vAlign w:val="bottom"/>
            <w:tcBorders>
              <w:top w:val="single" w:sz="8" w:color="auto"/>
              <w:bottom w:val="single" w:sz="8" w:color="auto"/>
            </w:tcBorders>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240" w:type="dxa"/>
            <w:vAlign w:val="bottom"/>
            <w:tcBorders>
              <w:bottom w:val="single" w:sz="8" w:color="auto"/>
            </w:tcBorders>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80" w:type="dxa"/>
            <w:vAlign w:val="bottom"/>
            <w:gridSpan w:val="7"/>
          </w:tcPr>
          <w:p>
            <w:pPr>
              <w:ind w:left="16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7"/>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OneValley, Inc. (f/k/a</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NestGSV, Inc.) –</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Convertible Promissory</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8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Note 8%, Due</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120" w:type="dxa"/>
            <w:vAlign w:val="bottom"/>
            <w:gridSpan w:val="2"/>
            <w:shd w:val="clear" w:color="auto" w:fill="CCEEFF"/>
          </w:tcPr>
          <w:p>
            <w:pPr>
              <w:ind w:left="320"/>
              <w:spacing w:after="0" w:line="240" w:lineRule="exact"/>
              <w:rPr>
                <w:sz w:val="20"/>
                <w:szCs w:val="20"/>
                <w:color w:val="auto"/>
              </w:rPr>
            </w:pPr>
            <w:r>
              <w:rPr>
                <w:rFonts w:ascii="Times New Roman" w:cs="Times New Roman" w:eastAsia="Times New Roman" w:hAnsi="Times New Roman"/>
                <w:sz w:val="16"/>
                <w:szCs w:val="16"/>
                <w:color w:val="auto"/>
                <w:w w:val="91"/>
              </w:rPr>
              <w:t>8/23/2024</w:t>
            </w:r>
            <w:r>
              <w:rPr>
                <w:rFonts w:ascii="Times New Roman" w:cs="Times New Roman" w:eastAsia="Times New Roman" w:hAnsi="Times New Roman"/>
                <w:sz w:val="26"/>
                <w:szCs w:val="26"/>
                <w:color w:val="auto"/>
                <w:w w:val="91"/>
                <w:vertAlign w:val="superscript"/>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1,010,198</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1,988,200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(720,805)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1,267,395</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0.62%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(720,805)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1,267,395</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218" w:right="299" w:bottom="1440" w:gutter="0" w:footer="0" w:header="0"/>
        </w:sectPr>
      </w:pPr>
    </w:p>
    <w:bookmarkStart w:id="34" w:name="page35"/>
    <w:bookmarkEnd w:id="3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6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8"/>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8"/>
              </w:rPr>
              <w:t>SURO CAPITAL CORP. AND SUBSIDIARIES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40" w:type="dxa"/>
            <w:vAlign w:val="bottom"/>
            <w:gridSpan w:val="1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NOTES TO CONDENSED CONSOLIDATED FINANCIAL STATEMENTS March 31, 2024</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Purchases,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Fees, or</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Capitalized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6"/>
              </w:rPr>
              <w:t>Dividends</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Value at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5"/>
              </w:rPr>
              <w:t>Percentage</w:t>
            </w:r>
          </w:p>
        </w:tc>
        <w:tc>
          <w:tcPr>
            <w:tcW w:w="0" w:type="dxa"/>
            <w:vAlign w:val="bottom"/>
          </w:tcPr>
          <w:p>
            <w:pPr>
              <w:spacing w:after="0"/>
              <w:rPr>
                <w:sz w:val="1"/>
                <w:szCs w:val="1"/>
                <w:color w:val="auto"/>
              </w:rPr>
            </w:pPr>
          </w:p>
        </w:tc>
      </w:tr>
      <w:tr>
        <w:trPr>
          <w:trHeight w:val="191"/>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Type/Industry/Portfolio</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Principal/</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Credited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Transfer</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and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0" w:type="dxa"/>
            <w:vAlign w:val="bottom"/>
          </w:tcPr>
          <w:p>
            <w:pPr>
              <w:spacing w:after="0"/>
              <w:rPr>
                <w:sz w:val="1"/>
                <w:szCs w:val="1"/>
                <w:color w:val="auto"/>
              </w:rPr>
            </w:pPr>
          </w:p>
        </w:tc>
      </w:tr>
      <w:tr>
        <w:trPr>
          <w:trHeight w:val="213"/>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Company/Investment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6"/>
              </w:rPr>
              <w:t>in Income</w:t>
            </w: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(Out)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940" w:type="dxa"/>
            <w:vAlign w:val="bottom"/>
            <w:gridSpan w:val="8"/>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Sales   Gains/(Losses) Gains/(Losses)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91"/>
        </w:trPr>
        <w:tc>
          <w:tcPr>
            <w:tcW w:w="2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3"/>
            <w:shd w:val="clear" w:color="auto" w:fill="CCEEFF"/>
          </w:tcPr>
          <w:p>
            <w:pPr>
              <w:ind w:left="480"/>
              <w:spacing w:after="0" w:line="175" w:lineRule="exact"/>
              <w:rPr>
                <w:sz w:val="20"/>
                <w:szCs w:val="20"/>
                <w:color w:val="auto"/>
              </w:rPr>
            </w:pPr>
            <w:r>
              <w:rPr>
                <w:rFonts w:ascii="Times New Roman" w:cs="Times New Roman" w:eastAsia="Times New Roman" w:hAnsi="Times New Roman"/>
                <w:sz w:val="16"/>
                <w:szCs w:val="16"/>
                <w:color w:val="auto"/>
              </w:rPr>
              <w:t>Maven Research, Inc.–</w:t>
            </w: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Preferred shares, Series</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318,979</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2080" w:type="dxa"/>
            <w:vAlign w:val="bottom"/>
            <w:gridSpan w:val="3"/>
          </w:tcPr>
          <w:p>
            <w:pPr>
              <w:ind w:left="320"/>
              <w:spacing w:after="0" w:line="175" w:lineRule="exact"/>
              <w:rPr>
                <w:sz w:val="20"/>
                <w:szCs w:val="20"/>
                <w:color w:val="auto"/>
              </w:rPr>
            </w:pPr>
            <w:r>
              <w:rPr>
                <w:rFonts w:ascii="Times New Roman" w:cs="Times New Roman" w:eastAsia="Times New Roman" w:hAnsi="Times New Roman"/>
                <w:sz w:val="16"/>
                <w:szCs w:val="16"/>
                <w:color w:val="auto"/>
              </w:rPr>
              <w:t>Maven Research, Inc.–</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49,505</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208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7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right w:val="single" w:sz="8" w:color="CCEEFF"/>
            </w:tcBorders>
            <w:vMerge w:val="restart"/>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80" w:type="dxa"/>
            <w:vAlign w:val="bottom"/>
            <w:gridSpan w:val="3"/>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vMerge w:val="continue"/>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80" w:type="dxa"/>
            <w:vAlign w:val="bottom"/>
            <w:gridSpan w:val="3"/>
            <w:shd w:val="clear" w:color="auto" w:fill="CCEEFF"/>
          </w:tcPr>
          <w:p>
            <w:pPr>
              <w:ind w:left="320"/>
              <w:spacing w:after="0" w:line="210" w:lineRule="exact"/>
              <w:rPr>
                <w:sz w:val="20"/>
                <w:szCs w:val="20"/>
                <w:color w:val="auto"/>
              </w:rPr>
            </w:pPr>
            <w:r>
              <w:rPr>
                <w:rFonts w:ascii="Times New Roman" w:cs="Times New Roman" w:eastAsia="Times New Roman" w:hAnsi="Times New Roman"/>
                <w:sz w:val="15"/>
                <w:szCs w:val="15"/>
                <w:color w:val="auto"/>
              </w:rPr>
              <w:t>Ozy Media, Inc.</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5"/>
                <w:szCs w:val="15"/>
                <w:color w:val="auto"/>
              </w:rPr>
              <w:t xml:space="preserve"> –</w:t>
            </w:r>
          </w:p>
        </w:tc>
        <w:tc>
          <w:tcPr>
            <w:tcW w:w="7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2 6%</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(2,414,178)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2,414,178</w:t>
            </w:r>
          </w:p>
        </w:tc>
        <w:tc>
          <w:tcPr>
            <w:tcW w:w="1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80" w:type="dxa"/>
            <w:vAlign w:val="bottom"/>
            <w:gridSpan w:val="3"/>
          </w:tcPr>
          <w:p>
            <w:pPr>
              <w:ind w:left="320"/>
              <w:spacing w:after="0" w:line="210" w:lineRule="exact"/>
              <w:rPr>
                <w:sz w:val="20"/>
                <w:szCs w:val="20"/>
                <w:color w:val="auto"/>
              </w:rPr>
            </w:pPr>
            <w:r>
              <w:rPr>
                <w:rFonts w:ascii="Times New Roman" w:cs="Times New Roman" w:eastAsia="Times New Roman" w:hAnsi="Times New Roman"/>
                <w:sz w:val="15"/>
                <w:szCs w:val="15"/>
                <w:color w:val="auto"/>
              </w:rPr>
              <w:t>Ozy Media, Inc.</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5"/>
                <w:szCs w:val="15"/>
                <w:color w:val="auto"/>
              </w:rPr>
              <w:t xml:space="preserve"> –</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(4,999,999)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4,999,999</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80" w:type="dxa"/>
            <w:vAlign w:val="bottom"/>
            <w:gridSpan w:val="3"/>
            <w:shd w:val="clear" w:color="auto" w:fill="CCEEFF"/>
          </w:tcPr>
          <w:p>
            <w:pPr>
              <w:ind w:left="320"/>
              <w:spacing w:after="0" w:line="210" w:lineRule="exact"/>
              <w:rPr>
                <w:sz w:val="20"/>
                <w:szCs w:val="20"/>
                <w:color w:val="auto"/>
              </w:rPr>
            </w:pPr>
            <w:r>
              <w:rPr>
                <w:rFonts w:ascii="Times New Roman" w:cs="Times New Roman" w:eastAsia="Times New Roman" w:hAnsi="Times New Roman"/>
                <w:sz w:val="15"/>
                <w:szCs w:val="15"/>
                <w:color w:val="auto"/>
              </w:rPr>
              <w:t>Ozy Media, Inc.</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5"/>
                <w:szCs w:val="15"/>
                <w:color w:val="auto"/>
              </w:rPr>
              <w:t xml:space="preserve"> –</w:t>
            </w:r>
          </w:p>
        </w:tc>
        <w:tc>
          <w:tcPr>
            <w:tcW w:w="7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6%</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(3,000,200)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3,000,200</w:t>
            </w:r>
          </w:p>
        </w:tc>
        <w:tc>
          <w:tcPr>
            <w:tcW w:w="1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80" w:type="dxa"/>
            <w:vAlign w:val="bottom"/>
            <w:gridSpan w:val="3"/>
          </w:tcPr>
          <w:p>
            <w:pPr>
              <w:ind w:left="320"/>
              <w:spacing w:after="0" w:line="210" w:lineRule="exact"/>
              <w:rPr>
                <w:sz w:val="20"/>
                <w:szCs w:val="20"/>
                <w:color w:val="auto"/>
              </w:rPr>
            </w:pPr>
            <w:r>
              <w:rPr>
                <w:rFonts w:ascii="Times New Roman" w:cs="Times New Roman" w:eastAsia="Times New Roman" w:hAnsi="Times New Roman"/>
                <w:sz w:val="15"/>
                <w:szCs w:val="15"/>
                <w:color w:val="auto"/>
              </w:rPr>
              <w:t>Ozy Media, Inc.</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5"/>
                <w:szCs w:val="15"/>
                <w:color w:val="auto"/>
              </w:rPr>
              <w:t xml:space="preserve"> –</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Preferred shares, Series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Seed 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208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7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right w:val="single" w:sz="8" w:color="CCEEFF"/>
            </w:tcBorders>
            <w:vMerge w:val="restart"/>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80" w:type="dxa"/>
            <w:vAlign w:val="bottom"/>
            <w:gridSpan w:val="3"/>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(10,914,377)</w:t>
            </w:r>
          </w:p>
        </w:tc>
        <w:tc>
          <w:tcPr>
            <w:tcW w:w="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10,914,377</w:t>
            </w:r>
          </w:p>
        </w:tc>
        <w:tc>
          <w:tcPr>
            <w:tcW w:w="100" w:type="dxa"/>
            <w:vAlign w:val="bottom"/>
            <w:tcBorders>
              <w:right w:val="single" w:sz="8" w:color="CCEEFF"/>
            </w:tcBorders>
            <w:vMerge w:val="continue"/>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80" w:type="dxa"/>
            <w:vAlign w:val="bottom"/>
            <w:gridSpan w:val="3"/>
            <w:shd w:val="clear" w:color="auto" w:fill="CCEEFF"/>
          </w:tcPr>
          <w:p>
            <w:pPr>
              <w:ind w:left="320"/>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5"/>
                <w:szCs w:val="15"/>
                <w:color w:val="auto"/>
              </w:rPr>
              <w:t xml:space="preserve"> –</w:t>
            </w:r>
          </w:p>
        </w:tc>
        <w:tc>
          <w:tcPr>
            <w:tcW w:w="7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8%</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329,337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533,429</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120,546</w:t>
            </w:r>
          </w:p>
        </w:tc>
        <w:tc>
          <w:tcPr>
            <w:tcW w:w="1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653,975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10"/>
        </w:trPr>
        <w:tc>
          <w:tcPr>
            <w:tcW w:w="2080" w:type="dxa"/>
            <w:vAlign w:val="bottom"/>
            <w:gridSpan w:val="3"/>
          </w:tcPr>
          <w:p>
            <w:pPr>
              <w:ind w:left="320"/>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5"/>
                <w:szCs w:val="15"/>
                <w:color w:val="auto"/>
              </w:rPr>
              <w:t xml:space="preserve"> –</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2,779,134</w:t>
            </w:r>
          </w:p>
        </w:tc>
        <w:tc>
          <w:tcPr>
            <w:tcW w:w="3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5,675,081</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1,129,852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6,804,933</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10"/>
        </w:trPr>
        <w:tc>
          <w:tcPr>
            <w:tcW w:w="2080" w:type="dxa"/>
            <w:vAlign w:val="bottom"/>
            <w:gridSpan w:val="3"/>
            <w:shd w:val="clear" w:color="auto" w:fill="CCEEFF"/>
          </w:tcPr>
          <w:p>
            <w:pPr>
              <w:ind w:left="320"/>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5"/>
                <w:szCs w:val="15"/>
                <w:color w:val="auto"/>
              </w:rPr>
              <w:t xml:space="preserve"> –</w:t>
            </w:r>
          </w:p>
        </w:tc>
        <w:tc>
          <w:tcPr>
            <w:tcW w:w="7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8%</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3,279,629</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3,550,631</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1,200,433</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4,751,064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0"/>
        </w:trPr>
        <w:tc>
          <w:tcPr>
            <w:tcW w:w="2080" w:type="dxa"/>
            <w:vAlign w:val="bottom"/>
            <w:gridSpan w:val="3"/>
          </w:tcPr>
          <w:p>
            <w:pPr>
              <w:ind w:left="320"/>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5"/>
                <w:szCs w:val="15"/>
                <w:color w:val="auto"/>
              </w:rPr>
              <w:t xml:space="preserve"> –</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366,666</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191,694</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134,209</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325,903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4"/>
        </w:trPr>
        <w:tc>
          <w:tcPr>
            <w:tcW w:w="208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7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80" w:type="dxa"/>
            <w:vAlign w:val="bottom"/>
            <w:gridSpan w:val="3"/>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9,950,835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2,585,040</w:t>
            </w: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12,535,875</w:t>
            </w:r>
          </w:p>
        </w:tc>
        <w:tc>
          <w:tcPr>
            <w:tcW w:w="100" w:type="dxa"/>
            <w:vAlign w:val="bottom"/>
            <w:vMerge w:val="continue"/>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191"/>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9,950,835</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(10,914,377)</w:t>
            </w: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13,499,417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12,535,875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191"/>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80" w:type="dxa"/>
            <w:vAlign w:val="bottom"/>
            <w:gridSpan w:val="3"/>
            <w:shd w:val="clear" w:color="auto" w:fill="CCEEFF"/>
          </w:tcPr>
          <w:p>
            <w:pPr>
              <w:ind w:left="320"/>
              <w:spacing w:after="0" w:line="210" w:lineRule="exact"/>
              <w:rPr>
                <w:sz w:val="20"/>
                <w:szCs w:val="20"/>
                <w:color w:val="auto"/>
              </w:rPr>
            </w:pPr>
            <w:r>
              <w:rPr>
                <w:rFonts w:ascii="Times New Roman" w:cs="Times New Roman" w:eastAsia="Times New Roman" w:hAnsi="Times New Roman"/>
                <w:sz w:val="15"/>
                <w:szCs w:val="15"/>
                <w:color w:val="auto"/>
              </w:rPr>
              <w:t>Ozy Media, Inc.</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5"/>
                <w:szCs w:val="15"/>
                <w:color w:val="auto"/>
              </w:rPr>
              <w:t xml:space="preserve"> –</w:t>
            </w:r>
          </w:p>
        </w:tc>
        <w:tc>
          <w:tcPr>
            <w:tcW w:w="7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Common Warrants, Strike</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Price $0.01, Expiration</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Date 4/9/2028</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(30,647)</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30,647</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3"/>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OneValley, Inc. (f/k/a</w:t>
            </w: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NestGSV, Inc.)–Preferred</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Warrant Series B, Strike</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Price $2.31, Expiration</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Date 12/31/2023</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(5,080)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1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2080" w:type="dxa"/>
            <w:vAlign w:val="bottom"/>
            <w:gridSpan w:val="3"/>
          </w:tcPr>
          <w:p>
            <w:pPr>
              <w:ind w:left="320"/>
              <w:spacing w:after="0" w:line="175" w:lineRule="exact"/>
              <w:rPr>
                <w:sz w:val="20"/>
                <w:szCs w:val="20"/>
                <w:color w:val="auto"/>
              </w:rPr>
            </w:pPr>
            <w:r>
              <w:rPr>
                <w:rFonts w:ascii="Times New Roman" w:cs="Times New Roman" w:eastAsia="Times New Roman" w:hAnsi="Times New Roman"/>
                <w:sz w:val="16"/>
                <w:szCs w:val="16"/>
                <w:color w:val="auto"/>
              </w:rPr>
              <w:t>OneValley, Inc. (f/k/a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w w:val="99"/>
              </w:rPr>
              <w:t>NestGSV, Inc.)–Derivative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Security, Expiration Date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600" w:type="dxa"/>
            <w:vAlign w:val="bottom"/>
          </w:tcPr>
          <w:p>
            <w:pPr>
              <w:ind w:left="320"/>
              <w:spacing w:after="0" w:line="251" w:lineRule="exact"/>
              <w:rPr>
                <w:sz w:val="20"/>
                <w:szCs w:val="20"/>
                <w:color w:val="auto"/>
              </w:rPr>
            </w:pPr>
            <w:r>
              <w:rPr>
                <w:rFonts w:ascii="Times New Roman" w:cs="Times New Roman" w:eastAsia="Times New Roman" w:hAnsi="Times New Roman"/>
                <w:sz w:val="16"/>
                <w:szCs w:val="16"/>
                <w:color w:val="auto"/>
              </w:rPr>
              <w:t>8/23/2024</w:t>
            </w:r>
            <w:r>
              <w:rPr>
                <w:rFonts w:ascii="Times New Roman" w:cs="Times New Roman" w:eastAsia="Times New Roman" w:hAnsi="Times New Roman"/>
                <w:sz w:val="26"/>
                <w:szCs w:val="26"/>
                <w:color w:val="auto"/>
                <w:vertAlign w:val="superscript"/>
              </w:rPr>
              <w:t>(5)</w:t>
            </w: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652,127</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(31,200)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620,927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161"/>
        </w:trPr>
        <w:tc>
          <w:tcPr>
            <w:tcW w:w="2080" w:type="dxa"/>
            <w:vAlign w:val="bottom"/>
            <w:tcBorders>
              <w:top w:val="single" w:sz="8" w:color="CCEEFF"/>
            </w:tcBorders>
            <w:gridSpan w:val="3"/>
            <w:shd w:val="clear" w:color="auto" w:fill="CCEEFF"/>
          </w:tcPr>
          <w:p>
            <w:pPr>
              <w:ind w:left="160"/>
              <w:spacing w:after="0" w:line="161" w:lineRule="exact"/>
              <w:rPr>
                <w:sz w:val="20"/>
                <w:szCs w:val="20"/>
                <w:color w:val="auto"/>
              </w:rPr>
            </w:pPr>
            <w:r>
              <w:rPr>
                <w:rFonts w:ascii="Times New Roman" w:cs="Times New Roman" w:eastAsia="Times New Roman" w:hAnsi="Times New Roman"/>
                <w:sz w:val="16"/>
                <w:szCs w:val="16"/>
                <w:i w:val="1"/>
                <w:iCs w:val="1"/>
                <w:color w:val="auto"/>
              </w:rPr>
              <w:t>Total Global Innovation</w:t>
            </w: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right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Platform</w:t>
            </w:r>
          </w:p>
        </w:tc>
        <w:tc>
          <w:tcPr>
            <w:tcW w:w="7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652,127</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(5,080)</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(26,120)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620,927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191"/>
        </w:trPr>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E-Commerce Marketplace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80" w:type="dxa"/>
            <w:vAlign w:val="bottom"/>
            <w:gridSpan w:val="3"/>
            <w:shd w:val="clear" w:color="auto" w:fill="CCEEFF"/>
          </w:tcPr>
          <w:p>
            <w:pPr>
              <w:ind w:left="320"/>
              <w:spacing w:after="0" w:line="178" w:lineRule="exact"/>
              <w:rPr>
                <w:sz w:val="20"/>
                <w:szCs w:val="20"/>
                <w:color w:val="auto"/>
              </w:rPr>
            </w:pPr>
            <w:r>
              <w:rPr>
                <w:rFonts w:ascii="Times New Roman" w:cs="Times New Roman" w:eastAsia="Times New Roman" w:hAnsi="Times New Roman"/>
                <w:sz w:val="16"/>
                <w:szCs w:val="16"/>
                <w:color w:val="auto"/>
              </w:rPr>
              <w:t>PSQ Holdings, Inc. (d/b/a</w:t>
            </w: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80" w:type="dxa"/>
            <w:vAlign w:val="bottom"/>
            <w:gridSpan w:val="3"/>
            <w:shd w:val="clear" w:color="auto" w:fill="CCEEFF"/>
          </w:tcPr>
          <w:p>
            <w:pPr>
              <w:ind w:left="320"/>
              <w:spacing w:after="0" w:line="223" w:lineRule="exact"/>
              <w:rPr>
                <w:sz w:val="20"/>
                <w:szCs w:val="20"/>
                <w:color w:val="auto"/>
              </w:rPr>
            </w:pPr>
            <w:r>
              <w:rPr>
                <w:rFonts w:ascii="Times New Roman" w:cs="Times New Roman" w:eastAsia="Times New Roman" w:hAnsi="Times New Roman"/>
                <w:sz w:val="15"/>
                <w:szCs w:val="15"/>
                <w:color w:val="auto"/>
              </w:rPr>
              <w:t>PublicSquare)**</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5"/>
                <w:szCs w:val="15"/>
                <w:color w:val="auto"/>
              </w:rPr>
              <w:t xml:space="preserve"> –</w:t>
            </w:r>
          </w:p>
        </w:tc>
        <w:tc>
          <w:tcPr>
            <w:tcW w:w="7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Warrants</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2,396,037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(318,368)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187,872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936,096</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1,964,750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0" w:type="dxa"/>
            <w:vAlign w:val="bottom"/>
          </w:tcPr>
          <w:p>
            <w:pPr>
              <w:spacing w:after="0"/>
              <w:rPr>
                <w:sz w:val="1"/>
                <w:szCs w:val="1"/>
                <w:color w:val="auto"/>
              </w:rPr>
            </w:pPr>
          </w:p>
        </w:tc>
      </w:tr>
      <w:tr>
        <w:trPr>
          <w:trHeight w:val="191"/>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652,127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1,159,150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(318,368)</w:t>
            </w:r>
          </w:p>
        </w:tc>
        <w:tc>
          <w:tcPr>
            <w:tcW w:w="1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152,145</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940,623</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2,585,677</w:t>
            </w: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191"/>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3"/>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Curious.com, Inc.–</w:t>
            </w: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Common shares</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1,135,944</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E-Commerce Marketplace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80" w:type="dxa"/>
            <w:vAlign w:val="bottom"/>
            <w:gridSpan w:val="3"/>
            <w:shd w:val="clear" w:color="auto" w:fill="CCEEFF"/>
          </w:tcPr>
          <w:p>
            <w:pPr>
              <w:ind w:left="320"/>
              <w:spacing w:after="0" w:line="178" w:lineRule="exact"/>
              <w:rPr>
                <w:sz w:val="20"/>
                <w:szCs w:val="20"/>
                <w:color w:val="auto"/>
              </w:rPr>
            </w:pPr>
            <w:r>
              <w:rPr>
                <w:rFonts w:ascii="Times New Roman" w:cs="Times New Roman" w:eastAsia="Times New Roman" w:hAnsi="Times New Roman"/>
                <w:sz w:val="16"/>
                <w:szCs w:val="16"/>
                <w:color w:val="auto"/>
              </w:rPr>
              <w:t>PSQ Holdings, Inc. (d/b/a</w:t>
            </w: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80" w:type="dxa"/>
            <w:vAlign w:val="bottom"/>
            <w:gridSpan w:val="3"/>
            <w:shd w:val="clear" w:color="auto" w:fill="CCEEFF"/>
          </w:tcPr>
          <w:p>
            <w:pPr>
              <w:ind w:left="320"/>
              <w:spacing w:after="0" w:line="223" w:lineRule="exact"/>
              <w:rPr>
                <w:sz w:val="20"/>
                <w:szCs w:val="20"/>
                <w:color w:val="auto"/>
              </w:rPr>
            </w:pPr>
            <w:r>
              <w:rPr>
                <w:rFonts w:ascii="Times New Roman" w:cs="Times New Roman" w:eastAsia="Times New Roman" w:hAnsi="Times New Roman"/>
                <w:sz w:val="15"/>
                <w:szCs w:val="15"/>
                <w:color w:val="auto"/>
              </w:rPr>
              <w:t>PublicSquare)**</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5"/>
                <w:szCs w:val="15"/>
                <w:color w:val="auto"/>
              </w:rPr>
              <w:t xml:space="preserve"> – Class</w:t>
            </w:r>
          </w:p>
        </w:tc>
        <w:tc>
          <w:tcPr>
            <w:tcW w:w="7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 Common shares</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1,976,032</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1,556,587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6,985,799</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1,556,587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6,985,799</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161"/>
        </w:trPr>
        <w:tc>
          <w:tcPr>
            <w:tcW w:w="2080" w:type="dxa"/>
            <w:vAlign w:val="bottom"/>
            <w:tcBorders>
              <w:top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TOTAL NON-</w:t>
            </w: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40"/>
              <w:spacing w:after="0" w:line="16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right w:val="single" w:sz="8" w:color="CCEEFF"/>
            </w:tcBorders>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6"/>
                <w:szCs w:val="16"/>
                <w:b w:val="1"/>
                <w:bCs w:val="1"/>
                <w:color w:val="auto"/>
              </w:rPr>
              <w:t>$  12,591,162</w:t>
            </w:r>
          </w:p>
        </w:tc>
        <w:tc>
          <w:tcPr>
            <w:tcW w:w="740" w:type="dxa"/>
            <w:vAlign w:val="bottom"/>
            <w:tcBorders>
              <w:top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w w:val="99"/>
              </w:rPr>
              <w:t>$2,715,737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right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w w:val="97"/>
              </w:rPr>
              <w:t>$(318,368</w:t>
            </w:r>
          </w:p>
        </w:tc>
        <w:tc>
          <w:tcPr>
            <w:tcW w:w="120" w:type="dxa"/>
            <w:vAlign w:val="bottom"/>
            <w:tcBorders>
              <w:top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(10,762,233</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20,705,035</w:t>
            </w: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  24,931,333</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12.26</w:t>
            </w:r>
          </w:p>
        </w:tc>
        <w:tc>
          <w:tcPr>
            <w:tcW w:w="160" w:type="dxa"/>
            <w:vAlign w:val="bottom"/>
            <w:tcBorders>
              <w:top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210"/>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CONTROLLED/AFFILIATE</w:t>
            </w:r>
          </w:p>
        </w:tc>
        <w:tc>
          <w:tcPr>
            <w:tcW w:w="7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320" w:top="206" w:right="239" w:bottom="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color w:val="auto"/>
        </w:rPr>
        <w:t>INVESTMENTS*</w:t>
      </w:r>
      <w:r>
        <w:rPr>
          <w:rFonts w:ascii="Times New Roman" w:cs="Times New Roman" w:eastAsia="Times New Roman" w:hAnsi="Times New Roman"/>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7204075" cy="167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4075" cy="16700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p>
      <w:pPr>
        <w:spacing w:after="0" w:line="1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36" w:name="page37"/>
    <w:bookmarkEnd w:id="36"/>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887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216" w:lineRule="exact"/>
        <w:rPr>
          <w:sz w:val="20"/>
          <w:szCs w:val="20"/>
          <w:color w:val="auto"/>
        </w:rPr>
      </w:pPr>
    </w:p>
    <w:p>
      <w:pPr>
        <w:jc w:val="both"/>
        <w:ind w:left="285" w:right="20" w:hanging="285"/>
        <w:spacing w:after="0" w:line="254" w:lineRule="auto"/>
        <w:tabs>
          <w:tab w:leader="none" w:pos="285"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65" w:lineRule="exact"/>
        <w:rPr>
          <w:sz w:val="20"/>
          <w:szCs w:val="20"/>
          <w:color w:val="auto"/>
        </w:rPr>
      </w:pPr>
    </w:p>
    <w:p>
      <w:pPr>
        <w:ind w:left="285" w:hanging="285"/>
        <w:spacing w:after="0" w:line="280" w:lineRule="auto"/>
        <w:tabs>
          <w:tab w:leader="none" w:pos="28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1940 Act. Of the Company’s total investments as of December 31, 2023, 14.03% of its total investments are non-qualifying assets.</w:t>
      </w:r>
    </w:p>
    <w:p>
      <w:pPr>
        <w:spacing w:after="0" w:line="143"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22" w:lineRule="exact"/>
        <w:rPr>
          <w:sz w:val="20"/>
          <w:szCs w:val="20"/>
          <w:color w:val="auto"/>
        </w:rPr>
      </w:pPr>
    </w:p>
    <w:p>
      <w:pPr>
        <w:jc w:val="both"/>
        <w:ind w:left="565" w:right="20" w:hanging="565"/>
        <w:spacing w:after="0" w:line="264" w:lineRule="auto"/>
        <w:tabs>
          <w:tab w:leader="none" w:pos="56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spacing w:after="0" w:line="156" w:lineRule="exact"/>
        <w:rPr>
          <w:rFonts w:ascii="Times New Roman" w:cs="Times New Roman" w:eastAsia="Times New Roman" w:hAnsi="Times New Roman"/>
          <w:sz w:val="16"/>
          <w:szCs w:val="16"/>
          <w:color w:val="auto"/>
        </w:rPr>
      </w:pPr>
    </w:p>
    <w:p>
      <w:pPr>
        <w:jc w:val="both"/>
        <w:ind w:left="565" w:hanging="565"/>
        <w:spacing w:after="0" w:line="264" w:lineRule="auto"/>
        <w:tabs>
          <w:tab w:leader="none" w:pos="56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5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investments noted had been placed on non-accrual status.</w:t>
      </w:r>
    </w:p>
    <w:p>
      <w:pPr>
        <w:spacing w:after="0" w:line="198"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198" w:lineRule="exact"/>
        <w:rPr>
          <w:rFonts w:ascii="Times New Roman" w:cs="Times New Roman" w:eastAsia="Times New Roman" w:hAnsi="Times New Roman"/>
          <w:sz w:val="16"/>
          <w:szCs w:val="16"/>
          <w:color w:val="auto"/>
        </w:rPr>
      </w:pPr>
    </w:p>
    <w:p>
      <w:pPr>
        <w:jc w:val="both"/>
        <w:ind w:left="565" w:hanging="565"/>
        <w:spacing w:after="0" w:line="259" w:lineRule="auto"/>
        <w:tabs>
          <w:tab w:leader="none" w:pos="56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60" w:lineRule="exact"/>
        <w:rPr>
          <w:rFonts w:ascii="Times New Roman" w:cs="Times New Roman" w:eastAsia="Times New Roman" w:hAnsi="Times New Roman"/>
          <w:sz w:val="16"/>
          <w:szCs w:val="16"/>
          <w:color w:val="auto"/>
        </w:rPr>
      </w:pPr>
    </w:p>
    <w:p>
      <w:pPr>
        <w:jc w:val="both"/>
        <w:ind w:left="565" w:hanging="565"/>
        <w:spacing w:after="0" w:line="256" w:lineRule="auto"/>
        <w:tabs>
          <w:tab w:leader="none" w:pos="56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19, 2023, Colombier Acquisition Corp. (“Colombier”) stockholders approved a business combination with PSQ Holdings, Inc. (d/b/a PublicSquare) and related proposals at a special meeting. Also on July 19, 2023, PSQ Holdings, Inc. announced that it had consummated the business combination with Colombier pursuant to a merger agreement between the parties, creating the resultant combined company PSQ Holdings, Inc. (d/b/a PublicSquare). SuRo Capital Corp.’s shares of PSQ Holdings, Inc. (d/b/a PublicSquare) Class A Common shares are subject to certain restrictions on transfer, while the Company’s PSQ Holdings, Inc. warrants are freely tradable.</w:t>
      </w:r>
    </w:p>
    <w:p>
      <w:pPr>
        <w:spacing w:after="0" w:line="164"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 2023, Ozy Media, Inc. suspended operations. On May 4, 2023, SuRo Capital Corp. abandoned its investment in Ozy Media, Inc.</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5—COMMON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202"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5"/>
          <w:szCs w:val="15"/>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Following several intervening approvals from the Company’s Board of Directors to increase the amount of shares of our common stock that may be repurchased under the discretionary Share Repurchase Program and/or to extend the Share Repurchase Program to later expiration dates, most recently, on August 7, 2023, the Company’s Board of Directors authorized an extension of, and an increase in the amount of shares of the Company’s common stock that may be repurchased under, the discretionary Share Repurchase Program until the earlier of (i) October 31, 2024 or (ii) the repurchase of $60.0 million in aggregate amount of the Company’s common stock.</w:t>
      </w:r>
    </w:p>
    <w:p>
      <w:pPr>
        <w:spacing w:after="0" w:line="151"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61"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During the three months ended March 31, 2024 and 2023, the Company repurchased 0 shares of the Company’s common stock under the Share Repurchase Program. As of March 31, 2024, the dollar value of shares that remained available to be purchased by the Company under the Share Repurchase Program was approximately $20.7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Amended and Restated 2019 Equity Incentive Plan</w:t>
      </w:r>
    </w:p>
    <w:p>
      <w:pPr>
        <w:spacing w:after="0" w:line="202"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Refer to “Note 11—Stock-Based Compensation” for a description of the Company’s restricted shares of common stock granted under the Amended &amp; Restated 2019 Equity Incentive Plan (as defined therein).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At-the-Market Offering</w:t>
      </w:r>
    </w:p>
    <w:p>
      <w:pPr>
        <w:spacing w:after="0" w:line="202"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On July 29, 2020, the Company entered into an At-the-Market Sales Agreement, dated July 29, 2020 (as amended, the “Sales Agreement”), with BTIG, LLC, JMP Securities LLC and Ladenburg Thalmann &amp; Co., Inc. (collectively, the “Agents”). Under the Sales Agreement, the Company may, but has no obligation to, issue and sell up to $150.0 million in aggregate amount of shares of its common stock (the “Shares”) from time to time through the Agents or to them as principal for their own account (the “ATM Program”). The Company intends to use the net proceeds from the ATM Program to make investments in portfolio companies in accordance with its investment objective and strategy and for general corporate purposes.</w:t>
      </w:r>
    </w:p>
    <w:p>
      <w:pPr>
        <w:spacing w:after="0" w:line="165"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Sales of the Shares, if any, will be made by any method that is deemed to be an “at-the-market” offering as defined in Rule 415 under the Securities Act of 1933, as amended,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61"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57"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During the three months ended March 31, 2024 and 2023, the Company did not issue or sell Shares under the ATM Program. As of March 31, 2024, up to approximately $98.8 million in aggregate amount of the Shares remain available for sale under the ATM Program.</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8" w:name="page39"/>
    <w:bookmarkEnd w:id="38"/>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NOTE 6—NET CHANGE IN NET ASSETS RESULTING FROM OPERATIONS PER COMMON SHARE—BASIC AND DILUTED</w:t>
      </w:r>
    </w:p>
    <w:p>
      <w:pPr>
        <w:spacing w:after="0" w:line="200" w:lineRule="exact"/>
        <w:rPr>
          <w:sz w:val="20"/>
          <w:szCs w:val="20"/>
          <w:color w:val="auto"/>
        </w:rPr>
      </w:pPr>
    </w:p>
    <w:p>
      <w:pPr>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The following information sets forth the computation of basic and diluted net change in net assets resulting from operations per common share, pursuant to ASC 260, for the three months ended March 31, 2024 and 2023.</w:t>
      </w:r>
    </w:p>
    <w:p>
      <w:pPr>
        <w:spacing w:after="0" w:line="154"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40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Earnings per common share–basic:</w:t>
            </w:r>
          </w:p>
        </w:tc>
        <w:tc>
          <w:tcPr>
            <w:tcW w:w="29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6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(22,065,346)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4,616,509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shares–basic</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25,393,490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28,378,529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share–basic</w:t>
            </w:r>
          </w:p>
        </w:tc>
        <w:tc>
          <w:tcPr>
            <w:tcW w:w="168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5300" w:type="dxa"/>
            <w:vAlign w:val="bottom"/>
            <w:gridSpan w:val="3"/>
            <w:shd w:val="clear" w:color="auto" w:fill="CCEEFF"/>
          </w:tcPr>
          <w:p>
            <w:pPr>
              <w:spacing w:after="0" w:line="131" w:lineRule="exact"/>
              <w:rPr>
                <w:sz w:val="20"/>
                <w:szCs w:val="20"/>
                <w:color w:val="auto"/>
              </w:rPr>
            </w:pPr>
            <w:r>
              <w:rPr>
                <w:rFonts w:ascii="Times New Roman" w:cs="Times New Roman" w:eastAsia="Times New Roman" w:hAnsi="Times New Roman"/>
                <w:sz w:val="15"/>
                <w:szCs w:val="15"/>
                <w:b w:val="1"/>
                <w:bCs w:val="1"/>
                <w:color w:val="auto"/>
              </w:rPr>
              <w:t>Earnings per common share–diluted:</w:t>
            </w:r>
          </w:p>
        </w:tc>
        <w:tc>
          <w:tcPr>
            <w:tcW w:w="1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4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7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(22,065,346)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4,616,509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300" w:type="dxa"/>
            <w:vAlign w:val="bottom"/>
            <w:gridSpan w:val="3"/>
            <w:vMerge w:val="restart"/>
            <w:shd w:val="clear" w:color="auto" w:fill="CCEEFF"/>
          </w:tcPr>
          <w:p>
            <w:pPr>
              <w:spacing w:after="0" w:line="251" w:lineRule="exact"/>
              <w:rPr>
                <w:sz w:val="20"/>
                <w:szCs w:val="20"/>
                <w:color w:val="auto"/>
              </w:rPr>
            </w:pPr>
            <w:r>
              <w:rPr>
                <w:rFonts w:ascii="Times New Roman" w:cs="Times New Roman" w:eastAsia="Times New Roman" w:hAnsi="Times New Roman"/>
                <w:sz w:val="16"/>
                <w:szCs w:val="16"/>
                <w:color w:val="auto"/>
              </w:rPr>
              <w:t>Weighted-average common shares outstanding–diluted</w:t>
            </w:r>
            <w:r>
              <w:rPr>
                <w:rFonts w:ascii="Times New Roman" w:cs="Times New Roman" w:eastAsia="Times New Roman" w:hAnsi="Times New Roman"/>
                <w:sz w:val="26"/>
                <w:szCs w:val="26"/>
                <w:color w:val="auto"/>
                <w:vertAlign w:val="superscript"/>
              </w:rPr>
              <w:t>(1)</w:t>
            </w: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5300" w:type="dxa"/>
            <w:vAlign w:val="bottom"/>
            <w:gridSpan w:val="3"/>
            <w:vMerge w:val="continue"/>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25,393,490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28,378,529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3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share–diluted</w:t>
            </w:r>
          </w:p>
        </w:tc>
        <w:tc>
          <w:tcPr>
            <w:tcW w:w="168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340" w:type="dxa"/>
            <w:vAlign w:val="bottom"/>
            <w:tcBorders>
              <w:top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0" w:lineRule="exact"/>
        <w:rPr>
          <w:sz w:val="20"/>
          <w:szCs w:val="20"/>
          <w:color w:val="auto"/>
        </w:rPr>
      </w:pPr>
    </w:p>
    <w:p>
      <w:pPr>
        <w:ind w:left="565" w:hanging="565"/>
        <w:spacing w:after="0"/>
        <w:tabs>
          <w:tab w:leader="none" w:pos="56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2024 and March 31, 2023, there were no potentially dilutive securities outstanding.</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NOTE 7—COMMITMENTS AND CONTINGENCIES</w:t>
      </w:r>
    </w:p>
    <w:p>
      <w:pPr>
        <w:spacing w:after="0" w:line="200" w:lineRule="exact"/>
        <w:rPr>
          <w:sz w:val="20"/>
          <w:szCs w:val="20"/>
          <w:color w:val="auto"/>
        </w:rPr>
      </w:pPr>
    </w:p>
    <w:p>
      <w:pPr>
        <w:jc w:val="both"/>
        <w:ind w:left="5" w:firstLine="287"/>
        <w:spacing w:after="0" w:line="280" w:lineRule="auto"/>
        <w:rPr>
          <w:sz w:val="20"/>
          <w:szCs w:val="20"/>
          <w:color w:val="auto"/>
        </w:rPr>
      </w:pPr>
      <w:r>
        <w:rPr>
          <w:rFonts w:ascii="Times New Roman" w:cs="Times New Roman" w:eastAsia="Times New Roman" w:hAnsi="Times New Roman"/>
          <w:sz w:val="16"/>
          <w:szCs w:val="16"/>
          <w:color w:val="auto"/>
        </w:rPr>
        <w:t>In the normal course of business, the Company may enter into investment agreements under which it commits to make an investment in a portfolio company at some future date or over a specified period of time.</w:t>
      </w:r>
    </w:p>
    <w:p>
      <w:pPr>
        <w:spacing w:after="0" w:line="144"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 and Related Deposits</w:t>
      </w:r>
    </w:p>
    <w:p>
      <w:pPr>
        <w:spacing w:after="0" w:line="202"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57" w:lineRule="exact"/>
        <w:rPr>
          <w:sz w:val="20"/>
          <w:szCs w:val="20"/>
          <w:color w:val="auto"/>
        </w:rPr>
      </w:pPr>
    </w:p>
    <w:p>
      <w:pPr>
        <w:jc w:val="both"/>
        <w:ind w:left="5" w:firstLine="287"/>
        <w:spacing w:after="0" w:line="256" w:lineRule="auto"/>
        <w:rPr>
          <w:sz w:val="20"/>
          <w:szCs w:val="20"/>
          <w:color w:val="auto"/>
        </w:rPr>
      </w:pPr>
      <w:r>
        <w:rPr>
          <w:rFonts w:ascii="Times New Roman" w:cs="Times New Roman" w:eastAsia="Times New Roman" w:hAnsi="Times New Roman"/>
          <w:sz w:val="16"/>
          <w:szCs w:val="16"/>
          <w:color w:val="auto"/>
        </w:rPr>
        <w:t>As of March 31, 2024 and December 31, 2023, the Company booked a right-of-use asset and operating lease liability of $64,449 and $112,485, respectively, on the Condensed Consolidated Statement of Assets and Liabilities. As of March 31, 2024 and December 31, 2023, the Company recorded a security deposit of $16,574 and $16,574, respectively, on the Condensed Consolidated Statement of Assets and Liabilities. For the three months ended March 31, 2024 and 2023, the Company incurred $52,662 and $48,723, respectively, of operating lease expense. The amounts reflected on the Condensed Consolidated Statement of Assets and Liabilities have been discounted using the rate implicit in the lease. As of March 31, 2024, the remaining lease term was 0.3 years and the discount rate was 3.00%.</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219" w:right="319" w:bottom="1440" w:gutter="0" w:footer="0" w:header="0"/>
        </w:sectPr>
      </w:pPr>
    </w:p>
    <w:bookmarkStart w:id="39" w:name="page40"/>
    <w:bookmarkEnd w:id="39"/>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2485"/>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20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shows future minimum payments under the Company’s operating lease as of March 31, 2024:</w:t>
      </w:r>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720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0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65,330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65,330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8—FINANCIAL HIGHLIGHTS</w:t>
            </w: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1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gridSpan w:val="10"/>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5"/>
        </w:trPr>
        <w:tc>
          <w:tcPr>
            <w:tcW w:w="1120" w:type="dxa"/>
            <w:vAlign w:val="bottom"/>
            <w:tcBorders>
              <w:bottom w:val="single" w:sz="8" w:color="CCEEFF"/>
            </w:tcBorders>
          </w:tcPr>
          <w:p>
            <w:pPr>
              <w:spacing w:after="0"/>
              <w:rPr>
                <w:sz w:val="16"/>
                <w:szCs w:val="16"/>
                <w:color w:val="auto"/>
              </w:rPr>
            </w:pPr>
          </w:p>
        </w:tc>
        <w:tc>
          <w:tcPr>
            <w:tcW w:w="60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Per Basic Share Data</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asset value at beginning of the year</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7.99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27"/>
        </w:trPr>
        <w:tc>
          <w:tcPr>
            <w:tcW w:w="720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Net investment loss</w:t>
            </w:r>
            <w:r>
              <w:rPr>
                <w:rFonts w:ascii="Times New Roman" w:cs="Times New Roman" w:eastAsia="Times New Roman" w:hAnsi="Times New Roman"/>
                <w:sz w:val="26"/>
                <w:szCs w:val="26"/>
                <w:color w:val="auto"/>
                <w:vertAlign w:val="superscript"/>
              </w:rPr>
              <w:t>(1)</w:t>
            </w:r>
          </w:p>
        </w:tc>
        <w:tc>
          <w:tcPr>
            <w:tcW w:w="40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27"/>
        </w:trPr>
        <w:tc>
          <w:tcPr>
            <w:tcW w:w="720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Net realized gain/(loss) on investments</w:t>
            </w:r>
            <w:r>
              <w:rPr>
                <w:rFonts w:ascii="Times New Roman" w:cs="Times New Roman" w:eastAsia="Times New Roman" w:hAnsi="Times New Roman"/>
                <w:sz w:val="26"/>
                <w:szCs w:val="26"/>
                <w:color w:val="auto"/>
                <w:vertAlign w:val="superscript"/>
              </w:rPr>
              <w:t>(1)</w:t>
            </w:r>
          </w:p>
        </w:tc>
        <w:tc>
          <w:tcPr>
            <w:tcW w:w="400" w:type="dxa"/>
            <w:vAlign w:val="bottom"/>
          </w:tcPr>
          <w:p>
            <w:pPr>
              <w:spacing w:after="0"/>
              <w:rPr>
                <w:sz w:val="19"/>
                <w:szCs w:val="19"/>
                <w:color w:val="auto"/>
              </w:rPr>
            </w:pPr>
          </w:p>
        </w:tc>
        <w:tc>
          <w:tcPr>
            <w:tcW w:w="16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27"/>
        </w:trPr>
        <w:tc>
          <w:tcPr>
            <w:tcW w:w="720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Net change in unrealized appreciation/(depreciation) of investments</w:t>
            </w:r>
            <w:r>
              <w:rPr>
                <w:rFonts w:ascii="Times New Roman" w:cs="Times New Roman" w:eastAsia="Times New Roman" w:hAnsi="Times New Roman"/>
                <w:sz w:val="26"/>
                <w:szCs w:val="26"/>
                <w:color w:val="auto"/>
                <w:vertAlign w:val="superscript"/>
              </w:rPr>
              <w:t>(1)</w:t>
            </w:r>
          </w:p>
        </w:tc>
        <w:tc>
          <w:tcPr>
            <w:tcW w:w="40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(0.73)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19"/>
        </w:trPr>
        <w:tc>
          <w:tcPr>
            <w:tcW w:w="7200" w:type="dxa"/>
            <w:vAlign w:val="bottom"/>
            <w:gridSpan w:val="2"/>
          </w:tcPr>
          <w:p>
            <w:pPr>
              <w:ind w:left="160"/>
              <w:spacing w:after="0" w:line="214"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9"/>
                <w:szCs w:val="19"/>
                <w:color w:val="auto"/>
              </w:rPr>
            </w:pPr>
          </w:p>
        </w:tc>
        <w:tc>
          <w:tcPr>
            <w:tcW w:w="162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191"/>
        </w:trPr>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40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Per share market value at end of period</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200" w:type="dxa"/>
            <w:vAlign w:val="bottom"/>
            <w:gridSpan w:val="2"/>
            <w:vMerge w:val="continue"/>
          </w:tcPr>
          <w:p>
            <w:pPr>
              <w:spacing w:after="0"/>
              <w:rPr>
                <w:sz w:val="14"/>
                <w:szCs w:val="14"/>
                <w:color w:val="auto"/>
              </w:rPr>
            </w:pPr>
          </w:p>
        </w:tc>
        <w:tc>
          <w:tcPr>
            <w:tcW w:w="400" w:type="dxa"/>
            <w:vAlign w:val="bottom"/>
          </w:tcPr>
          <w:p>
            <w:pPr>
              <w:jc w:val="right"/>
              <w:ind w:right="2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6"/>
                <w:szCs w:val="16"/>
                <w:color w:val="auto"/>
              </w:rPr>
              <w:t>4.55</w:t>
            </w:r>
          </w:p>
        </w:tc>
        <w:tc>
          <w:tcPr>
            <w:tcW w:w="3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tcPr>
          <w:p>
            <w:pPr>
              <w:jc w:val="right"/>
              <w:ind w:right="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6"/>
                <w:szCs w:val="16"/>
                <w:color w:val="auto"/>
              </w:rPr>
              <w:t>3.62</w:t>
            </w: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720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Total return based on market value</w:t>
            </w:r>
            <w:r>
              <w:rPr>
                <w:rFonts w:ascii="Times New Roman" w:cs="Times New Roman" w:eastAsia="Times New Roman" w:hAnsi="Times New Roman"/>
                <w:sz w:val="26"/>
                <w:szCs w:val="26"/>
                <w:color w:val="auto"/>
                <w:vertAlign w:val="superscript"/>
              </w:rPr>
              <w:t>(2)</w:t>
            </w:r>
          </w:p>
        </w:tc>
        <w:tc>
          <w:tcPr>
            <w:tcW w:w="40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15.48%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227"/>
        </w:trPr>
        <w:tc>
          <w:tcPr>
            <w:tcW w:w="720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Total return based on net asset value</w:t>
            </w:r>
            <w:r>
              <w:rPr>
                <w:rFonts w:ascii="Times New Roman" w:cs="Times New Roman" w:eastAsia="Times New Roman" w:hAnsi="Times New Roman"/>
                <w:sz w:val="26"/>
                <w:szCs w:val="26"/>
                <w:color w:val="auto"/>
                <w:vertAlign w:val="superscript"/>
              </w:rPr>
              <w:t>(2)</w:t>
            </w:r>
          </w:p>
        </w:tc>
        <w:tc>
          <w:tcPr>
            <w:tcW w:w="400" w:type="dxa"/>
            <w:vAlign w:val="bottom"/>
          </w:tcPr>
          <w:p>
            <w:pPr>
              <w:spacing w:after="0"/>
              <w:rPr>
                <w:sz w:val="19"/>
                <w:szCs w:val="19"/>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(10.26)%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191"/>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40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25,353,284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28,338,580</w:t>
            </w:r>
          </w:p>
        </w:tc>
        <w:tc>
          <w:tcPr>
            <w:tcW w:w="0" w:type="dxa"/>
            <w:vAlign w:val="bottom"/>
          </w:tcPr>
          <w:p>
            <w:pPr>
              <w:spacing w:after="0"/>
              <w:rPr>
                <w:sz w:val="1"/>
                <w:szCs w:val="1"/>
                <w:color w:val="auto"/>
              </w:rPr>
            </w:pPr>
          </w:p>
        </w:tc>
      </w:tr>
      <w:tr>
        <w:trPr>
          <w:trHeight w:val="191"/>
        </w:trPr>
        <w:tc>
          <w:tcPr>
            <w:tcW w:w="7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at end of period</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181,721,135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215,043,069</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Average net assets</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202,519,594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209,347,362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bottom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Ratio of net operating expenses to average net assets</w:t>
            </w:r>
            <w:r>
              <w:rPr>
                <w:rFonts w:ascii="Times New Roman" w:cs="Times New Roman" w:eastAsia="Times New Roman" w:hAnsi="Times New Roman"/>
                <w:sz w:val="23"/>
                <w:szCs w:val="23"/>
                <w:color w:val="auto"/>
                <w:vertAlign w:val="superscript"/>
              </w:rPr>
              <w:t>(3)</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30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line="219" w:lineRule="exact"/>
              <w:rPr>
                <w:sz w:val="20"/>
                <w:szCs w:val="20"/>
                <w:color w:val="auto"/>
              </w:rPr>
            </w:pPr>
            <w:r>
              <w:rPr>
                <w:rFonts w:ascii="Times New Roman" w:cs="Times New Roman" w:eastAsia="Times New Roman" w:hAnsi="Times New Roman"/>
                <w:sz w:val="15"/>
                <w:szCs w:val="15"/>
                <w:color w:val="auto"/>
              </w:rPr>
              <w:t>Ratio of net investment loss to average net assets</w:t>
            </w:r>
            <w:r>
              <w:rPr>
                <w:rFonts w:ascii="Times New Roman" w:cs="Times New Roman" w:eastAsia="Times New Roman" w:hAnsi="Times New Roman"/>
                <w:sz w:val="25"/>
                <w:szCs w:val="25"/>
                <w:color w:val="auto"/>
                <w:vertAlign w:val="superscript"/>
              </w:rPr>
              <w:t>(3)</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2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4"/>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rPr>
              <w:t>(6.40)%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4"/>
          </w:tcPr>
          <w:p>
            <w:pPr>
              <w:jc w:val="right"/>
              <w:spacing w:after="0" w:line="179" w:lineRule="exact"/>
              <w:rPr>
                <w:sz w:val="20"/>
                <w:szCs w:val="20"/>
                <w:color w:val="auto"/>
              </w:rPr>
            </w:pPr>
            <w:r>
              <w:rPr>
                <w:rFonts w:ascii="Times New Roman" w:cs="Times New Roman" w:eastAsia="Times New Roman" w:hAnsi="Times New Roman"/>
                <w:sz w:val="16"/>
                <w:szCs w:val="16"/>
                <w:color w:val="auto"/>
              </w:rPr>
              <w:t>(8.18)%</w:t>
            </w:r>
          </w:p>
        </w:tc>
        <w:tc>
          <w:tcPr>
            <w:tcW w:w="0" w:type="dxa"/>
            <w:vAlign w:val="bottom"/>
          </w:tcPr>
          <w:p>
            <w:pPr>
              <w:spacing w:after="0"/>
              <w:rPr>
                <w:sz w:val="1"/>
                <w:szCs w:val="1"/>
                <w:color w:val="auto"/>
              </w:rPr>
            </w:pPr>
          </w:p>
        </w:tc>
      </w:tr>
      <w:tr>
        <w:trPr>
          <w:trHeight w:val="191"/>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Portfolio Turnover Ratio</w:t>
            </w:r>
          </w:p>
        </w:tc>
        <w:tc>
          <w:tcPr>
            <w:tcW w:w="40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0.18%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0" w:lineRule="exact"/>
        <w:rPr>
          <w:sz w:val="20"/>
          <w:szCs w:val="20"/>
          <w:color w:val="auto"/>
        </w:rPr>
      </w:pPr>
    </w:p>
    <w:p>
      <w:pPr>
        <w:ind w:left="565" w:hanging="565"/>
        <w:spacing w:after="0"/>
        <w:tabs>
          <w:tab w:leader="none" w:pos="56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weighted-average number of shares outstanding for the relevant period.</w:t>
      </w:r>
    </w:p>
    <w:p>
      <w:pPr>
        <w:spacing w:after="0" w:line="23" w:lineRule="exact"/>
        <w:rPr>
          <w:rFonts w:ascii="Times New Roman" w:cs="Times New Roman" w:eastAsia="Times New Roman" w:hAnsi="Times New Roman"/>
          <w:sz w:val="16"/>
          <w:szCs w:val="16"/>
          <w:color w:val="auto"/>
        </w:rPr>
      </w:pPr>
    </w:p>
    <w:p>
      <w:pPr>
        <w:jc w:val="both"/>
        <w:ind w:left="565" w:right="20" w:hanging="565"/>
        <w:spacing w:after="0" w:line="249" w:lineRule="auto"/>
        <w:tabs>
          <w:tab w:leader="none" w:pos="56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jc w:val="both"/>
        <w:ind w:left="565" w:hanging="565"/>
        <w:spacing w:after="0" w:line="253" w:lineRule="auto"/>
        <w:tabs>
          <w:tab w:leader="none" w:pos="56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highlights for periods of less than one year are annualized and the ratios of operating expenses to average net assets and net investment loss to average net assets are adjusted accordingly. Because the ratios are calculated for the Company’s common stock taken as a whole, an individual investor’s ratios may vary from these ratios.</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9—INCOME TAXES</w:t>
      </w:r>
    </w:p>
    <w:p>
      <w:pPr>
        <w:spacing w:after="0" w:line="200"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The Company elected to be treated as a RIC under Subchapter M of the Code beginning with its taxable year ended December 31, 2014 and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64"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65"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its ordinary income (taking into account certain deferrals and elections) for each calendar year, (2) 98.2% of its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64"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64"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GAAP and the portfolio investments held by the taxable subsidiaries are included in the Company’s condensed consolidated financial statements and are recorded at fair value. These taxable subsidiaries are not consolidated with the Company for income tax purposes and may generate income tax expense, or benefit, and tax assets and liabilities as a result of their ownership of certain portfolio investments. Any income generated by these taxable subsidiaries generally would be subject to tax at normal corporate tax rates based on its taxable income.</w:t>
      </w:r>
    </w:p>
    <w:p>
      <w:pPr>
        <w:spacing w:after="0" w:line="165"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57"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Company is required to include net deferred tax provision/benefit in calculating its total expenses even though these net deferred taxes are not currently payable/receivable.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200"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57"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The Company and the Taxable Subsidiaries identified their major tax jurisdictions as U.S. federal, New York, and California and may be subject to the taxing authorities’ examination for the tax years 2020–2023 in New York and 2019–2023 in California, respectively. Further, the Company and the Taxable Subsidiaries accrue all interest and penalties related to uncertain tax positions as incurred. As of March 31, 2024, there were no material interest or penalties incurred related to uncertain tax positions.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10—DEBT CAPITAL ACTIVITIES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6.00% Notes due 2026</w:t>
      </w:r>
    </w:p>
    <w:p>
      <w:pPr>
        <w:spacing w:after="0" w:line="20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On December 17, 2021, the Company issued $70.0 million aggregate principal amount of its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65"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 xml:space="preserve">The 6.00% Notes due 2026 are direct unsecured obligations of the Company and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66"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The Company records fees and expenses incurred in connection with its 6.00% Notes due 2026 as deferred debt issuance costs. Such costs are reflected in the carrying value of the 6.00% Notes due 2026. As of March 31, 2024 and December 31, 2023, the Company had deferred debt issuance costs of $1,165,526 and $1,254,793, respectively, associated with the 6.00% Notes due 2026.</w:t>
      </w:r>
    </w:p>
    <w:p>
      <w:pPr>
        <w:spacing w:after="0" w:line="157"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The 6.00% Notes due 2026 are listed for trading on the Nasdaq Global Select Market under the symbol “SSSSL”. The reported closing market price of SSSSL on March 31, 2024 and December 31, 2023 was $23.97 and $23.80 per note, respectively. As of March 31, 2024 and December 31, 2023, the fair value of the 6.00% Notes due 2026 was $71.9 million and $71.4 million, respectively. The 6.00% Notes due 2026 are classified as Level 1 of the fair value hierarchy (Refer to “Note 2 — Significant Accounting Policies”). As of March 31, 2024 and December 31, 2023, the Company was in compliance with the terms of the Indenture.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11—STOCK-BASED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Amended and Restated 2019 Equity Incentive Plan</w:t>
      </w:r>
    </w:p>
    <w:p>
      <w:pPr>
        <w:spacing w:after="0" w:line="20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On June 19, 2020, the Company’s Board of Directors adopted, and the Company’s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67"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w:t>
      </w:r>
    </w:p>
    <w:p>
      <w:pPr>
        <w:spacing w:after="0" w:line="161"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Other than such restricted shares granted to non-employee directors, the Compensation Committee of the Company’s Board of Directors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65"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During the three months ended March 31, 2024, the Company did not grant any restricted shares to the Company’s officers pursuant to the Amended &amp; Restated 2019 Equity Incentive Plan.</w:t>
      </w:r>
    </w:p>
    <w:p>
      <w:pPr>
        <w:spacing w:after="0" w:line="144"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For the three months ended March 31, 2024 and 2023, the Company recognized stock-based compensation expense of $750,037 and $755,581, respectively, not including executive and employee forfeits. As of March 31, 2024 and December 31, 2023, there were approximately $4,099,850 and $4,849,887, respectively, of total unrecognized compensation costs related to the restricted share grants. Compensation expense associated with the restricted shares is recognized on a quarterly basis over the respective vesting periods.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3" w:name="page44"/>
    <w:bookmarkEnd w:id="43"/>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200"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5"/>
          <w:szCs w:val="15"/>
          <w:color w:val="auto"/>
        </w:rPr>
        <w:t>The following table summarizes the activities for the Company’s restricted share grants for the three months ended March 31, 2024 under the Amended &amp; Restated 2019</w:t>
      </w:r>
    </w:p>
    <w:p>
      <w:pPr>
        <w:spacing w:after="0" w:line="3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Equity Incentive Plan:</w:t>
      </w:r>
    </w:p>
    <w:p>
      <w:pPr>
        <w:spacing w:after="0" w:line="179" w:lineRule="exact"/>
        <w:rPr>
          <w:sz w:val="20"/>
          <w:szCs w:val="20"/>
          <w:color w:val="auto"/>
        </w:rPr>
      </w:pPr>
    </w:p>
    <w:tbl>
      <w:tblPr>
        <w:tblLayout w:type="fixed"/>
        <w:tblInd w:w="1405" w:type="dxa"/>
        <w:tblCellMar>
          <w:top w:w="0" w:type="dxa"/>
          <w:left w:w="0" w:type="dxa"/>
          <w:bottom w:w="0" w:type="dxa"/>
          <w:right w:w="0" w:type="dxa"/>
        </w:tblCellMar>
      </w:tblPr>
      <w:tr>
        <w:trPr>
          <w:trHeight w:val="191"/>
        </w:trPr>
        <w:tc>
          <w:tcPr>
            <w:tcW w:w="6920" w:type="dxa"/>
            <w:vAlign w:val="bottom"/>
          </w:tcPr>
          <w:p>
            <w:pPr>
              <w:spacing w:after="0"/>
              <w:rPr>
                <w:sz w:val="16"/>
                <w:szCs w:val="16"/>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13"/>
        </w:trPr>
        <w:tc>
          <w:tcPr>
            <w:tcW w:w="69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Restricted Shares</w:t>
            </w:r>
          </w:p>
        </w:tc>
      </w:tr>
      <w:tr>
        <w:trPr>
          <w:trHeight w:val="191"/>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624,963</w:t>
            </w:r>
          </w:p>
        </w:tc>
        <w:tc>
          <w:tcPr>
            <w:tcW w:w="80" w:type="dxa"/>
            <w:vAlign w:val="bottom"/>
            <w:tcBorders>
              <w:top w:val="single" w:sz="8" w:color="CCEEFF"/>
            </w:tcBorders>
            <w:shd w:val="clear" w:color="auto" w:fill="CCEEFF"/>
          </w:tcPr>
          <w:p>
            <w:pPr>
              <w:spacing w:after="0"/>
              <w:rPr>
                <w:sz w:val="16"/>
                <w:szCs w:val="16"/>
                <w:color w:val="auto"/>
              </w:rPr>
            </w:pPr>
          </w:p>
        </w:tc>
      </w:tr>
      <w:tr>
        <w:trPr>
          <w:trHeight w:val="191"/>
        </w:trPr>
        <w:tc>
          <w:tcPr>
            <w:tcW w:w="6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6920" w:type="dxa"/>
            <w:vAlign w:val="bottom"/>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Vested</w:t>
            </w:r>
            <w:r>
              <w:rPr>
                <w:rFonts w:ascii="Times New Roman" w:cs="Times New Roman" w:eastAsia="Times New Roman" w:hAnsi="Times New Roman"/>
                <w:sz w:val="26"/>
                <w:szCs w:val="26"/>
                <w:color w:val="auto"/>
                <w:vertAlign w:val="superscript"/>
              </w:rPr>
              <w:t>(1)</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(141,570)</w:t>
            </w:r>
          </w:p>
        </w:tc>
      </w:tr>
      <w:tr>
        <w:trPr>
          <w:trHeight w:val="207"/>
        </w:trPr>
        <w:tc>
          <w:tcPr>
            <w:tcW w:w="6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March 31, 2024</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483,393</w:t>
            </w:r>
          </w:p>
        </w:tc>
        <w:tc>
          <w:tcPr>
            <w:tcW w:w="80" w:type="dxa"/>
            <w:vAlign w:val="bottom"/>
            <w:tcBorders>
              <w:top w:val="single" w:sz="8" w:color="CCEEFF"/>
            </w:tcBorders>
            <w:shd w:val="clear" w:color="auto" w:fill="CCEEFF"/>
          </w:tcPr>
          <w:p>
            <w:pPr>
              <w:spacing w:after="0"/>
              <w:rPr>
                <w:sz w:val="16"/>
                <w:szCs w:val="16"/>
                <w:color w:val="auto"/>
              </w:rPr>
            </w:pPr>
          </w:p>
        </w:tc>
      </w:tr>
      <w:tr>
        <w:trPr>
          <w:trHeight w:val="208"/>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Vested as of March 31, 2024</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655,142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17887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73" w:lineRule="exact"/>
        <w:rPr>
          <w:sz w:val="20"/>
          <w:szCs w:val="20"/>
          <w:color w:val="auto"/>
        </w:rPr>
      </w:pPr>
    </w:p>
    <w:p>
      <w:pPr>
        <w:ind w:left="565" w:right="20" w:hanging="565"/>
        <w:spacing w:after="0" w:line="280" w:lineRule="auto"/>
        <w:tabs>
          <w:tab w:leader="none" w:pos="56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of vested shares reflects the total shares vested during the period and has not been reduced for those vested shares forfeited at time of vest related to net share settlement.</w:t>
      </w:r>
    </w:p>
    <w:p>
      <w:pPr>
        <w:spacing w:after="0" w:line="144" w:lineRule="exact"/>
        <w:rPr>
          <w:sz w:val="20"/>
          <w:szCs w:val="20"/>
          <w:color w:val="auto"/>
        </w:rPr>
      </w:pPr>
    </w:p>
    <w:p>
      <w:pPr>
        <w:jc w:val="both"/>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w:t>
      </w:r>
    </w:p>
    <w:p>
      <w:pPr>
        <w:spacing w:after="0" w:line="14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NOTE 12—SUBSEQUENT EVENTS</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Portfolio Activity</w:t>
      </w:r>
    </w:p>
    <w:p>
      <w:pPr>
        <w:spacing w:after="0" w:line="20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From April 1, 2024 through May 8, 2024, the Company made the following investments (not including capitalized transaction costs or investments in short-term U.S.</w:t>
      </w:r>
    </w:p>
    <w:p>
      <w:pPr>
        <w:spacing w:after="0" w:line="2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Treasury bills).</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1"/>
        </w:trPr>
        <w:tc>
          <w:tcPr>
            <w:tcW w:w="4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Canva, Inc.</w:t>
            </w:r>
          </w:p>
        </w:tc>
        <w:tc>
          <w:tcPr>
            <w:tcW w:w="2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Common shares</w:t>
            </w:r>
          </w:p>
        </w:tc>
        <w:tc>
          <w:tcPr>
            <w:tcW w:w="22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4/17/2024</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9,999,948</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CW Opportunity 2 LP</w:t>
            </w:r>
          </w:p>
        </w:tc>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Class A Interest</w:t>
            </w:r>
          </w:p>
        </w:tc>
        <w:tc>
          <w:tcPr>
            <w:tcW w:w="1800" w:type="dxa"/>
            <w:vAlign w:val="bottom"/>
          </w:tcPr>
          <w:p>
            <w:pPr>
              <w:jc w:val="right"/>
              <w:ind w:right="540"/>
              <w:spacing w:after="0"/>
              <w:rPr>
                <w:sz w:val="20"/>
                <w:szCs w:val="20"/>
                <w:color w:val="auto"/>
              </w:rPr>
            </w:pPr>
            <w:r>
              <w:rPr>
                <w:rFonts w:ascii="Times New Roman" w:cs="Times New Roman" w:eastAsia="Times New Roman" w:hAnsi="Times New Roman"/>
                <w:sz w:val="16"/>
                <w:szCs w:val="16"/>
                <w:color w:val="auto"/>
              </w:rPr>
              <w:t>5/7/2024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15,000,000</w:t>
            </w:r>
          </w:p>
        </w:tc>
      </w:tr>
      <w:tr>
        <w:trPr>
          <w:trHeight w:val="203"/>
        </w:trPr>
        <w:tc>
          <w:tcPr>
            <w:tcW w:w="428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24,999,948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1"/>
        </w:trPr>
        <w:tc>
          <w:tcPr>
            <w:tcW w:w="2820" w:type="dxa"/>
            <w:vAlign w:val="bottom"/>
            <w:tcBorders>
              <w:bottom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spacing w:after="0" w:line="186" w:lineRule="exact"/>
        <w:rPr>
          <w:sz w:val="20"/>
          <w:szCs w:val="20"/>
          <w:color w:val="auto"/>
        </w:rPr>
      </w:pPr>
    </w:p>
    <w:p>
      <w:pPr>
        <w:jc w:val="both"/>
        <w:ind w:left="5" w:right="20" w:firstLine="287"/>
        <w:spacing w:after="0" w:line="256" w:lineRule="auto"/>
        <w:rPr>
          <w:sz w:val="20"/>
          <w:szCs w:val="20"/>
          <w:color w:val="auto"/>
        </w:rPr>
      </w:pPr>
      <w:r>
        <w:rPr>
          <w:rFonts w:ascii="Times New Roman" w:cs="Times New Roman" w:eastAsia="Times New Roman" w:hAnsi="Times New Roman"/>
          <w:sz w:val="16"/>
          <w:szCs w:val="16"/>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Modified Dutch Auction Tender Offer</w:t>
      </w:r>
    </w:p>
    <w:p>
      <w:pPr>
        <w:spacing w:after="0" w:line="200"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On February 14, 2024, the Company’s Board of Directors authorized a modified Dutch Auction tender offer (the “Tender Offer”) to purchase up to 2,000,000 shares of its common stock at a price per share of not less than $4.00 and not greater than $5.00 in $0.10 increments, using available cash. The Tender Offer commenced on February 20, 2024 and expired at 5:00 P.M. Eastern Time on April 1, 2024. Pursuant to the terms of the Tender Offer, the Company repurchased 2,000,000 shares, representing approximately 7.9% of its outstanding shares, on or about April 5, 2024, at a price of $4.70 per share. The Company used available cash to fund the purchase of its shares of common stock in the Tender Offer and to pay for all related fees and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13—SUPPLEMENTAL FINANCIAL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Summarized Financial Information of Unconsolidated Subsidiaries</w:t>
      </w:r>
    </w:p>
    <w:p>
      <w:pPr>
        <w:spacing w:after="0" w:line="200"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5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64"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 Company’s three controlled portfolio companies as of March 31, 2024, SPBRX, INC. (f/k/a GSV Sustainability Partners, Inc.), Architect Capital PayJoy SPV, LLC, and Colombier Sponsor II LLC, did not meet the definition of a “significant subsidiary” as set forth in Rule 1-02(w)(2). For comparability purposes, the Company has omitted the previously disclosed summarized financial information of the Company’s significant subsidiaries for the quarter ended March 31, 2023 as the Company’s significant subsidiaries would not have been considered significant subsidiaries under the Final Rules.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forward-looking statements contained in this quarterly report on Form 10-Q involve risks and uncertainties, including, without limitation, statements as to:</w:t>
      </w:r>
    </w:p>
    <w:p>
      <w:pPr>
        <w:spacing w:after="0" w:line="198" w:lineRule="exact"/>
        <w:rPr>
          <w:sz w:val="20"/>
          <w:szCs w:val="20"/>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operating results;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upon our management team and key investment professionals;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prospects and the prospects of our portfolio companies;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our business and future growth;</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investments that we expect to make;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investments in growth-stage companies, other venture capital-backed companies, and generally U.S. companies;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contractual arrangements and relationships with third parties;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make distributions;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dependence of our future success on the general economy and its impact on the industries in which we invest;</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uncertainty of the value of our portfolio investments;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portfolio companies to achieve their objectives;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political, economic or industry conditions;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financings and investments;</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changes in laws or regulations (including the interpretation thereof), including tax laws, on our operations and/or the operation of our portfolio companies;</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adequacy of our cash resources and working capital;</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market volatility, including general price and volume fluctuations in stock markets;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cash flows, if any, from the operations of our portfolio companies.</w:t>
      </w:r>
    </w:p>
    <w:p>
      <w:pPr>
        <w:spacing w:after="0" w:line="198" w:lineRule="exact"/>
        <w:rPr>
          <w:sz w:val="20"/>
          <w:szCs w:val="20"/>
          <w:color w:val="auto"/>
        </w:rPr>
      </w:pPr>
    </w:p>
    <w:p>
      <w:pPr>
        <w:ind w:right="20" w:firstLine="287"/>
        <w:spacing w:after="0" w:line="280" w:lineRule="auto"/>
        <w:rPr>
          <w:sz w:val="20"/>
          <w:szCs w:val="20"/>
          <w:color w:val="auto"/>
        </w:rPr>
      </w:pPr>
      <w:r>
        <w:rPr>
          <w:rFonts w:ascii="Times New Roman" w:cs="Times New Roman" w:eastAsia="Times New Roman" w:hAnsi="Times New Roman"/>
          <w:sz w:val="16"/>
          <w:szCs w:val="16"/>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44" w:lineRule="exact"/>
        <w:rPr>
          <w:sz w:val="20"/>
          <w:szCs w:val="20"/>
          <w:color w:val="auto"/>
        </w:rPr>
      </w:pPr>
    </w:p>
    <w:p>
      <w:pPr>
        <w:ind w:left="560" w:right="20" w:hanging="278"/>
        <w:spacing w:after="0" w:line="280" w:lineRule="auto"/>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economic downturn could impair our portfolio companies’ ability to continue to operate, which could lead to the loss of some or all of our investments in such portfolio companies;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ind w:left="560" w:right="20" w:hanging="278"/>
        <w:spacing w:after="0" w:line="280" w:lineRule="auto"/>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economic downturn could disproportionately impact the market sectors in which a significant portion of our portfolio is concentrated, causing us to suffer losses in our portfolio;</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contraction of available credit and/or an inability to access the equity markets could impair our investment activities;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inflation or an inflationary economic environment could adversely affect our portfolio companies’ operating results, causing us to suffer losses in our portfolio;</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volatility could adversely affect our results, particularly because we use leverage as part of our investment strategy; and</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risks, uncertainties and other factors we identify in the sections entitled “Risk Factors” in our quarterly reports on Form 10-Q, our annual report on Form 10-K, and in our other filings with the SEC.</w:t>
      </w:r>
    </w:p>
    <w:p>
      <w:pPr>
        <w:spacing w:after="0" w:line="144" w:lineRule="exact"/>
        <w:rPr>
          <w:sz w:val="20"/>
          <w:szCs w:val="20"/>
          <w:color w:val="auto"/>
        </w:rPr>
      </w:pPr>
    </w:p>
    <w:p>
      <w:pPr>
        <w:jc w:val="both"/>
        <w:ind w:right="20" w:firstLine="287"/>
        <w:spacing w:after="0" w:line="273" w:lineRule="auto"/>
        <w:rPr>
          <w:sz w:val="20"/>
          <w:szCs w:val="20"/>
          <w:color w:val="auto"/>
        </w:rPr>
      </w:pPr>
      <w:r>
        <w:rPr>
          <w:rFonts w:ascii="Times New Roman" w:cs="Times New Roman" w:eastAsia="Times New Roman" w:hAnsi="Times New Roman"/>
          <w:sz w:val="15"/>
          <w:szCs w:val="15"/>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0"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We are an internally 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57"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67" w:lineRule="exact"/>
        <w:rPr>
          <w:sz w:val="20"/>
          <w:szCs w:val="20"/>
          <w:color w:val="auto"/>
        </w:rPr>
      </w:pPr>
    </w:p>
    <w:p>
      <w:pPr>
        <w:jc w:val="both"/>
        <w:ind w:firstLine="287"/>
        <w:spacing w:after="0" w:line="278" w:lineRule="auto"/>
        <w:rPr>
          <w:sz w:val="20"/>
          <w:szCs w:val="20"/>
          <w:color w:val="auto"/>
        </w:rPr>
      </w:pPr>
      <w:r>
        <w:rPr>
          <w:rFonts w:ascii="Times New Roman" w:cs="Times New Roman" w:eastAsia="Times New Roman" w:hAnsi="Times New Roman"/>
          <w:sz w:val="15"/>
          <w:szCs w:val="15"/>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47"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Our investment philosophy is based on a disciplined approach of identifying promising investments in high-growth, venture-backed companies across several key industry themes which may include, among others, social/mobile/consumer, cloud computing and big data, internet commerce, financial technology, mobility, enterprise software, and sustainability.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seek to create a low-turnover portfolio that includes investments in companies representing a broad range of investment themes.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History</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44"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On and effective June 22, 2020, we changed our name to “SuRo Capital Corp.” from “Sutter Rock Capital Corp.”</w:t>
      </w:r>
    </w:p>
    <w:p>
      <w:pPr>
        <w:spacing w:after="0" w:line="198"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5"/>
          <w:szCs w:val="15"/>
          <w:color w:val="auto"/>
        </w:rPr>
        <w:t>On and effective March 12, 2019, our Board of Directors approved our internalization (the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thereby allowing for greater transparency to stockholders through robust disclosure regarding our compensation structure. As a result of the Internalization,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8" w:name="page49"/>
    <w:bookmarkEnd w:id="48"/>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2024</w:t>
      </w:r>
    </w:p>
    <w:p>
      <w:pPr>
        <w:spacing w:after="0" w:line="202" w:lineRule="exact"/>
        <w:rPr>
          <w:sz w:val="20"/>
          <w:szCs w:val="20"/>
          <w:color w:val="auto"/>
        </w:rPr>
      </w:pPr>
    </w:p>
    <w:p>
      <w:pPr>
        <w:jc w:val="both"/>
        <w:ind w:left="5" w:firstLine="287"/>
        <w:spacing w:after="0" w:line="264" w:lineRule="auto"/>
        <w:rPr>
          <w:sz w:val="20"/>
          <w:szCs w:val="20"/>
          <w:color w:val="auto"/>
        </w:rPr>
      </w:pPr>
      <w:r>
        <w:rPr>
          <w:rFonts w:ascii="Times New Roman" w:cs="Times New Roman" w:eastAsia="Times New Roman" w:hAnsi="Times New Roman"/>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2024, of all of our portfolio investments, excluding short-term U.S. Treasury bills, was $175,015,571.</w:t>
      </w:r>
    </w:p>
    <w:p>
      <w:pPr>
        <w:spacing w:after="0" w:line="157" w:lineRule="exact"/>
        <w:rPr>
          <w:sz w:val="20"/>
          <w:szCs w:val="20"/>
          <w:color w:val="auto"/>
        </w:rPr>
      </w:pPr>
    </w:p>
    <w:p>
      <w:pPr>
        <w:jc w:val="both"/>
        <w:ind w:left="5" w:firstLine="287"/>
        <w:spacing w:after="0" w:line="280" w:lineRule="auto"/>
        <w:rPr>
          <w:sz w:val="20"/>
          <w:szCs w:val="20"/>
          <w:color w:val="auto"/>
        </w:rPr>
      </w:pPr>
      <w:r>
        <w:rPr>
          <w:rFonts w:ascii="Times New Roman" w:cs="Times New Roman" w:eastAsia="Times New Roman" w:hAnsi="Times New Roman"/>
          <w:sz w:val="16"/>
          <w:szCs w:val="16"/>
          <w:color w:val="auto"/>
        </w:rPr>
        <w:t>During the three months ended March 31, 2024, we funded investments in an aggregate amount of $9,999,996 (not including capitalized transaction costs or investments in short-term U.S. Treasury bills) as shown in the following table:</w:t>
      </w:r>
    </w:p>
    <w:p>
      <w:pPr>
        <w:spacing w:after="0" w:line="154" w:lineRule="exact"/>
        <w:rPr>
          <w:sz w:val="20"/>
          <w:szCs w:val="20"/>
          <w:color w:val="auto"/>
        </w:rPr>
      </w:pPr>
    </w:p>
    <w:tbl>
      <w:tblPr>
        <w:tblLayout w:type="fixed"/>
        <w:tblInd w:w="285" w:type="dxa"/>
        <w:tblCellMar>
          <w:top w:w="0" w:type="dxa"/>
          <w:left w:w="0" w:type="dxa"/>
          <w:bottom w:w="0" w:type="dxa"/>
          <w:right w:w="0" w:type="dxa"/>
        </w:tblCellMar>
      </w:tblPr>
      <w:tr>
        <w:trPr>
          <w:trHeight w:val="213"/>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Transaction Date</w:t>
            </w:r>
          </w:p>
        </w:tc>
        <w:tc>
          <w:tcPr>
            <w:tcW w:w="220" w:type="dxa"/>
            <w:vAlign w:val="bottom"/>
          </w:tcPr>
          <w:p>
            <w:pPr>
              <w:spacing w:after="0"/>
              <w:rPr>
                <w:sz w:val="18"/>
                <w:szCs w:val="18"/>
                <w:color w:val="auto"/>
              </w:rPr>
            </w:pPr>
          </w:p>
        </w:tc>
        <w:tc>
          <w:tcPr>
            <w:tcW w:w="17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Gross Payments</w:t>
            </w:r>
          </w:p>
        </w:tc>
      </w:tr>
      <w:tr>
        <w:trPr>
          <w:trHeight w:val="223"/>
        </w:trPr>
        <w:tc>
          <w:tcPr>
            <w:tcW w:w="3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Supplying Demand, Inc. (d/b/a Liquid Death)</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Preferred shares, Series F-1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CCEEFF"/>
            </w:tcBorders>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1/18/2024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7"/>
        </w:trPr>
        <w:tc>
          <w:tcPr>
            <w:tcW w:w="41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9,999,996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During the three months ended March 31, 2024, we capitalized fees of $3,938.</w:t>
      </w:r>
    </w:p>
    <w:p>
      <w:pPr>
        <w:spacing w:after="0" w:line="198" w:lineRule="exact"/>
        <w:rPr>
          <w:sz w:val="20"/>
          <w:szCs w:val="20"/>
          <w:color w:val="auto"/>
        </w:rPr>
      </w:pPr>
    </w:p>
    <w:p>
      <w:pPr>
        <w:ind w:left="5" w:right="20"/>
        <w:spacing w:after="0" w:line="280" w:lineRule="auto"/>
        <w:rPr>
          <w:sz w:val="20"/>
          <w:szCs w:val="20"/>
          <w:color w:val="auto"/>
        </w:rPr>
      </w:pPr>
      <w:r>
        <w:rPr>
          <w:rFonts w:ascii="Times New Roman" w:cs="Times New Roman" w:eastAsia="Times New Roman" w:hAnsi="Times New Roman"/>
          <w:sz w:val="16"/>
          <w:szCs w:val="16"/>
          <w:color w:val="auto"/>
        </w:rPr>
        <w:t>During the three months ended March 31, 2024, we exited or received proceeds from investments in the amount of $318,316, net of transaction costs, and realized a net loss on investments of $424,074 (including adjustments to amounts held in escrow receivable) as shown in following table:</w:t>
      </w:r>
    </w:p>
    <w:p>
      <w:pPr>
        <w:spacing w:after="0" w:line="142"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lef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Realized</w:t>
            </w:r>
          </w:p>
        </w:tc>
      </w:tr>
      <w:tr>
        <w:trPr>
          <w:trHeight w:val="198"/>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left="220"/>
              <w:spacing w:after="0"/>
              <w:rPr>
                <w:sz w:val="20"/>
                <w:szCs w:val="20"/>
                <w:color w:val="auto"/>
              </w:rPr>
            </w:pPr>
            <w:r>
              <w:rPr>
                <w:rFonts w:ascii="Times New Roman" w:cs="Times New Roman" w:eastAsia="Times New Roman" w:hAnsi="Times New Roman"/>
                <w:sz w:val="16"/>
                <w:szCs w:val="16"/>
                <w:b w:val="1"/>
                <w:bCs w:val="1"/>
                <w:color w:val="auto"/>
                <w:w w:val="99"/>
              </w:rPr>
              <w:t>Net Share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Net</w:t>
            </w:r>
          </w:p>
        </w:tc>
        <w:tc>
          <w:tcPr>
            <w:tcW w:w="2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Gain/</w:t>
            </w:r>
          </w:p>
        </w:tc>
      </w:tr>
      <w:tr>
        <w:trPr>
          <w:trHeight w:val="24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ind w:left="200"/>
              <w:spacing w:after="0" w:line="238" w:lineRule="exact"/>
              <w:rPr>
                <w:sz w:val="20"/>
                <w:szCs w:val="20"/>
                <w:color w:val="auto"/>
              </w:rPr>
            </w:pPr>
            <w:r>
              <w:rPr>
                <w:rFonts w:ascii="Times New Roman" w:cs="Times New Roman" w:eastAsia="Times New Roman" w:hAnsi="Times New Roman"/>
                <w:sz w:val="16"/>
                <w:szCs w:val="16"/>
                <w:b w:val="1"/>
                <w:bCs w:val="1"/>
                <w:color w:val="auto"/>
                <w:w w:val="89"/>
              </w:rPr>
              <w:t>Price</w:t>
            </w:r>
            <w:r>
              <w:rPr>
                <w:rFonts w:ascii="Times New Roman" w:cs="Times New Roman" w:eastAsia="Times New Roman" w:hAnsi="Times New Roman"/>
                <w:sz w:val="26"/>
                <w:szCs w:val="26"/>
                <w:b w:val="1"/>
                <w:bCs w:val="1"/>
                <w:color w:val="auto"/>
                <w:w w:val="89"/>
                <w:vertAlign w:val="superscript"/>
              </w:rPr>
              <w:t>(1)</w:t>
            </w: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Proceeds</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20"/>
              <w:spacing w:after="0" w:line="238" w:lineRule="exact"/>
              <w:rPr>
                <w:sz w:val="20"/>
                <w:szCs w:val="20"/>
                <w:color w:val="auto"/>
              </w:rPr>
            </w:pPr>
            <w:r>
              <w:rPr>
                <w:rFonts w:ascii="Times New Roman" w:cs="Times New Roman" w:eastAsia="Times New Roman" w:hAnsi="Times New Roman"/>
                <w:sz w:val="16"/>
                <w:szCs w:val="16"/>
                <w:b w:val="1"/>
                <w:bCs w:val="1"/>
                <w:color w:val="auto"/>
                <w:w w:val="93"/>
              </w:rPr>
              <w:t>(Loss)</w:t>
            </w:r>
            <w:r>
              <w:rPr>
                <w:rFonts w:ascii="Times New Roman" w:cs="Times New Roman" w:eastAsia="Times New Roman" w:hAnsi="Times New Roman"/>
                <w:sz w:val="26"/>
                <w:szCs w:val="26"/>
                <w:b w:val="1"/>
                <w:bCs w:val="1"/>
                <w:color w:val="auto"/>
                <w:w w:val="93"/>
                <w:vertAlign w:val="superscript"/>
              </w:rPr>
              <w:t>(2)</w:t>
            </w:r>
          </w:p>
        </w:tc>
        <w:tc>
          <w:tcPr>
            <w:tcW w:w="120" w:type="dxa"/>
            <w:vAlign w:val="bottom"/>
            <w:tcBorders>
              <w:bottom w:val="single" w:sz="8" w:color="CCEEFF"/>
            </w:tcBorders>
          </w:tcPr>
          <w:p>
            <w:pPr>
              <w:spacing w:after="0"/>
              <w:rPr>
                <w:sz w:val="21"/>
                <w:szCs w:val="21"/>
                <w:color w:val="auto"/>
              </w:rPr>
            </w:pPr>
          </w:p>
        </w:tc>
      </w:tr>
      <w:tr>
        <w:trPr>
          <w:trHeight w:val="227"/>
        </w:trPr>
        <w:tc>
          <w:tcPr>
            <w:tcW w:w="360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Nextdoor Holdings, Inc.</w:t>
            </w:r>
            <w:r>
              <w:rPr>
                <w:rFonts w:ascii="Times New Roman" w:cs="Times New Roman" w:eastAsia="Times New Roman" w:hAnsi="Times New Roman"/>
                <w:sz w:val="26"/>
                <w:szCs w:val="26"/>
                <w:color w:val="auto"/>
                <w:vertAlign w:val="superscript"/>
              </w:rPr>
              <w:t>(3)</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112,420</w:t>
            </w:r>
          </w:p>
        </w:tc>
        <w:tc>
          <w:tcPr>
            <w:tcW w:w="11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2"/>
              </w:rPr>
              <w:t>1.92</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215,318</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(411,151)</w:t>
            </w:r>
          </w:p>
        </w:tc>
      </w:tr>
      <w:tr>
        <w:trPr>
          <w:trHeight w:val="243"/>
        </w:trPr>
        <w:tc>
          <w:tcPr>
            <w:tcW w:w="3820" w:type="dxa"/>
            <w:vAlign w:val="bottom"/>
            <w:gridSpan w:val="2"/>
          </w:tcPr>
          <w:p>
            <w:pPr>
              <w:spacing w:after="0" w:line="238" w:lineRule="exact"/>
              <w:rPr>
                <w:sz w:val="20"/>
                <w:szCs w:val="20"/>
                <w:color w:val="auto"/>
              </w:rPr>
            </w:pPr>
            <w:r>
              <w:rPr>
                <w:rFonts w:ascii="Times New Roman" w:cs="Times New Roman" w:eastAsia="Times New Roman" w:hAnsi="Times New Roman"/>
                <w:sz w:val="16"/>
                <w:szCs w:val="16"/>
                <w:color w:val="auto"/>
              </w:rPr>
              <w:t xml:space="preserve">PSQ Holdings, Inc. (d/b/a PublicSquare) </w:t>
            </w:r>
            <w:r>
              <w:rPr>
                <w:rFonts w:ascii="Times New Roman" w:cs="Times New Roman" w:eastAsia="Times New Roman" w:hAnsi="Times New Roman"/>
                <w:sz w:val="16"/>
                <w:szCs w:val="16"/>
                <w:i w:val="1"/>
                <w:iCs w:val="1"/>
                <w:color w:val="auto"/>
              </w:rPr>
              <w:t>- Warrants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2"/>
              </w:rPr>
              <w:t>1.03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102,998</w:t>
            </w:r>
          </w:p>
        </w:tc>
        <w:tc>
          <w:tcPr>
            <w:tcW w:w="2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60,067</w:t>
            </w:r>
          </w:p>
        </w:tc>
      </w:tr>
      <w:tr>
        <w:trPr>
          <w:trHeight w:val="203"/>
        </w:trPr>
        <w:tc>
          <w:tcPr>
            <w:tcW w:w="38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318,316</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(351,084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0" w:lineRule="exact"/>
        <w:rPr>
          <w:sz w:val="20"/>
          <w:szCs w:val="20"/>
          <w:color w:val="auto"/>
        </w:rPr>
      </w:pPr>
    </w:p>
    <w:p>
      <w:pPr>
        <w:ind w:left="565" w:hanging="565"/>
        <w:spacing w:after="0"/>
        <w:tabs>
          <w:tab w:leader="none" w:pos="56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23"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does not include adjustments to amounts held in escrow receivable.</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February 23, 2024, we had sold our remaining Nextdoor Holdings, Inc. public common shares.</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2024, we held 2,296,037 remaining PSQ Holdings, Inc. (d/b/a PublicSquare) warrants.</w:t>
      </w:r>
    </w:p>
    <w:p>
      <w:pPr>
        <w:spacing w:after="0" w:line="18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During the three months ended March 31, 2024, we did not write-off any investments.</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2023</w:t>
      </w:r>
    </w:p>
    <w:p>
      <w:pPr>
        <w:spacing w:after="0" w:line="202" w:lineRule="exact"/>
        <w:rPr>
          <w:sz w:val="20"/>
          <w:szCs w:val="20"/>
          <w:color w:val="auto"/>
        </w:rPr>
      </w:pPr>
    </w:p>
    <w:p>
      <w:pPr>
        <w:jc w:val="both"/>
        <w:ind w:left="5" w:firstLine="287"/>
        <w:spacing w:after="0" w:line="264" w:lineRule="auto"/>
        <w:rPr>
          <w:sz w:val="20"/>
          <w:szCs w:val="20"/>
          <w:color w:val="auto"/>
        </w:rPr>
      </w:pPr>
      <w:r>
        <w:rPr>
          <w:rFonts w:ascii="Times New Roman" w:cs="Times New Roman" w:eastAsia="Times New Roman" w:hAnsi="Times New Roman"/>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2023, of all of our portfolio investments, excluding U.S. Treasury bills, was $165,088,040.</w:t>
      </w:r>
    </w:p>
    <w:p>
      <w:pPr>
        <w:spacing w:after="0" w:line="157" w:lineRule="exact"/>
        <w:rPr>
          <w:sz w:val="20"/>
          <w:szCs w:val="20"/>
          <w:color w:val="auto"/>
        </w:rPr>
      </w:pPr>
    </w:p>
    <w:p>
      <w:pPr>
        <w:jc w:val="both"/>
        <w:ind w:left="5" w:firstLine="287"/>
        <w:spacing w:after="0" w:line="280" w:lineRule="auto"/>
        <w:rPr>
          <w:sz w:val="20"/>
          <w:szCs w:val="20"/>
          <w:color w:val="auto"/>
        </w:rPr>
      </w:pPr>
      <w:r>
        <w:rPr>
          <w:rFonts w:ascii="Times New Roman" w:cs="Times New Roman" w:eastAsia="Times New Roman" w:hAnsi="Times New Roman"/>
          <w:sz w:val="16"/>
          <w:szCs w:val="16"/>
          <w:color w:val="auto"/>
        </w:rPr>
        <w:t>During the three months ended March 31, 2023, we funded investments in an aggregate amount of $3,330,000 (not including capitalized transaction costs or investments in short-term U.S. Treasury investments) as shown in the following table:</w:t>
      </w:r>
    </w:p>
    <w:p>
      <w:pPr>
        <w:spacing w:after="0" w:line="154" w:lineRule="exact"/>
        <w:rPr>
          <w:sz w:val="20"/>
          <w:szCs w:val="20"/>
          <w:color w:val="auto"/>
        </w:rPr>
      </w:pPr>
    </w:p>
    <w:tbl>
      <w:tblPr>
        <w:tblLayout w:type="fixed"/>
        <w:tblInd w:w="285" w:type="dxa"/>
        <w:tblCellMar>
          <w:top w:w="0" w:type="dxa"/>
          <w:left w:w="0" w:type="dxa"/>
          <w:bottom w:w="0" w:type="dxa"/>
          <w:right w:w="0" w:type="dxa"/>
        </w:tblCellMar>
      </w:tblPr>
      <w:tr>
        <w:trPr>
          <w:trHeight w:val="21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Borders>
              <w:bottom w:val="single" w:sz="8" w:color="CCEEFF"/>
            </w:tcBorders>
          </w:tcPr>
          <w:p>
            <w:pPr>
              <w:spacing w:after="0"/>
              <w:rPr>
                <w:sz w:val="18"/>
                <w:szCs w:val="18"/>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2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Transaction Date</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Gross Payments</w:t>
            </w:r>
          </w:p>
        </w:tc>
        <w:tc>
          <w:tcPr>
            <w:tcW w:w="100" w:type="dxa"/>
            <w:vAlign w:val="bottom"/>
            <w:tcBorders>
              <w:bottom w:val="single" w:sz="8" w:color="CCEEFF"/>
            </w:tcBorders>
          </w:tcPr>
          <w:p>
            <w:pPr>
              <w:spacing w:after="0"/>
              <w:rPr>
                <w:sz w:val="18"/>
                <w:szCs w:val="18"/>
                <w:color w:val="auto"/>
              </w:rPr>
            </w:pPr>
          </w:p>
        </w:tc>
      </w:tr>
      <w:tr>
        <w:trPr>
          <w:trHeight w:val="227"/>
        </w:trPr>
        <w:tc>
          <w:tcPr>
            <w:tcW w:w="390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Orchard Technologies, Inc.</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Preferred shares, Series 1</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1/13/2023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2,000,000</w:t>
            </w:r>
          </w:p>
        </w:tc>
      </w:tr>
      <w:tr>
        <w:trPr>
          <w:trHeight w:val="243"/>
        </w:trPr>
        <w:tc>
          <w:tcPr>
            <w:tcW w:w="4120" w:type="dxa"/>
            <w:vAlign w:val="bottom"/>
            <w:gridSpan w:val="2"/>
          </w:tcPr>
          <w:p>
            <w:pPr>
              <w:spacing w:after="0" w:line="238" w:lineRule="exact"/>
              <w:rPr>
                <w:sz w:val="20"/>
                <w:szCs w:val="20"/>
                <w:color w:val="auto"/>
              </w:rPr>
            </w:pPr>
            <w:r>
              <w:rPr>
                <w:rFonts w:ascii="Times New Roman" w:cs="Times New Roman" w:eastAsia="Times New Roman" w:hAnsi="Times New Roman"/>
                <w:sz w:val="16"/>
                <w:szCs w:val="16"/>
                <w:color w:val="auto"/>
              </w:rPr>
              <w:t>True Global Ventures 4 Plus Pte Ltd</w:t>
            </w:r>
            <w:r>
              <w:rPr>
                <w:rFonts w:ascii="Times New Roman" w:cs="Times New Roman" w:eastAsia="Times New Roman" w:hAnsi="Times New Roman"/>
                <w:sz w:val="26"/>
                <w:szCs w:val="26"/>
                <w:color w:val="auto"/>
                <w:vertAlign w:val="superscript"/>
              </w:rPr>
              <w:t>(2)</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Limited Partner Fund Investment</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3/31/2023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1,330,000</w:t>
            </w:r>
          </w:p>
        </w:tc>
      </w:tr>
      <w:tr>
        <w:trPr>
          <w:trHeight w:val="203"/>
        </w:trPr>
        <w:tc>
          <w:tcPr>
            <w:tcW w:w="41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3,330,000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0" w:lineRule="exact"/>
        <w:rPr>
          <w:sz w:val="20"/>
          <w:szCs w:val="20"/>
          <w:color w:val="auto"/>
        </w:rPr>
      </w:pPr>
    </w:p>
    <w:p>
      <w:pPr>
        <w:jc w:val="both"/>
        <w:ind w:left="565" w:right="20" w:hanging="565"/>
        <w:spacing w:after="0" w:line="256" w:lineRule="auto"/>
        <w:tabs>
          <w:tab w:leader="none" w:pos="56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13, 2023, we invested $2.0 million in Orchard Technologies, Inc.’s Series 1 Senior Preferred financing round. As part of the transaction, we exchanged a portion of our existing Series D Preferred shares investment for Series 1 Senior Preferred shares, Series 2 Senior Preferred shares, and Common shares. Additionally, our previous investment in the Simple Agreement for Future Equity was converted into additional Series 1 Senior Preferred shares.</w:t>
      </w:r>
    </w:p>
    <w:p>
      <w:pPr>
        <w:spacing w:after="0" w:line="1"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previously unfunded capital commitment of $1.3 million was deemed fully contributed in lieu of cash distributions.</w:t>
      </w:r>
    </w:p>
    <w:p>
      <w:pPr>
        <w:spacing w:after="0" w:line="18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During the three months ended March 31, 2023, we capitalized fees of $3,698.</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sectPr>
      </w:pPr>
    </w:p>
    <w:bookmarkStart w:id="49" w:name="page50"/>
    <w:bookmarkEnd w:id="49"/>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ind w:left="5" w:firstLine="287"/>
        <w:spacing w:after="0" w:line="280" w:lineRule="auto"/>
        <w:rPr>
          <w:sz w:val="20"/>
          <w:szCs w:val="20"/>
          <w:color w:val="auto"/>
        </w:rPr>
      </w:pPr>
      <w:r>
        <w:rPr>
          <w:rFonts w:ascii="Times New Roman" w:cs="Times New Roman" w:eastAsia="Times New Roman" w:hAnsi="Times New Roman"/>
          <w:sz w:val="16"/>
          <w:szCs w:val="16"/>
          <w:color w:val="auto"/>
        </w:rPr>
        <w:t>During the three months ended March 31, 2023, we exited or received proceeds from investments in the amount of $4,190,159, net of transaction costs, and realized a net gain on investments of $189,343 (including adjustments to amounts held in escrow receivable) as shown in following table:</w:t>
      </w:r>
    </w:p>
    <w:p>
      <w:pPr>
        <w:spacing w:after="0" w:line="142"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Realized</w:t>
            </w:r>
          </w:p>
        </w:tc>
      </w:tr>
      <w:tr>
        <w:trPr>
          <w:trHeight w:val="198"/>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Net Share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Net</w:t>
            </w:r>
          </w:p>
        </w:tc>
        <w:tc>
          <w:tcPr>
            <w:tcW w:w="200" w:type="dxa"/>
            <w:vAlign w:val="bottom"/>
          </w:tcPr>
          <w:p>
            <w:pPr>
              <w:spacing w:after="0"/>
              <w:rPr>
                <w:sz w:val="17"/>
                <w:szCs w:val="17"/>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Gain/</w:t>
            </w:r>
          </w:p>
        </w:tc>
      </w:tr>
      <w:tr>
        <w:trPr>
          <w:trHeight w:val="24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20"/>
              <w:spacing w:after="0" w:line="238" w:lineRule="exact"/>
              <w:rPr>
                <w:sz w:val="20"/>
                <w:szCs w:val="20"/>
                <w:color w:val="auto"/>
              </w:rPr>
            </w:pPr>
            <w:r>
              <w:rPr>
                <w:rFonts w:ascii="Times New Roman" w:cs="Times New Roman" w:eastAsia="Times New Roman" w:hAnsi="Times New Roman"/>
                <w:sz w:val="16"/>
                <w:szCs w:val="16"/>
                <w:b w:val="1"/>
                <w:bCs w:val="1"/>
                <w:color w:val="auto"/>
                <w:w w:val="90"/>
              </w:rPr>
              <w:t xml:space="preserve">Price </w:t>
            </w:r>
            <w:r>
              <w:rPr>
                <w:rFonts w:ascii="Times New Roman" w:cs="Times New Roman" w:eastAsia="Times New Roman" w:hAnsi="Times New Roman"/>
                <w:sz w:val="26"/>
                <w:szCs w:val="26"/>
                <w:b w:val="1"/>
                <w:bCs w:val="1"/>
                <w:color w:val="auto"/>
                <w:w w:val="90"/>
                <w:vertAlign w:val="superscript"/>
              </w:rPr>
              <w:t>(1)</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Proceeds</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20"/>
              <w:spacing w:after="0" w:line="238" w:lineRule="exact"/>
              <w:rPr>
                <w:sz w:val="20"/>
                <w:szCs w:val="20"/>
                <w:color w:val="auto"/>
              </w:rPr>
            </w:pPr>
            <w:r>
              <w:rPr>
                <w:rFonts w:ascii="Times New Roman" w:cs="Times New Roman" w:eastAsia="Times New Roman" w:hAnsi="Times New Roman"/>
                <w:sz w:val="16"/>
                <w:szCs w:val="16"/>
                <w:b w:val="1"/>
                <w:bCs w:val="1"/>
                <w:color w:val="auto"/>
                <w:w w:val="93"/>
              </w:rPr>
              <w:t>(Loss)</w:t>
            </w:r>
            <w:r>
              <w:rPr>
                <w:rFonts w:ascii="Times New Roman" w:cs="Times New Roman" w:eastAsia="Times New Roman" w:hAnsi="Times New Roman"/>
                <w:sz w:val="26"/>
                <w:szCs w:val="26"/>
                <w:b w:val="1"/>
                <w:bCs w:val="1"/>
                <w:color w:val="auto"/>
                <w:w w:val="93"/>
                <w:vertAlign w:val="superscript"/>
              </w:rPr>
              <w:t>(2)</w:t>
            </w:r>
          </w:p>
        </w:tc>
        <w:tc>
          <w:tcPr>
            <w:tcW w:w="120" w:type="dxa"/>
            <w:vAlign w:val="bottom"/>
            <w:tcBorders>
              <w:bottom w:val="single" w:sz="8" w:color="CCEEFF"/>
            </w:tcBorders>
            <w:gridSpan w:val="2"/>
          </w:tcPr>
          <w:p>
            <w:pPr>
              <w:spacing w:after="0"/>
              <w:rPr>
                <w:sz w:val="21"/>
                <w:szCs w:val="21"/>
                <w:color w:val="auto"/>
              </w:rPr>
            </w:pPr>
          </w:p>
        </w:tc>
      </w:tr>
      <w:tr>
        <w:trPr>
          <w:trHeight w:val="227"/>
        </w:trPr>
        <w:tc>
          <w:tcPr>
            <w:tcW w:w="360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Rent the Runway, Inc.</w:t>
            </w:r>
            <w:r>
              <w:rPr>
                <w:rFonts w:ascii="Times New Roman" w:cs="Times New Roman" w:eastAsia="Times New Roman" w:hAnsi="Times New Roman"/>
                <w:sz w:val="26"/>
                <w:szCs w:val="26"/>
                <w:color w:val="auto"/>
                <w:vertAlign w:val="superscript"/>
              </w:rPr>
              <w:t>(3)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1/4/2023</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79,191</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3.05</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241,456</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(961,837)</w:t>
            </w:r>
          </w:p>
        </w:tc>
      </w:tr>
      <w:tr>
        <w:trPr>
          <w:trHeight w:val="227"/>
        </w:trPr>
        <w:tc>
          <w:tcPr>
            <w:tcW w:w="382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Kahoot! ASA</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38,305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75,601</w:t>
            </w:r>
          </w:p>
        </w:tc>
        <w:tc>
          <w:tcPr>
            <w:tcW w:w="20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(100,466)</w:t>
            </w:r>
          </w:p>
        </w:tc>
      </w:tr>
      <w:tr>
        <w:trPr>
          <w:trHeight w:val="178"/>
        </w:trPr>
        <w:tc>
          <w:tcPr>
            <w:tcW w:w="38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NewLake Capital Partners, Inc. (f/k/a GreenAcreage</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40"/>
        </w:trPr>
        <w:tc>
          <w:tcPr>
            <w:tcW w:w="382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Real Estate Corp.)</w:t>
            </w:r>
            <w:r>
              <w:rPr>
                <w:rFonts w:ascii="Times New Roman" w:cs="Times New Roman" w:eastAsia="Times New Roman" w:hAnsi="Times New Roman"/>
                <w:sz w:val="26"/>
                <w:szCs w:val="26"/>
                <w:color w:val="auto"/>
                <w:vertAlign w:val="superscript"/>
              </w:rPr>
              <w:t>(5)</w:t>
            </w: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123,938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18.50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2,293,102</w:t>
            </w: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(186,748)</w:t>
            </w:r>
          </w:p>
        </w:tc>
      </w:tr>
      <w:tr>
        <w:trPr>
          <w:trHeight w:val="178"/>
        </w:trPr>
        <w:tc>
          <w:tcPr>
            <w:tcW w:w="38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Residential Homes for Rent, LLC (d/b/a Second</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0"/>
        </w:trPr>
        <w:tc>
          <w:tcPr>
            <w:tcW w:w="382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Avenue)</w:t>
            </w:r>
            <w:r>
              <w:rPr>
                <w:rFonts w:ascii="Times New Roman" w:cs="Times New Roman" w:eastAsia="Times New Roman" w:hAnsi="Times New Roman"/>
                <w:sz w:val="26"/>
                <w:szCs w:val="26"/>
                <w:color w:val="auto"/>
                <w:vertAlign w:val="superscript"/>
              </w:rPr>
              <w:t>(6)</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250,000</w:t>
            </w:r>
          </w:p>
        </w:tc>
        <w:tc>
          <w:tcPr>
            <w:tcW w:w="20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59"/>
        </w:trPr>
        <w:tc>
          <w:tcPr>
            <w:tcW w:w="3820" w:type="dxa"/>
            <w:vAlign w:val="bottom"/>
            <w:gridSpan w:val="2"/>
            <w:shd w:val="clear" w:color="auto" w:fill="CCEEFF"/>
          </w:tcPr>
          <w:p>
            <w:pPr>
              <w:spacing w:after="0" w:line="238" w:lineRule="exact"/>
              <w:rPr>
                <w:sz w:val="20"/>
                <w:szCs w:val="20"/>
                <w:color w:val="auto"/>
              </w:rPr>
            </w:pPr>
            <w:r>
              <w:rPr>
                <w:rFonts w:ascii="Times New Roman" w:cs="Times New Roman" w:eastAsia="Times New Roman" w:hAnsi="Times New Roman"/>
                <w:sz w:val="16"/>
                <w:szCs w:val="16"/>
                <w:color w:val="auto"/>
              </w:rPr>
              <w:t>True Global Ventures 4 Plus Pte Ltd</w:t>
            </w:r>
            <w:r>
              <w:rPr>
                <w:rFonts w:ascii="Times New Roman" w:cs="Times New Roman" w:eastAsia="Times New Roman" w:hAnsi="Times New Roman"/>
                <w:sz w:val="26"/>
                <w:szCs w:val="26"/>
                <w:color w:val="auto"/>
                <w:vertAlign w:val="superscript"/>
              </w:rPr>
              <w:t>(7)</w:t>
            </w:r>
          </w:p>
        </w:tc>
        <w:tc>
          <w:tcPr>
            <w:tcW w:w="11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3/31/2023</w:t>
            </w:r>
          </w:p>
        </w:tc>
        <w:tc>
          <w:tcPr>
            <w:tcW w:w="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1,330,000</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1,330,000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87"/>
        </w:trPr>
        <w:tc>
          <w:tcPr>
            <w:tcW w:w="382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4,190,159</w:t>
            </w: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80,949</w:t>
            </w:r>
          </w:p>
        </w:tc>
        <w:tc>
          <w:tcPr>
            <w:tcW w:w="20" w:type="dxa"/>
            <w:vAlign w:val="bottom"/>
            <w:tcBorders>
              <w:top w:val="single" w:sz="8" w:color="CCEEFF"/>
              <w:bottom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0" w:lineRule="exact"/>
        <w:rPr>
          <w:sz w:val="20"/>
          <w:szCs w:val="20"/>
          <w:color w:val="auto"/>
        </w:rPr>
      </w:pPr>
    </w:p>
    <w:p>
      <w:pPr>
        <w:ind w:left="565" w:hanging="565"/>
        <w:spacing w:after="0"/>
        <w:tabs>
          <w:tab w:leader="none" w:pos="56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23"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does not include adjustments to amounts held in escrow receivable.</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January 4, 2023, we had sold our remaining Rent the Runway, Inc. public common shares.</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8, 2023, we had sold our remaining Kahoot! ASA public common shares.</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2023, we held 105,820 remaining NewLake Capital Partners, Inc. public common shares.</w:t>
      </w:r>
    </w:p>
    <w:p>
      <w:pPr>
        <w:spacing w:after="0" w:line="7" w:lineRule="exact"/>
        <w:rPr>
          <w:rFonts w:ascii="Times New Roman" w:cs="Times New Roman" w:eastAsia="Times New Roman" w:hAnsi="Times New Roman"/>
          <w:sz w:val="16"/>
          <w:szCs w:val="16"/>
          <w:color w:val="auto"/>
        </w:rPr>
      </w:pPr>
    </w:p>
    <w:p>
      <w:pPr>
        <w:jc w:val="both"/>
        <w:ind w:left="565" w:hanging="565"/>
        <w:spacing w:after="0" w:line="249" w:lineRule="auto"/>
        <w:tabs>
          <w:tab w:leader="none" w:pos="56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March 31, 2023, approximately $0.3 million has been received from Residential Homes for Rent, LLC (d/b/a Second Avenue) related to the 15% term loan due December 23, 2023. Of the proceeds received, approximately $0.3 million repaid a portion of the outstanding principal and the remaining was attributed to interest.</w:t>
      </w:r>
    </w:p>
    <w:p>
      <w:pPr>
        <w:ind w:left="565" w:hanging="565"/>
        <w:spacing w:after="0"/>
        <w:tabs>
          <w:tab w:leader="none" w:pos="56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previously unfunded capital commitment of $1.3 million was deemed fully contributed in lieu of cash distributions.</w:t>
      </w:r>
    </w:p>
    <w:p>
      <w:pPr>
        <w:spacing w:after="0" w:line="181"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6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During the three months ended March 31, 2023, we did not write-off any investments.</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Months Ended March 31, 2024 and 2023</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6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results for the three months ended March 31, 2024 and 2023 are as follows:</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6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2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6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6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1,528,091</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1,299,082</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1,506,216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1,235,937</w:t>
            </w:r>
          </w:p>
        </w:tc>
        <w:tc>
          <w:tcPr>
            <w:tcW w:w="120" w:type="dxa"/>
            <w:vAlign w:val="bottom"/>
          </w:tcPr>
          <w:p>
            <w:pPr>
              <w:spacing w:after="0"/>
              <w:rPr>
                <w:sz w:val="16"/>
                <w:szCs w:val="16"/>
                <w:color w:val="auto"/>
              </w:rPr>
            </w:pPr>
          </w:p>
        </w:tc>
      </w:tr>
      <w:tr>
        <w:trPr>
          <w:trHeight w:val="191"/>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income</w:t>
            </w: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21,875</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63,145</w:t>
            </w:r>
          </w:p>
        </w:tc>
      </w:tr>
      <w:tr>
        <w:trPr>
          <w:trHeight w:val="191"/>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74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4,750,993</w:t>
            </w:r>
          </w:p>
        </w:tc>
        <w:tc>
          <w:tcPr>
            <w:tcW w:w="200" w:type="dxa"/>
            <w:vAlign w:val="bottom"/>
          </w:tcPr>
          <w:p>
            <w:pPr>
              <w:spacing w:after="0"/>
              <w:rPr>
                <w:sz w:val="16"/>
                <w:szCs w:val="16"/>
                <w:color w:val="auto"/>
              </w:rPr>
            </w:pPr>
          </w:p>
        </w:tc>
        <w:tc>
          <w:tcPr>
            <w:tcW w:w="130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5,520,847</w:t>
            </w:r>
          </w:p>
        </w:tc>
        <w:tc>
          <w:tcPr>
            <w:tcW w:w="120" w:type="dxa"/>
            <w:vAlign w:val="bottom"/>
          </w:tcPr>
          <w:p>
            <w:pPr>
              <w:spacing w:after="0"/>
              <w:rPr>
                <w:sz w:val="16"/>
                <w:szCs w:val="16"/>
                <w:color w:val="auto"/>
              </w:rPr>
            </w:pPr>
          </w:p>
        </w:tc>
      </w:tr>
      <w:tr>
        <w:trPr>
          <w:trHeight w:val="191"/>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2,185,318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2,136,754</w:t>
            </w:r>
          </w:p>
        </w:tc>
        <w:tc>
          <w:tcPr>
            <w:tcW w:w="120" w:type="dxa"/>
            <w:vAlign w:val="bottom"/>
            <w:shd w:val="clear" w:color="auto" w:fill="CCEEFF"/>
          </w:tcPr>
          <w:p>
            <w:pPr>
              <w:spacing w:after="0"/>
              <w:rPr>
                <w:sz w:val="16"/>
                <w:szCs w:val="16"/>
                <w:color w:val="auto"/>
              </w:rPr>
            </w:pPr>
          </w:p>
        </w:tc>
      </w:tr>
      <w:tr>
        <w:trPr>
          <w:trHeight w:val="191"/>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171,113</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160,565</w:t>
            </w:r>
          </w:p>
        </w:tc>
      </w:tr>
      <w:tr>
        <w:trPr>
          <w:trHeight w:val="191"/>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728,559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990,834</w:t>
            </w:r>
          </w:p>
        </w:tc>
      </w:tr>
      <w:tr>
        <w:trPr>
          <w:trHeight w:val="191"/>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1,214,267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1,213,286</w:t>
            </w:r>
          </w:p>
        </w:tc>
        <w:tc>
          <w:tcPr>
            <w:tcW w:w="120" w:type="dxa"/>
            <w:vAlign w:val="bottom"/>
          </w:tcPr>
          <w:p>
            <w:pPr>
              <w:spacing w:after="0"/>
              <w:rPr>
                <w:sz w:val="16"/>
                <w:szCs w:val="16"/>
                <w:color w:val="auto"/>
              </w:rPr>
            </w:pPr>
          </w:p>
        </w:tc>
      </w:tr>
      <w:tr>
        <w:trPr>
          <w:trHeight w:val="191"/>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529,780</w:t>
            </w:r>
          </w:p>
        </w:tc>
      </w:tr>
      <w:tr>
        <w:trPr>
          <w:trHeight w:val="191"/>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449,636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489,628</w:t>
            </w:r>
          </w:p>
        </w:tc>
      </w:tr>
      <w:tr>
        <w:trPr>
          <w:trHeight w:val="191"/>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174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(3,222,902)</w:t>
            </w:r>
          </w:p>
        </w:tc>
        <w:tc>
          <w:tcPr>
            <w:tcW w:w="13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(4,221,765)</w:t>
            </w:r>
          </w:p>
        </w:tc>
      </w:tr>
      <w:tr>
        <w:trPr>
          <w:trHeight w:val="191"/>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(424,074)</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189,343</w:t>
            </w:r>
          </w:p>
        </w:tc>
      </w:tr>
      <w:tr>
        <w:trPr>
          <w:trHeight w:val="191"/>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(18,418,370)</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8,648,931</w:t>
            </w:r>
          </w:p>
        </w:tc>
        <w:tc>
          <w:tcPr>
            <w:tcW w:w="120" w:type="dxa"/>
            <w:vAlign w:val="bottom"/>
            <w:shd w:val="clear" w:color="auto" w:fill="CCEEFF"/>
          </w:tcPr>
          <w:p>
            <w:pPr>
              <w:spacing w:after="0"/>
              <w:rPr>
                <w:sz w:val="16"/>
                <w:szCs w:val="16"/>
                <w:color w:val="auto"/>
              </w:rPr>
            </w:pP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174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(22,065,346)</w:t>
            </w:r>
          </w:p>
        </w:tc>
        <w:tc>
          <w:tcPr>
            <w:tcW w:w="130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4,616,509</w:t>
            </w:r>
          </w:p>
        </w:tc>
        <w:tc>
          <w:tcPr>
            <w:tcW w:w="120" w:type="dxa"/>
            <w:vAlign w:val="bottom"/>
          </w:tcPr>
          <w:p>
            <w:pPr>
              <w:spacing w:after="0"/>
              <w:rPr>
                <w:sz w:val="18"/>
                <w:szCs w:val="18"/>
                <w:color w:val="auto"/>
              </w:rPr>
            </w:pPr>
          </w:p>
        </w:tc>
      </w:tr>
    </w:tbl>
    <w:p>
      <w:pPr>
        <w:spacing w:after="0" w:line="1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p>
      <w:pPr>
        <w:spacing w:after="0" w:line="202" w:lineRule="exact"/>
        <w:rPr>
          <w:sz w:val="20"/>
          <w:szCs w:val="20"/>
          <w:color w:val="auto"/>
        </w:rPr>
      </w:pPr>
    </w:p>
    <w:p>
      <w:pPr>
        <w:jc w:val="both"/>
        <w:ind w:left="5" w:right="20" w:firstLine="287"/>
        <w:spacing w:after="0" w:line="259" w:lineRule="auto"/>
        <w:rPr>
          <w:sz w:val="20"/>
          <w:szCs w:val="20"/>
          <w:color w:val="auto"/>
        </w:rPr>
      </w:pPr>
      <w:r>
        <w:rPr>
          <w:rFonts w:ascii="Times New Roman" w:cs="Times New Roman" w:eastAsia="Times New Roman" w:hAnsi="Times New Roman"/>
          <w:sz w:val="16"/>
          <w:szCs w:val="16"/>
          <w:color w:val="auto"/>
        </w:rPr>
        <w:t>Investment income increased to $1,528,091 for the three months ended March 31, 2024 from $1,299,082 for the three months ended March 31, 2023. The net increase between periods was due to increases in interest on idle cash and interest income from Architect Capital PayJoy SPV, LLC. The increase was offset by a decrease in interest income from U.S. Treasury Bills and Residential Homes for Rent, LLC (d/b/a Second Avenue), and a decrease in dividend income from NewLake Capital Partners, Inc. (f/k/a GreenAcreage Real Estate Corp.) during the three months ended March 31, 2024, relative to the three months ended ended March 31, 2023.</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02" w:lineRule="exact"/>
        <w:rPr>
          <w:sz w:val="20"/>
          <w:szCs w:val="20"/>
          <w:color w:val="auto"/>
        </w:rPr>
      </w:pPr>
    </w:p>
    <w:p>
      <w:pPr>
        <w:jc w:val="both"/>
        <w:ind w:left="5" w:right="20" w:firstLine="287"/>
        <w:spacing w:after="0" w:line="259" w:lineRule="auto"/>
        <w:rPr>
          <w:sz w:val="20"/>
          <w:szCs w:val="20"/>
          <w:color w:val="auto"/>
        </w:rPr>
      </w:pPr>
      <w:r>
        <w:rPr>
          <w:rFonts w:ascii="Times New Roman" w:cs="Times New Roman" w:eastAsia="Times New Roman" w:hAnsi="Times New Roman"/>
          <w:sz w:val="16"/>
          <w:szCs w:val="16"/>
          <w:color w:val="auto"/>
        </w:rPr>
        <w:t>Total operating expenses decreased to $4,750,993 for the three months ended March 31, 2024 from $5,520,847 for the three months ended March 31, 2023. The decrease in operating expense was primarily due to a decrease in income tax expense related to blocker corporations and professional fees, offset by an increase in compensation expense associated with an increased headcount and stock-based compensation expense during the three months ended March 31, 2024, relative to the three months ended March 31, 2023.</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Net Investment Loss</w:t>
      </w:r>
    </w:p>
    <w:p>
      <w:pPr>
        <w:spacing w:after="0" w:line="202" w:lineRule="exact"/>
        <w:rPr>
          <w:sz w:val="20"/>
          <w:szCs w:val="20"/>
          <w:color w:val="auto"/>
        </w:rPr>
      </w:pPr>
    </w:p>
    <w:p>
      <w:pPr>
        <w:jc w:val="both"/>
        <w:ind w:left="5" w:firstLine="287"/>
        <w:spacing w:after="0" w:line="264" w:lineRule="auto"/>
        <w:rPr>
          <w:sz w:val="20"/>
          <w:szCs w:val="20"/>
          <w:color w:val="auto"/>
        </w:rPr>
      </w:pPr>
      <w:r>
        <w:rPr>
          <w:rFonts w:ascii="Times New Roman" w:cs="Times New Roman" w:eastAsia="Times New Roman" w:hAnsi="Times New Roman"/>
          <w:sz w:val="16"/>
          <w:szCs w:val="16"/>
          <w:color w:val="auto"/>
        </w:rPr>
        <w:t>For the three months ended March 31, 2024, we recognized a net investment loss of $3,222,902, compared to a net investment loss of $4,221,765 for the three months ended March 31, 2023. The change between periods resulted from an increase in total investment income and a decrease in operating expenses during the three months ended March 31, 2024, relative to the three months ended March 31, 2023.</w:t>
      </w:r>
    </w:p>
    <w:p>
      <w:pPr>
        <w:sectPr>
          <w:pgSz w:w="11900" w:h="16838" w:orient="portrait"/>
          <w:cols w:equalWidth="0" w:num="1">
            <w:col w:w="11265"/>
          </w:cols>
          <w:pgMar w:left="315" w:top="123" w:right="319" w:bottom="1440" w:gutter="0" w:footer="0" w:header="0"/>
        </w:sectPr>
      </w:pPr>
    </w:p>
    <w:p>
      <w:pPr>
        <w:spacing w:after="0" w:line="15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type w:val="continuous"/>
        </w:sectPr>
      </w:pPr>
    </w:p>
    <w:bookmarkStart w:id="50" w:name="page51"/>
    <w:bookmarkEnd w:id="50"/>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Net Realized Loss on Investments</w:t>
      </w:r>
    </w:p>
    <w:p>
      <w:pPr>
        <w:spacing w:after="0" w:line="202"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For the three months ended March 31, 2024, we recognized a net realized loss on our investments of $424,074, compared to a net realized gain of $189,343 for the three months ended March 31, 2023. The components of our net realized losses on portfolio investments for the three months ended March 31, 2024 and 2023, excluding short-term U.S. Treasury bills and fluctuations in escrow receivables estimates, are reflected in the tables above, under “—Portfolio and Investment Activity.”</w:t>
      </w:r>
    </w:p>
    <w:p>
      <w:pPr>
        <w:spacing w:after="0" w:line="1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Net Change in Unrealized Appreciation/(Depreciation) of Investments</w:t>
      </w:r>
    </w:p>
    <w:p>
      <w:pPr>
        <w:spacing w:after="0" w:line="202"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For the three months ended March 31, 2024, we had a net change in unrealized appreciation/(depreciation) of $(18,418,370). For the three months ended March 31, 2023, we had a net change in unrealized appreciation/(depreciation) of $8,648,931. The following tables summarize, by portfolio company, the significant changes in unrealized appreciation/(depreciation) of our investment portfolio for the three months ended March 31, 2024 and 2023.</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Change in</w:t>
            </w: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Net Change in Unrealized</w:t>
            </w:r>
          </w:p>
        </w:tc>
      </w:tr>
      <w:tr>
        <w:trPr>
          <w:trHeight w:val="191"/>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Appreciation/(Depreciation)</w:t>
            </w: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Appreciation/(Depreciation)</w:t>
            </w:r>
          </w:p>
        </w:tc>
      </w:tr>
      <w:tr>
        <w:trPr>
          <w:trHeight w:val="191"/>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For the Three Months</w:t>
            </w: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For the Three Months</w:t>
            </w:r>
          </w:p>
        </w:tc>
      </w:tr>
      <w:tr>
        <w:trPr>
          <w:trHeight w:val="191"/>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13"/>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14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31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r>
      <w:tr>
        <w:trPr>
          <w:trHeight w:val="191"/>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ServiceTitan, Inc.</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1,445,375</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Colombier Sponsor LLC</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12,082,872</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FourKites, Inc.</w:t>
            </w:r>
          </w:p>
        </w:tc>
        <w:tc>
          <w:tcPr>
            <w:tcW w:w="140" w:type="dxa"/>
            <w:vAlign w:val="bottom"/>
          </w:tcPr>
          <w:p>
            <w:pPr>
              <w:spacing w:after="0"/>
              <w:rPr>
                <w:sz w:val="16"/>
                <w:szCs w:val="16"/>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1,054,724</w:t>
            </w:r>
          </w:p>
        </w:tc>
        <w:tc>
          <w:tcPr>
            <w:tcW w:w="31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Varo Money, Inc.</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3,116,622</w:t>
            </w:r>
          </w:p>
        </w:tc>
      </w:tr>
      <w:tr>
        <w:trPr>
          <w:trHeight w:val="191"/>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Forge Global, Inc.</w:t>
            </w:r>
          </w:p>
        </w:tc>
        <w:tc>
          <w:tcPr>
            <w:tcW w:w="14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(1,718,813)</w:t>
            </w:r>
          </w:p>
        </w:tc>
        <w:tc>
          <w:tcPr>
            <w:tcW w:w="3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Aspiration Partners, Inc.</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(2,544,036)</w:t>
            </w:r>
          </w:p>
        </w:tc>
      </w:tr>
      <w:tr>
        <w:trPr>
          <w:trHeight w:val="191"/>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Homes for Rent, LLC (d/b/a Second Avenue)</w:t>
            </w:r>
          </w:p>
        </w:tc>
        <w:tc>
          <w:tcPr>
            <w:tcW w:w="140" w:type="dxa"/>
            <w:vAlign w:val="bottom"/>
          </w:tcPr>
          <w:p>
            <w:pPr>
              <w:spacing w:after="0"/>
              <w:rPr>
                <w:sz w:val="16"/>
                <w:szCs w:val="16"/>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(1,798,087)</w:t>
            </w:r>
          </w:p>
        </w:tc>
        <w:tc>
          <w:tcPr>
            <w:tcW w:w="31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Orchard Technologies, Inc.</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(4,699,728)</w:t>
            </w:r>
          </w:p>
        </w:tc>
      </w:tr>
      <w:tr>
        <w:trPr>
          <w:trHeight w:val="191"/>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StormWind, LLC</w:t>
            </w:r>
          </w:p>
        </w:tc>
        <w:tc>
          <w:tcPr>
            <w:tcW w:w="14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(1,895,784)</w:t>
            </w:r>
          </w:p>
        </w:tc>
        <w:tc>
          <w:tcPr>
            <w:tcW w:w="14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Learneo, Inc. (f/k/a Course Hero, Inc.)</w:t>
            </w:r>
          </w:p>
        </w:tc>
        <w:tc>
          <w:tcPr>
            <w:tcW w:w="140" w:type="dxa"/>
            <w:vAlign w:val="bottom"/>
          </w:tcPr>
          <w:p>
            <w:pPr>
              <w:spacing w:after="0"/>
              <w:rPr>
                <w:sz w:val="16"/>
                <w:szCs w:val="16"/>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(12,999,032)</w:t>
            </w: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9"/>
        </w:trPr>
        <w:tc>
          <w:tcPr>
            <w:tcW w:w="4040" w:type="dxa"/>
            <w:vAlign w:val="bottom"/>
            <w:gridSpan w:val="2"/>
            <w:shd w:val="clear" w:color="auto" w:fill="CCEEFF"/>
          </w:tcPr>
          <w:p>
            <w:pPr>
              <w:spacing w:after="0" w:line="238"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14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(2,506,753)</w:t>
            </w:r>
          </w:p>
        </w:tc>
        <w:tc>
          <w:tcPr>
            <w:tcW w:w="3120" w:type="dxa"/>
            <w:vAlign w:val="bottom"/>
            <w:gridSpan w:val="3"/>
            <w:shd w:val="clear" w:color="auto" w:fill="CCEEFF"/>
          </w:tcPr>
          <w:p>
            <w:pPr>
              <w:ind w:left="140"/>
              <w:spacing w:after="0" w:line="238"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693,201</w:t>
            </w:r>
          </w:p>
        </w:tc>
      </w:tr>
      <w:tr>
        <w:trPr>
          <w:trHeight w:val="187"/>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(18,418,370</w:t>
            </w:r>
          </w:p>
        </w:tc>
        <w:tc>
          <w:tcPr>
            <w:tcW w:w="180" w:type="dxa"/>
            <w:vAlign w:val="bottom"/>
            <w:tcBorders>
              <w:top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120" w:type="dxa"/>
            <w:vAlign w:val="bottom"/>
            <w:tcBorders>
              <w:top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Borders>
              <w:top w:val="single" w:sz="8" w:color="CCEEFF"/>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8,648,931</w:t>
            </w:r>
          </w:p>
        </w:tc>
        <w:tc>
          <w:tcPr>
            <w:tcW w:w="120" w:type="dxa"/>
            <w:vAlign w:val="bottom"/>
            <w:tcBorders>
              <w:top w:val="single" w:sz="8" w:color="CCEEFF"/>
            </w:tcBorders>
          </w:tcPr>
          <w:p>
            <w:pPr>
              <w:spacing w:after="0"/>
              <w:rPr>
                <w:sz w:val="16"/>
                <w:szCs w:val="16"/>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0" w:lineRule="exact"/>
        <w:rPr>
          <w:sz w:val="20"/>
          <w:szCs w:val="20"/>
          <w:color w:val="auto"/>
        </w:rPr>
      </w:pPr>
    </w:p>
    <w:p>
      <w:pPr>
        <w:ind w:left="565" w:right="20" w:hanging="565"/>
        <w:spacing w:after="0" w:line="260" w:lineRule="auto"/>
        <w:tabs>
          <w:tab w:leader="none" w:pos="56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565" w:right="20" w:hanging="565"/>
        <w:spacing w:after="0" w:line="258" w:lineRule="auto"/>
        <w:tabs>
          <w:tab w:leader="none" w:pos="565" w:val="left"/>
        </w:tabs>
        <w:numPr>
          <w:ilvl w:val="0"/>
          <w:numId w:val="3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“Other” represents investments for which individual changes in unrealized appreciation/(depreciation) was less than $1.0 million for the three months ended March 31, 2024.</w:t>
      </w:r>
    </w:p>
    <w:p>
      <w:pPr>
        <w:spacing w:after="0" w:line="15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Portfolio Activity</w:t>
      </w:r>
    </w:p>
    <w:p>
      <w:pPr>
        <w:spacing w:after="0" w:line="202" w:lineRule="exact"/>
        <w:rPr>
          <w:sz w:val="20"/>
          <w:szCs w:val="20"/>
          <w:color w:val="auto"/>
        </w:rPr>
      </w:pPr>
    </w:p>
    <w:p>
      <w:pPr>
        <w:jc w:val="both"/>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Please refer to “Note 12—Subsequent Events” to our Condensed Consolidated Financial Statements as of March 31, 2024 for details regarding activity in our investment portfolio from April 1, 2024 through May 8, 2024.</w:t>
      </w:r>
    </w:p>
    <w:p>
      <w:pPr>
        <w:spacing w:after="0" w:line="144" w:lineRule="exact"/>
        <w:rPr>
          <w:sz w:val="20"/>
          <w:szCs w:val="20"/>
          <w:color w:val="auto"/>
        </w:rPr>
      </w:pPr>
    </w:p>
    <w:p>
      <w:pPr>
        <w:jc w:val="both"/>
        <w:ind w:left="5" w:firstLine="287"/>
        <w:spacing w:after="0" w:line="256" w:lineRule="auto"/>
        <w:rPr>
          <w:sz w:val="20"/>
          <w:szCs w:val="20"/>
          <w:color w:val="auto"/>
        </w:rPr>
      </w:pPr>
      <w:r>
        <w:rPr>
          <w:rFonts w:ascii="Times New Roman" w:cs="Times New Roman" w:eastAsia="Times New Roman" w:hAnsi="Times New Roman"/>
          <w:sz w:val="16"/>
          <w:szCs w:val="16"/>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sectPr>
      </w:pPr>
    </w:p>
    <w:bookmarkStart w:id="51" w:name="page52"/>
    <w:bookmarkEnd w:id="51"/>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Modified Dutch Auction Tender Offer</w:t>
      </w:r>
    </w:p>
    <w:p>
      <w:pPr>
        <w:spacing w:after="0" w:line="202" w:lineRule="exact"/>
        <w:rPr>
          <w:sz w:val="20"/>
          <w:szCs w:val="20"/>
          <w:color w:val="auto"/>
        </w:rPr>
      </w:pPr>
    </w:p>
    <w:p>
      <w:pPr>
        <w:jc w:val="both"/>
        <w:ind w:left="5" w:right="20" w:firstLine="287"/>
        <w:spacing w:after="0" w:line="256" w:lineRule="auto"/>
        <w:rPr>
          <w:sz w:val="20"/>
          <w:szCs w:val="20"/>
          <w:color w:val="auto"/>
        </w:rPr>
      </w:pPr>
      <w:r>
        <w:rPr>
          <w:rFonts w:ascii="Times New Roman" w:cs="Times New Roman" w:eastAsia="Times New Roman" w:hAnsi="Times New Roman"/>
          <w:sz w:val="16"/>
          <w:szCs w:val="16"/>
          <w:color w:val="auto"/>
        </w:rPr>
        <w:t>On February 14, 2024, our Board of Directors authorized a modified Dutch Auction tender offer (the “Tender Offer”) to purchase up to 2,000,000 shares of our common stock at a price per share of not less than $4.00 and not greater than $5.00 in $0.10 increments, using available cash. The Tender Offer commenced on February 20, 2024 and expired at 5:00 P.M. Eastern Time on April 1, 2024. Pursuant to the terms of the Tender Offer, we repurchased 2,000,000 shares, representing 7.9% of our outstanding shares, on or about April 5, 2024 at a price of $4.70 per share. We used available cash to fund the purchase of our shares of common stock in the Tender Offer and to pay for all related fees and expenses.</w:t>
      </w:r>
    </w:p>
    <w:p>
      <w:pPr>
        <w:spacing w:after="0" w:line="1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0" w:lineRule="exact"/>
        <w:rPr>
          <w:sz w:val="20"/>
          <w:szCs w:val="20"/>
          <w:color w:val="auto"/>
        </w:rPr>
      </w:pPr>
    </w:p>
    <w:p>
      <w:pPr>
        <w:jc w:val="both"/>
        <w:ind w:left="5" w:right="20" w:firstLine="287"/>
        <w:spacing w:after="0" w:line="256" w:lineRule="auto"/>
        <w:rPr>
          <w:sz w:val="20"/>
          <w:szCs w:val="20"/>
          <w:color w:val="auto"/>
        </w:rPr>
      </w:pPr>
      <w:r>
        <w:rPr>
          <w:rFonts w:ascii="Times New Roman" w:cs="Times New Roman" w:eastAsia="Times New Roman" w:hAnsi="Times New Roman"/>
          <w:sz w:val="16"/>
          <w:szCs w:val="16"/>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“Equity Issuances and Debt Capital Activities — At-the-Market Offering”. In addition, on December 17, 2021, we issued $75.0 million aggregate principal amount of 6.00% Notes due December 30, 2026 (the “6.00% Notes due 2026”), all of which remain outstanding. For additional information, see below and “Note 10—Debt Capital Activities” to our Condensed Consolidated Financial Statements as of March 31, 2024.</w:t>
      </w:r>
    </w:p>
    <w:p>
      <w:pPr>
        <w:spacing w:after="0" w:line="165" w:lineRule="exact"/>
        <w:rPr>
          <w:sz w:val="20"/>
          <w:szCs w:val="20"/>
          <w:color w:val="auto"/>
        </w:rPr>
      </w:pPr>
    </w:p>
    <w:p>
      <w:pPr>
        <w:jc w:val="both"/>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Our primary uses of cash are to make investments, pay our operating expenses, and make distributions to our stockholders. For the three months ended March 31, 2024 and 2023 our operating expenses were $4,750,993 and $5,520,847, respectively.</w:t>
      </w:r>
    </w:p>
    <w:p>
      <w:pPr>
        <w:spacing w:after="0" w:line="154"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Reserves and Liquid Securities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1"/>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50,814,399</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28,178,352</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6760" w:type="dxa"/>
            <w:vAlign w:val="bottom"/>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U.S. Treasury bills</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29,621,913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63,810,855</w:t>
            </w:r>
          </w:p>
        </w:tc>
      </w:tr>
      <w:tr>
        <w:trPr>
          <w:trHeight w:val="191"/>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6760" w:type="dxa"/>
            <w:vAlign w:val="bottom"/>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Unrestricted securities</w:t>
            </w:r>
            <w:r>
              <w:rPr>
                <w:rFonts w:ascii="Times New Roman" w:cs="Times New Roman" w:eastAsia="Times New Roman" w:hAnsi="Times New Roman"/>
                <w:sz w:val="26"/>
                <w:szCs w:val="26"/>
                <w:color w:val="auto"/>
                <w:vertAlign w:val="superscript"/>
              </w:rPr>
              <w:t>(2)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4,145,791</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6,970,612</w:t>
            </w:r>
          </w:p>
        </w:tc>
        <w:tc>
          <w:tcPr>
            <w:tcW w:w="120" w:type="dxa"/>
            <w:vAlign w:val="bottom"/>
            <w:shd w:val="clear" w:color="auto" w:fill="CCEEFF"/>
          </w:tcPr>
          <w:p>
            <w:pPr>
              <w:spacing w:after="0"/>
              <w:rPr>
                <w:sz w:val="19"/>
                <w:szCs w:val="19"/>
                <w:color w:val="auto"/>
              </w:rPr>
            </w:pPr>
          </w:p>
        </w:tc>
      </w:tr>
      <w:tr>
        <w:trPr>
          <w:trHeight w:val="243"/>
        </w:trPr>
        <w:tc>
          <w:tcPr>
            <w:tcW w:w="6760" w:type="dxa"/>
            <w:vAlign w:val="bottom"/>
            <w:tcBorders>
              <w:bottom w:val="single" w:sz="8" w:color="CCEEFF"/>
            </w:tcBorders>
          </w:tcPr>
          <w:p>
            <w:pPr>
              <w:ind w:left="160"/>
              <w:spacing w:after="0" w:line="238" w:lineRule="exact"/>
              <w:rPr>
                <w:sz w:val="20"/>
                <w:szCs w:val="20"/>
                <w:color w:val="auto"/>
              </w:rPr>
            </w:pPr>
            <w:r>
              <w:rPr>
                <w:rFonts w:ascii="Times New Roman" w:cs="Times New Roman" w:eastAsia="Times New Roman" w:hAnsi="Times New Roman"/>
                <w:sz w:val="16"/>
                <w:szCs w:val="16"/>
                <w:color w:val="auto"/>
              </w:rPr>
              <w:t>Subject to other sales restrictions</w:t>
            </w:r>
            <w:r>
              <w:rPr>
                <w:rFonts w:ascii="Times New Roman" w:cs="Times New Roman" w:eastAsia="Times New Roman" w:hAnsi="Times New Roman"/>
                <w:sz w:val="26"/>
                <w:szCs w:val="26"/>
                <w:color w:val="auto"/>
                <w:vertAlign w:val="superscript"/>
              </w:rPr>
              <w:t>(3)</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9,036,394</w:t>
            </w:r>
          </w:p>
        </w:tc>
        <w:tc>
          <w:tcPr>
            <w:tcW w:w="3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120" w:type="dxa"/>
            <w:vAlign w:val="bottom"/>
            <w:tcBorders>
              <w:bottom w:val="single" w:sz="8" w:color="CCEEFF"/>
            </w:tcBorders>
          </w:tcPr>
          <w:p>
            <w:pPr>
              <w:spacing w:after="0"/>
              <w:rPr>
                <w:sz w:val="21"/>
                <w:szCs w:val="21"/>
                <w:color w:val="auto"/>
              </w:rPr>
            </w:pPr>
          </w:p>
        </w:tc>
      </w:tr>
      <w:tr>
        <w:trPr>
          <w:trHeight w:val="211"/>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13,182,185</w:t>
            </w: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15,512,998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87"/>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Reserves and Liquid Securities</w:t>
            </w:r>
          </w:p>
        </w:tc>
        <w:tc>
          <w:tcPr>
            <w:tcW w:w="220" w:type="dxa"/>
            <w:vAlign w:val="bottom"/>
          </w:tcPr>
          <w:p>
            <w:pPr>
              <w:spacing w:after="0"/>
              <w:rPr>
                <w:sz w:val="16"/>
                <w:szCs w:val="16"/>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93,618,497</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107,502,205</w:t>
            </w:r>
          </w:p>
        </w:tc>
        <w:tc>
          <w:tcPr>
            <w:tcW w:w="120" w:type="dxa"/>
            <w:vAlign w:val="bottom"/>
          </w:tcPr>
          <w:p>
            <w:pPr>
              <w:spacing w:after="0"/>
              <w:rPr>
                <w:sz w:val="16"/>
                <w:szCs w:val="16"/>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0" w:lineRule="exact"/>
        <w:rPr>
          <w:sz w:val="20"/>
          <w:szCs w:val="20"/>
          <w:color w:val="auto"/>
        </w:rPr>
      </w:pPr>
    </w:p>
    <w:p>
      <w:pPr>
        <w:ind w:left="565" w:hanging="565"/>
        <w:spacing w:after="0"/>
        <w:tabs>
          <w:tab w:leader="none" w:pos="56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short-term U.S. Treasury bills.</w:t>
      </w:r>
    </w:p>
    <w:p>
      <w:pPr>
        <w:spacing w:after="0" w:line="23" w:lineRule="exact"/>
        <w:rPr>
          <w:rFonts w:ascii="Times New Roman" w:cs="Times New Roman" w:eastAsia="Times New Roman" w:hAnsi="Times New Roman"/>
          <w:sz w:val="16"/>
          <w:szCs w:val="16"/>
          <w:color w:val="auto"/>
        </w:rPr>
      </w:pPr>
    </w:p>
    <w:p>
      <w:pPr>
        <w:ind w:left="565" w:right="20" w:hanging="565"/>
        <w:spacing w:after="0" w:line="249" w:lineRule="auto"/>
        <w:tabs>
          <w:tab w:leader="none" w:pos="56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“Unrestricted securities” represents common stock and warrants of our publicly traded portfolio companies that are not subject to any restrictions upon sale. We may incur losses.</w:t>
      </w:r>
    </w:p>
    <w:p>
      <w:pPr>
        <w:ind w:left="565" w:right="20" w:hanging="565"/>
        <w:spacing w:after="0" w:line="258" w:lineRule="auto"/>
        <w:tabs>
          <w:tab w:leader="none" w:pos="56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publicly traded portfolio companies “subject to other sales restrictions” represents common stock of our publicly traded portfolio companies that are subject to certain lock-up restrictions.</w:t>
      </w:r>
    </w:p>
    <w:p>
      <w:pPr>
        <w:spacing w:after="0" w:line="161" w:lineRule="exact"/>
        <w:rPr>
          <w:sz w:val="20"/>
          <w:szCs w:val="20"/>
          <w:color w:val="auto"/>
        </w:rPr>
      </w:pPr>
    </w:p>
    <w:p>
      <w:pPr>
        <w:jc w:val="both"/>
        <w:ind w:left="5" w:firstLine="287"/>
        <w:spacing w:after="0" w:line="264" w:lineRule="auto"/>
        <w:rPr>
          <w:sz w:val="20"/>
          <w:szCs w:val="20"/>
          <w:color w:val="auto"/>
        </w:rPr>
      </w:pPr>
      <w:r>
        <w:rPr>
          <w:rFonts w:ascii="Times New Roman" w:cs="Times New Roman" w:eastAsia="Times New Roman" w:hAnsi="Times New Roman"/>
          <w:sz w:val="16"/>
          <w:szCs w:val="16"/>
          <w:color w:val="auto"/>
        </w:rPr>
        <w:t>During the three months ended March 31, 2024, cash increased to $50,814,399 from $28,178,352 at the beginning of the year. The increase in cash was primarily due to the sale or exit of investments, including U.S. Treasury bills and other investment income received, offset by the purchase of new investments, our operating expenses, and interest payments on the 6.00% Notes due 2026.</w:t>
      </w:r>
    </w:p>
    <w:p>
      <w:pPr>
        <w:spacing w:after="0" w:line="157" w:lineRule="exact"/>
        <w:rPr>
          <w:sz w:val="20"/>
          <w:szCs w:val="20"/>
          <w:color w:val="auto"/>
        </w:rPr>
      </w:pPr>
    </w:p>
    <w:p>
      <w:pPr>
        <w:jc w:val="both"/>
        <w:ind w:left="5" w:firstLine="287"/>
        <w:spacing w:after="0" w:line="280" w:lineRule="auto"/>
        <w:rPr>
          <w:sz w:val="20"/>
          <w:szCs w:val="20"/>
          <w:color w:val="auto"/>
        </w:rPr>
      </w:pPr>
      <w:r>
        <w:rPr>
          <w:rFonts w:ascii="Times New Roman" w:cs="Times New Roman" w:eastAsia="Times New Roman" w:hAnsi="Times New Roman"/>
          <w:sz w:val="16"/>
          <w:szCs w:val="16"/>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4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sectPr>
      </w:pPr>
    </w:p>
    <w:bookmarkStart w:id="52" w:name="page53"/>
    <w:bookmarkEnd w:id="52"/>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w:t>
      </w:r>
    </w:p>
    <w:p>
      <w:pPr>
        <w:spacing w:after="0" w:line="20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A summary of our significant contractual payment obligations as of March 31, 2024 is as follows:</w:t>
      </w:r>
    </w:p>
    <w:p>
      <w:pPr>
        <w:spacing w:after="0" w:line="206" w:lineRule="exact"/>
        <w:rPr>
          <w:sz w:val="20"/>
          <w:szCs w:val="20"/>
          <w:color w:val="auto"/>
        </w:rPr>
      </w:pPr>
    </w:p>
    <w:tbl>
      <w:tblPr>
        <w:tblLayout w:type="fixed"/>
        <w:tblInd w:w="5"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10"/>
          </w:tcPr>
          <w:p>
            <w:pPr>
              <w:ind w:left="720"/>
              <w:spacing w:after="0"/>
              <w:rPr>
                <w:sz w:val="20"/>
                <w:szCs w:val="20"/>
                <w:color w:val="auto"/>
              </w:rPr>
            </w:pPr>
            <w:r>
              <w:rPr>
                <w:rFonts w:ascii="Times New Roman" w:cs="Times New Roman" w:eastAsia="Times New Roman" w:hAnsi="Times New Roman"/>
                <w:sz w:val="16"/>
                <w:szCs w:val="16"/>
                <w:b w:val="1"/>
                <w:bCs w:val="1"/>
                <w:color w:val="auto"/>
              </w:rPr>
              <w:t xml:space="preserve">Payments Due By Period </w:t>
            </w:r>
            <w:r>
              <w:rPr>
                <w:rFonts w:ascii="Times New Roman" w:cs="Times New Roman" w:eastAsia="Times New Roman" w:hAnsi="Times New Roman"/>
                <w:sz w:val="16"/>
                <w:szCs w:val="16"/>
                <w:b w:val="1"/>
                <w:bCs w:val="1"/>
                <w:i w:val="1"/>
                <w:iCs w:val="1"/>
                <w:color w:val="auto"/>
              </w:rPr>
              <w:t>(in millions)</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2"/>
        </w:trPr>
        <w:tc>
          <w:tcPr>
            <w:tcW w:w="2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0"/>
              <w:spacing w:after="0" w:line="172" w:lineRule="exact"/>
              <w:rPr>
                <w:sz w:val="20"/>
                <w:szCs w:val="20"/>
                <w:color w:val="auto"/>
              </w:rPr>
            </w:pPr>
            <w:r>
              <w:rPr>
                <w:rFonts w:ascii="Times New Roman" w:cs="Times New Roman" w:eastAsia="Times New Roman" w:hAnsi="Times New Roman"/>
                <w:sz w:val="16"/>
                <w:szCs w:val="16"/>
                <w:b w:val="1"/>
                <w:bCs w:val="1"/>
                <w:color w:val="auto"/>
                <w:w w:val="96"/>
              </w:rPr>
              <w:t>More than</w:t>
            </w:r>
          </w:p>
        </w:tc>
        <w:tc>
          <w:tcPr>
            <w:tcW w:w="120" w:type="dxa"/>
            <w:vAlign w:val="bottom"/>
          </w:tcPr>
          <w:p>
            <w:pPr>
              <w:spacing w:after="0"/>
              <w:rPr>
                <w:sz w:val="14"/>
                <w:szCs w:val="14"/>
                <w:color w:val="auto"/>
              </w:rPr>
            </w:pPr>
          </w:p>
        </w:tc>
      </w:tr>
      <w:tr>
        <w:trPr>
          <w:trHeight w:val="213"/>
        </w:trPr>
        <w:tc>
          <w:tcPr>
            <w:tcW w:w="28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120" w:type="dxa"/>
            <w:vAlign w:val="bottom"/>
            <w:tcBorders>
              <w:bottom w:val="single" w:sz="8" w:color="CCEEFF"/>
            </w:tcBorders>
          </w:tcPr>
          <w:p>
            <w:pPr>
              <w:spacing w:after="0"/>
              <w:rPr>
                <w:sz w:val="18"/>
                <w:szCs w:val="18"/>
                <w:color w:val="auto"/>
              </w:rPr>
            </w:pPr>
          </w:p>
        </w:tc>
      </w:tr>
      <w:tr>
        <w:trPr>
          <w:trHeight w:val="215"/>
        </w:trPr>
        <w:tc>
          <w:tcPr>
            <w:tcW w:w="28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6.00% Notes due 2026</w:t>
            </w:r>
            <w:r>
              <w:rPr>
                <w:rFonts w:ascii="Times New Roman" w:cs="Times New Roman" w:eastAsia="Times New Roman" w:hAnsi="Times New Roman"/>
                <w:sz w:val="24"/>
                <w:szCs w:val="24"/>
                <w:color w:val="auto"/>
                <w:vertAlign w:val="superscript"/>
              </w:rPr>
              <w:t>(1)</w:t>
            </w:r>
          </w:p>
        </w:tc>
        <w:tc>
          <w:tcPr>
            <w:tcW w:w="2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75.0</w:t>
            </w:r>
          </w:p>
        </w:tc>
        <w:tc>
          <w:tcPr>
            <w:tcW w:w="10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0.1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0" w:lineRule="exact"/>
        <w:rPr>
          <w:sz w:val="20"/>
          <w:szCs w:val="20"/>
          <w:color w:val="auto"/>
        </w:rPr>
      </w:pPr>
    </w:p>
    <w:p>
      <w:pPr>
        <w:ind w:left="565" w:right="20" w:hanging="565"/>
        <w:spacing w:after="0" w:line="280" w:lineRule="auto"/>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principal balance payable to investors for the 6.00% Notes due 2026 as of March 31, 2024. Refer to “Note 10—Debt Capital Activities” in our Condensed Consolidated Financial Statements as of March 31, 2024 for more information.</w:t>
      </w:r>
    </w:p>
    <w:p>
      <w:pPr>
        <w:spacing w:after="0" w:line="14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202" w:lineRule="exact"/>
        <w:rPr>
          <w:sz w:val="20"/>
          <w:szCs w:val="20"/>
          <w:color w:val="auto"/>
        </w:rPr>
      </w:pPr>
    </w:p>
    <w:p>
      <w:pPr>
        <w:jc w:val="both"/>
        <w:ind w:left="5" w:right="20" w:firstLine="287"/>
        <w:spacing w:after="0" w:line="282" w:lineRule="auto"/>
        <w:rPr>
          <w:sz w:val="20"/>
          <w:szCs w:val="20"/>
          <w:color w:val="auto"/>
        </w:rPr>
      </w:pPr>
      <w:r>
        <w:rPr>
          <w:rFonts w:ascii="Times New Roman" w:cs="Times New Roman" w:eastAsia="Times New Roman" w:hAnsi="Times New Roman"/>
          <w:sz w:val="15"/>
          <w:szCs w:val="15"/>
          <w:color w:val="auto"/>
        </w:rPr>
        <w:t>During the three months ended March 31, 2024, we did not repurchase any shares of our common stock under the discretionary open-market share repurchase program (the “Share Repurchase Program”). During the three months ended March 31, 2023, we did not repurchase any shares of our common stock under the Share Repurchase Program. As of March 31, 2024, the dollar value of shares that remained available to be purchased under the Share Repurchase Program was approximately $20.7 million. Currently, the Share Repurchase Program is authorized until the earlier of (i) October 31, 2024 or (ii) the repurchase of $60.0 million in aggregate amount of our common stock.</w:t>
      </w:r>
    </w:p>
    <w:p>
      <w:pPr>
        <w:spacing w:after="0" w:line="144" w:lineRule="exact"/>
        <w:rPr>
          <w:sz w:val="20"/>
          <w:szCs w:val="20"/>
          <w:color w:val="auto"/>
        </w:rPr>
      </w:pPr>
    </w:p>
    <w:p>
      <w:pPr>
        <w:jc w:val="both"/>
        <w:ind w:left="5" w:firstLine="287"/>
        <w:spacing w:after="0" w:line="259" w:lineRule="auto"/>
        <w:rPr>
          <w:sz w:val="20"/>
          <w:szCs w:val="20"/>
          <w:color w:val="auto"/>
        </w:rPr>
      </w:pPr>
      <w:r>
        <w:rPr>
          <w:rFonts w:ascii="Times New Roman" w:cs="Times New Roman" w:eastAsia="Times New Roman" w:hAnsi="Times New Roman"/>
          <w:sz w:val="16"/>
          <w:szCs w:val="16"/>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(the “Exchange Act”) and the rules promulgated thereunder. For more information on the Share Repurchase Program, see “Note 5—Common Stock” to our Condensed Consolidated Financial Statements as of March 31, 2024.</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20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5"/>
          <w:szCs w:val="15"/>
          <w:color w:val="auto"/>
        </w:rPr>
        <w:t>As of March 31, 2024 and December 31, 2023, we had no off-balance sheet arrangements, including any risk management of commodity pricing or other hedging practices.</w:t>
      </w:r>
    </w:p>
    <w:p>
      <w:pPr>
        <w:spacing w:after="0" w:line="3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However, we may employ hedging and other risk management techniques in the future.</w:t>
      </w:r>
    </w:p>
    <w:p>
      <w:pPr>
        <w:spacing w:after="0" w:line="17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Equity Issuances and Debt Capital Activities</w:t>
      </w:r>
    </w:p>
    <w:p>
      <w:pPr>
        <w:spacing w:after="0" w:line="2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At-the-Market Offering</w:t>
      </w:r>
    </w:p>
    <w:p>
      <w:pPr>
        <w:spacing w:after="0" w:line="200" w:lineRule="exact"/>
        <w:rPr>
          <w:sz w:val="20"/>
          <w:szCs w:val="20"/>
          <w:color w:val="auto"/>
        </w:rPr>
      </w:pPr>
    </w:p>
    <w:p>
      <w:pPr>
        <w:jc w:val="both"/>
        <w:ind w:left="5" w:firstLine="287"/>
        <w:spacing w:after="0" w:line="256" w:lineRule="auto"/>
        <w:rPr>
          <w:sz w:val="20"/>
          <w:szCs w:val="20"/>
          <w:color w:val="auto"/>
        </w:rPr>
      </w:pPr>
      <w:r>
        <w:rPr>
          <w:rFonts w:ascii="Times New Roman" w:cs="Times New Roman" w:eastAsia="Times New Roman" w:hAnsi="Times New Roman"/>
          <w:sz w:val="16"/>
          <w:szCs w:val="16"/>
          <w:color w:val="auto"/>
        </w:rPr>
        <w:t>On July 29, 2020, we entered into an At-the-Market Sales Agreement, dated July 29, 2020 (as amended, the “Sales Agreement”), with BTIG, LLC, JMP Securities LLC, and Ladenburg Thalmann &amp; Co., Inc. (collectively, the “Agents”). Under the Initial Sales Agreement, we may, but have no obligation to, issue and sell up to $150.0 million in aggregate amount of shares of our common stock (the “Shares”) from time to time through the Agents or to them as principal for their own account (the “ATM Program”). We intend to use the net proceeds from the ATM Program to make investments in portfolio companies in accordance with our investment objective and strategy and for general corporate purposes.</w:t>
      </w:r>
    </w:p>
    <w:p>
      <w:pPr>
        <w:spacing w:after="0" w:line="165" w:lineRule="exact"/>
        <w:rPr>
          <w:sz w:val="20"/>
          <w:szCs w:val="20"/>
          <w:color w:val="auto"/>
        </w:rPr>
      </w:pPr>
    </w:p>
    <w:p>
      <w:pPr>
        <w:jc w:val="both"/>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During the three months ended March 31, 2024, we did not issue or sell Shares under the ATM program. As of March 31, 2024, up to approximately $98.8 million in aggregate amount of the Shares remain available for sale under the ATM Program.</w:t>
      </w:r>
    </w:p>
    <w:p>
      <w:pPr>
        <w:spacing w:after="0" w:line="14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sectPr>
      </w:pPr>
    </w:p>
    <w:bookmarkStart w:id="53" w:name="page54"/>
    <w:bookmarkEnd w:id="53"/>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During the three months ended March 31, 2023, we did not issue or sell Shares under the ATM program. As of March 31, 2023, up to approximately $98.8 million in aggregate amount of the Shares remain available for sale under the ATM Program.</w:t>
      </w:r>
    </w:p>
    <w:p>
      <w:pPr>
        <w:spacing w:after="0" w:line="14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Refer to “Note 5—Common Stock” to our Condensed Consolidated Financial Statements as of March 31, 2024 for more information regarding the ATM Program.</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6.00% Notes due 2026</w:t>
      </w:r>
    </w:p>
    <w:p>
      <w:pPr>
        <w:spacing w:after="0" w:line="200" w:lineRule="exact"/>
        <w:rPr>
          <w:sz w:val="20"/>
          <w:szCs w:val="20"/>
          <w:color w:val="auto"/>
        </w:rPr>
      </w:pPr>
    </w:p>
    <w:p>
      <w:pPr>
        <w:jc w:val="both"/>
        <w:ind w:left="5" w:firstLine="287"/>
        <w:spacing w:after="0" w:line="255" w:lineRule="auto"/>
        <w:rPr>
          <w:sz w:val="20"/>
          <w:szCs w:val="20"/>
          <w:color w:val="auto"/>
        </w:rPr>
      </w:pPr>
      <w:r>
        <w:rPr>
          <w:rFonts w:ascii="Times New Roman" w:cs="Times New Roman" w:eastAsia="Times New Roman" w:hAnsi="Times New Roman"/>
          <w:sz w:val="16"/>
          <w:szCs w:val="16"/>
          <w:color w:val="auto"/>
        </w:rPr>
        <w:t>On December 17, 2021, we issued $70.0 million aggregate principal amount of 6.00% Notes due 2026, which bear interest at a fixed rate of 6.00% per year, payable quarterly in arrears on March 31,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64" w:lineRule="exact"/>
        <w:rPr>
          <w:sz w:val="20"/>
          <w:szCs w:val="20"/>
          <w:color w:val="auto"/>
        </w:rPr>
      </w:pPr>
    </w:p>
    <w:p>
      <w:pPr>
        <w:jc w:val="both"/>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Refer to “Note 10—Debt Capital Activities” to our Condensed Consolidated Financial Statements as of March 31, 2024 for more information regarding the 6.00% Notes due 2026.</w:t>
      </w:r>
    </w:p>
    <w:p>
      <w:pPr>
        <w:spacing w:after="0" w:line="14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202" w:lineRule="exact"/>
        <w:rPr>
          <w:sz w:val="20"/>
          <w:szCs w:val="20"/>
          <w:color w:val="auto"/>
        </w:rPr>
      </w:pPr>
    </w:p>
    <w:p>
      <w:pPr>
        <w:jc w:val="both"/>
        <w:ind w:left="5" w:firstLine="287"/>
        <w:spacing w:after="0" w:line="264" w:lineRule="auto"/>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March 31, 2024. The table is divided by fiscal year according to record date:</w:t>
      </w:r>
    </w:p>
    <w:p>
      <w:pPr>
        <w:spacing w:after="0" w:line="167"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Record Date</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Payment Date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 per Share</w:t>
            </w:r>
          </w:p>
        </w:tc>
      </w:tr>
      <w:tr>
        <w:trPr>
          <w:trHeight w:val="191"/>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2015:</w:t>
            </w:r>
          </w:p>
        </w:tc>
        <w:tc>
          <w:tcPr>
            <w:tcW w:w="22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7"/>
        </w:trPr>
        <w:tc>
          <w:tcPr>
            <w:tcW w:w="496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November 4, 2015</w:t>
            </w:r>
            <w:r>
              <w:rPr>
                <w:rFonts w:ascii="Times New Roman" w:cs="Times New Roman" w:eastAsia="Times New Roman" w:hAnsi="Times New Roman"/>
                <w:sz w:val="26"/>
                <w:szCs w:val="26"/>
                <w:color w:val="auto"/>
                <w:vertAlign w:val="superscript"/>
              </w:rPr>
              <w:t>(1)</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November 16, 2015</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December 31, 2015</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9"/>
                <w:szCs w:val="19"/>
                <w:color w:val="auto"/>
              </w:rPr>
            </w:pPr>
          </w:p>
        </w:tc>
      </w:tr>
      <w:tr>
        <w:trPr>
          <w:trHeight w:val="191"/>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2016:</w:t>
            </w: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7"/>
        </w:trPr>
        <w:tc>
          <w:tcPr>
            <w:tcW w:w="496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August 3, 2016</w:t>
            </w:r>
            <w:r>
              <w:rPr>
                <w:rFonts w:ascii="Times New Roman" w:cs="Times New Roman" w:eastAsia="Times New Roman" w:hAnsi="Times New Roman"/>
                <w:sz w:val="26"/>
                <w:szCs w:val="26"/>
                <w:color w:val="auto"/>
                <w:vertAlign w:val="superscript"/>
              </w:rPr>
              <w:t>(2)</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August 16, 2016</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August 24, 2016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9"/>
                <w:szCs w:val="19"/>
                <w:color w:val="auto"/>
              </w:rPr>
            </w:pPr>
          </w:p>
        </w:tc>
      </w:tr>
      <w:tr>
        <w:trPr>
          <w:trHeight w:val="191"/>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2019:</w:t>
            </w: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7"/>
        </w:trPr>
        <w:tc>
          <w:tcPr>
            <w:tcW w:w="496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November 5, 2019</w:t>
            </w:r>
            <w:r>
              <w:rPr>
                <w:rFonts w:ascii="Times New Roman" w:cs="Times New Roman" w:eastAsia="Times New Roman" w:hAnsi="Times New Roman"/>
                <w:sz w:val="26"/>
                <w:szCs w:val="26"/>
                <w:color w:val="auto"/>
                <w:vertAlign w:val="superscript"/>
              </w:rPr>
              <w:t>(3)</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December 2, 2019</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December 12, 2019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9"/>
                <w:szCs w:val="19"/>
                <w:color w:val="auto"/>
              </w:rPr>
            </w:pPr>
          </w:p>
        </w:tc>
      </w:tr>
      <w:tr>
        <w:trPr>
          <w:trHeight w:val="227"/>
        </w:trPr>
        <w:tc>
          <w:tcPr>
            <w:tcW w:w="496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December 20, 2019</w:t>
            </w:r>
            <w:r>
              <w:rPr>
                <w:rFonts w:ascii="Times New Roman" w:cs="Times New Roman" w:eastAsia="Times New Roman" w:hAnsi="Times New Roman"/>
                <w:sz w:val="26"/>
                <w:szCs w:val="26"/>
                <w:color w:val="auto"/>
                <w:vertAlign w:val="superscript"/>
              </w:rPr>
              <w:t>(4)</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December 31, 2019</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January 15, 2020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r>
      <w:tr>
        <w:trPr>
          <w:trHeight w:val="191"/>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2020:</w:t>
            </w: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496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July 29, 2020</w:t>
            </w:r>
            <w:r>
              <w:rPr>
                <w:rFonts w:ascii="Times New Roman" w:cs="Times New Roman" w:eastAsia="Times New Roman" w:hAnsi="Times New Roman"/>
                <w:sz w:val="26"/>
                <w:szCs w:val="26"/>
                <w:color w:val="auto"/>
                <w:vertAlign w:val="superscript"/>
              </w:rPr>
              <w:t>(5)</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August 11, 2020</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August 25, 2020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9"/>
                <w:szCs w:val="19"/>
                <w:color w:val="auto"/>
              </w:rPr>
            </w:pPr>
          </w:p>
        </w:tc>
      </w:tr>
      <w:tr>
        <w:trPr>
          <w:trHeight w:val="227"/>
        </w:trPr>
        <w:tc>
          <w:tcPr>
            <w:tcW w:w="496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September 28, 2020</w:t>
            </w:r>
            <w:r>
              <w:rPr>
                <w:rFonts w:ascii="Times New Roman" w:cs="Times New Roman" w:eastAsia="Times New Roman" w:hAnsi="Times New Roman"/>
                <w:sz w:val="26"/>
                <w:szCs w:val="26"/>
                <w:color w:val="auto"/>
                <w:vertAlign w:val="superscript"/>
              </w:rPr>
              <w:t>(6)</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October 5, 2020</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October 20, 2020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9"/>
                <w:szCs w:val="19"/>
                <w:color w:val="auto"/>
              </w:rPr>
            </w:pPr>
          </w:p>
        </w:tc>
      </w:tr>
      <w:tr>
        <w:trPr>
          <w:trHeight w:val="227"/>
        </w:trPr>
        <w:tc>
          <w:tcPr>
            <w:tcW w:w="496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October 28, 2020</w:t>
            </w:r>
            <w:r>
              <w:rPr>
                <w:rFonts w:ascii="Times New Roman" w:cs="Times New Roman" w:eastAsia="Times New Roman" w:hAnsi="Times New Roman"/>
                <w:sz w:val="26"/>
                <w:szCs w:val="26"/>
                <w:color w:val="auto"/>
                <w:vertAlign w:val="superscript"/>
              </w:rPr>
              <w:t>(7)</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November 10, 2020</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November 30, 2020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9"/>
                <w:szCs w:val="19"/>
                <w:color w:val="auto"/>
              </w:rPr>
            </w:pPr>
          </w:p>
        </w:tc>
      </w:tr>
      <w:tr>
        <w:trPr>
          <w:trHeight w:val="227"/>
        </w:trPr>
        <w:tc>
          <w:tcPr>
            <w:tcW w:w="496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December 16, 2020</w:t>
            </w:r>
            <w:r>
              <w:rPr>
                <w:rFonts w:ascii="Times New Roman" w:cs="Times New Roman" w:eastAsia="Times New Roman" w:hAnsi="Times New Roman"/>
                <w:sz w:val="26"/>
                <w:szCs w:val="26"/>
                <w:color w:val="auto"/>
                <w:vertAlign w:val="superscript"/>
              </w:rPr>
              <w:t>(8)</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December 30, 2020</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January 15, 2021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9"/>
                <w:szCs w:val="19"/>
                <w:color w:val="auto"/>
              </w:rPr>
            </w:pPr>
          </w:p>
        </w:tc>
      </w:tr>
      <w:tr>
        <w:trPr>
          <w:trHeight w:val="191"/>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7"/>
        </w:trPr>
        <w:tc>
          <w:tcPr>
            <w:tcW w:w="496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January 26, 2021</w:t>
            </w:r>
            <w:r>
              <w:rPr>
                <w:rFonts w:ascii="Times New Roman" w:cs="Times New Roman" w:eastAsia="Times New Roman" w:hAnsi="Times New Roman"/>
                <w:sz w:val="26"/>
                <w:szCs w:val="26"/>
                <w:color w:val="auto"/>
                <w:vertAlign w:val="superscript"/>
              </w:rPr>
              <w:t>(9)</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February 5, 2021</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February 19, 2021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9"/>
                <w:szCs w:val="19"/>
                <w:color w:val="auto"/>
              </w:rPr>
            </w:pPr>
          </w:p>
        </w:tc>
      </w:tr>
      <w:tr>
        <w:trPr>
          <w:trHeight w:val="227"/>
        </w:trPr>
        <w:tc>
          <w:tcPr>
            <w:tcW w:w="496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March 8, 2021</w:t>
            </w:r>
            <w:r>
              <w:rPr>
                <w:rFonts w:ascii="Times New Roman" w:cs="Times New Roman" w:eastAsia="Times New Roman" w:hAnsi="Times New Roman"/>
                <w:sz w:val="26"/>
                <w:szCs w:val="26"/>
                <w:color w:val="auto"/>
                <w:vertAlign w:val="superscript"/>
              </w:rPr>
              <w:t>(10)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March 30, 2021</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15, 2021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9"/>
                <w:szCs w:val="19"/>
                <w:color w:val="auto"/>
              </w:rPr>
            </w:pPr>
          </w:p>
        </w:tc>
      </w:tr>
      <w:tr>
        <w:trPr>
          <w:trHeight w:val="227"/>
        </w:trPr>
        <w:tc>
          <w:tcPr>
            <w:tcW w:w="496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May 4, 2021</w:t>
            </w:r>
            <w:r>
              <w:rPr>
                <w:rFonts w:ascii="Times New Roman" w:cs="Times New Roman" w:eastAsia="Times New Roman" w:hAnsi="Times New Roman"/>
                <w:sz w:val="26"/>
                <w:szCs w:val="26"/>
                <w:color w:val="auto"/>
                <w:vertAlign w:val="superscript"/>
              </w:rPr>
              <w:t>(11)</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May 18, 2021</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June 30, 2021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9"/>
                <w:szCs w:val="19"/>
                <w:color w:val="auto"/>
              </w:rPr>
            </w:pPr>
          </w:p>
        </w:tc>
      </w:tr>
      <w:tr>
        <w:trPr>
          <w:trHeight w:val="227"/>
        </w:trPr>
        <w:tc>
          <w:tcPr>
            <w:tcW w:w="496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August 3, 2021</w:t>
            </w:r>
            <w:r>
              <w:rPr>
                <w:rFonts w:ascii="Times New Roman" w:cs="Times New Roman" w:eastAsia="Times New Roman" w:hAnsi="Times New Roman"/>
                <w:sz w:val="26"/>
                <w:szCs w:val="26"/>
                <w:color w:val="auto"/>
                <w:vertAlign w:val="superscript"/>
              </w:rPr>
              <w:t>(12)</w:t>
            </w:r>
          </w:p>
        </w:tc>
        <w:tc>
          <w:tcPr>
            <w:tcW w:w="2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August 18, 2021</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September 30, 2021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r>
      <w:tr>
        <w:trPr>
          <w:trHeight w:val="227"/>
        </w:trPr>
        <w:tc>
          <w:tcPr>
            <w:tcW w:w="496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November 2, 2021</w:t>
            </w:r>
            <w:r>
              <w:rPr>
                <w:rFonts w:ascii="Times New Roman" w:cs="Times New Roman" w:eastAsia="Times New Roman" w:hAnsi="Times New Roman"/>
                <w:sz w:val="26"/>
                <w:szCs w:val="26"/>
                <w:color w:val="auto"/>
                <w:vertAlign w:val="superscript"/>
              </w:rPr>
              <w:t>(13)</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November 17, 2021</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December 30, 2021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9"/>
                <w:szCs w:val="19"/>
                <w:color w:val="auto"/>
              </w:rPr>
            </w:pPr>
          </w:p>
        </w:tc>
      </w:tr>
      <w:tr>
        <w:trPr>
          <w:trHeight w:val="227"/>
        </w:trPr>
        <w:tc>
          <w:tcPr>
            <w:tcW w:w="496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December 20, 2021</w:t>
            </w:r>
            <w:r>
              <w:rPr>
                <w:rFonts w:ascii="Times New Roman" w:cs="Times New Roman" w:eastAsia="Times New Roman" w:hAnsi="Times New Roman"/>
                <w:sz w:val="26"/>
                <w:szCs w:val="26"/>
                <w:color w:val="auto"/>
                <w:vertAlign w:val="superscript"/>
              </w:rPr>
              <w:t>(14)</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December 31, 2021</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January 14, 2022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shd w:val="clear" w:color="auto" w:fill="CCEEFF"/>
          </w:tcPr>
          <w:p>
            <w:pPr>
              <w:spacing w:after="0"/>
              <w:rPr>
                <w:sz w:val="19"/>
                <w:szCs w:val="19"/>
                <w:color w:val="auto"/>
              </w:rPr>
            </w:pPr>
          </w:p>
        </w:tc>
      </w:tr>
      <w:tr>
        <w:trPr>
          <w:trHeight w:val="191"/>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9"/>
        </w:trPr>
        <w:tc>
          <w:tcPr>
            <w:tcW w:w="4960" w:type="dxa"/>
            <w:vAlign w:val="bottom"/>
            <w:tcBorders>
              <w:bottom w:val="single" w:sz="8" w:color="CCEEFF"/>
            </w:tcBorders>
            <w:gridSpan w:val="2"/>
            <w:shd w:val="clear" w:color="auto" w:fill="CCEEFF"/>
          </w:tcPr>
          <w:p>
            <w:pPr>
              <w:ind w:left="160"/>
              <w:spacing w:after="0" w:line="238" w:lineRule="exact"/>
              <w:rPr>
                <w:sz w:val="20"/>
                <w:szCs w:val="20"/>
                <w:color w:val="auto"/>
              </w:rPr>
            </w:pPr>
            <w:r>
              <w:rPr>
                <w:rFonts w:ascii="Times New Roman" w:cs="Times New Roman" w:eastAsia="Times New Roman" w:hAnsi="Times New Roman"/>
                <w:sz w:val="16"/>
                <w:szCs w:val="16"/>
                <w:color w:val="auto"/>
              </w:rPr>
              <w:t>March 8, 2022</w:t>
            </w:r>
            <w:r>
              <w:rPr>
                <w:rFonts w:ascii="Times New Roman" w:cs="Times New Roman" w:eastAsia="Times New Roman" w:hAnsi="Times New Roman"/>
                <w:sz w:val="26"/>
                <w:szCs w:val="26"/>
                <w:color w:val="auto"/>
                <w:vertAlign w:val="superscript"/>
              </w:rPr>
              <w:t>(15)</w:t>
            </w:r>
          </w:p>
        </w:tc>
        <w:tc>
          <w:tcPr>
            <w:tcW w:w="22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March 25, 2022</w:t>
            </w:r>
          </w:p>
        </w:tc>
        <w:tc>
          <w:tcPr>
            <w:tcW w:w="22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15, 2022</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187"/>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565" w:hanging="565"/>
        <w:spacing w:after="0" w:line="253" w:lineRule="auto"/>
        <w:tabs>
          <w:tab w:leader="none" w:pos="56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2"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distribution of $887,240 on August 24, 2016, $820,753 represented a distribution from realized gains, and $66,487 represented a return of capital.</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$3,512,849 distribution paid on December 12, 2019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$2,107,709 distribution paid on January 15, 2020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$2,516,452 distribution paid on August 25, 2020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$5,071,326 distribution paid on October 20, 2020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$4,978,504 distribution paid on November 30, 2020 represented a distribution from realized gains. None of the distribution represented a return of capital.</w:t>
      </w:r>
    </w:p>
    <w:p>
      <w:pPr>
        <w:spacing w:after="0" w:line="20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sectPr>
      </w:pPr>
    </w:p>
    <w:bookmarkStart w:id="54" w:name="page55"/>
    <w:bookmarkEnd w:id="54"/>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2" w:lineRule="exact"/>
        <w:rPr>
          <w:sz w:val="20"/>
          <w:szCs w:val="20"/>
          <w:color w:val="auto"/>
        </w:rPr>
      </w:pPr>
    </w:p>
    <w:p>
      <w:pPr>
        <w:ind w:left="565" w:hanging="565"/>
        <w:spacing w:after="0"/>
        <w:tabs>
          <w:tab w:leader="none" w:pos="56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$4,381,084 distribution paid on January 15, 2021 represented a distribution from realized gains. None of the distribution represented a return of capital.</w:t>
      </w:r>
    </w:p>
    <w:p>
      <w:pPr>
        <w:spacing w:after="0" w:line="23"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$4,981,131 distribution paid on February 19, 2021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$6,051,304 distribution paid on April 15, 2021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jc w:val="both"/>
        <w:ind w:left="565" w:hanging="565"/>
        <w:spacing w:after="0" w:line="249" w:lineRule="auto"/>
        <w:tabs>
          <w:tab w:leader="none" w:pos="56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jc w:val="both"/>
        <w:ind w:left="565" w:hanging="565"/>
        <w:spacing w:after="0" w:line="249" w:lineRule="auto"/>
        <w:tabs>
          <w:tab w:leader="none" w:pos="56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jc w:val="both"/>
        <w:ind w:left="565" w:hanging="565"/>
        <w:spacing w:after="0" w:line="249" w:lineRule="auto"/>
        <w:tabs>
          <w:tab w:leader="none" w:pos="56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ind w:left="565" w:hanging="565"/>
        <w:spacing w:after="0"/>
        <w:tabs>
          <w:tab w:leader="none" w:pos="56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$23,338,915 distribution paid on January 14, 2022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$3,441,824 distribution paid on April 15, 2022 represented a distribution from realized gains. None of the distribution represented a return of capital.</w:t>
      </w:r>
    </w:p>
    <w:p>
      <w:pPr>
        <w:spacing w:after="0" w:line="181" w:lineRule="exact"/>
        <w:rPr>
          <w:sz w:val="20"/>
          <w:szCs w:val="20"/>
          <w:color w:val="auto"/>
        </w:rPr>
      </w:pPr>
    </w:p>
    <w:p>
      <w:pPr>
        <w:jc w:val="both"/>
        <w:ind w:left="5" w:right="20" w:firstLine="322"/>
        <w:spacing w:after="0" w:line="259" w:lineRule="auto"/>
        <w:rPr>
          <w:sz w:val="20"/>
          <w:szCs w:val="20"/>
          <w:color w:val="auto"/>
        </w:rPr>
      </w:pPr>
      <w:r>
        <w:rPr>
          <w:rFonts w:ascii="Times New Roman" w:cs="Times New Roman" w:eastAsia="Times New Roman" w:hAnsi="Times New Roman"/>
          <w:sz w:val="16"/>
          <w:szCs w:val="16"/>
          <w:color w:val="auto"/>
        </w:rPr>
        <w:t>We intend to focus on making equity-based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61" w:lineRule="exact"/>
        <w:rPr>
          <w:sz w:val="20"/>
          <w:szCs w:val="20"/>
          <w:color w:val="auto"/>
        </w:rPr>
      </w:pPr>
    </w:p>
    <w:p>
      <w:pPr>
        <w:jc w:val="both"/>
        <w:ind w:left="5" w:firstLine="322"/>
        <w:spacing w:after="0" w:line="253" w:lineRule="auto"/>
        <w:rPr>
          <w:sz w:val="20"/>
          <w:szCs w:val="20"/>
          <w:color w:val="auto"/>
        </w:rPr>
      </w:pPr>
      <w:r>
        <w:rPr>
          <w:rFonts w:ascii="Times New Roman" w:cs="Times New Roman" w:eastAsia="Times New Roman" w:hAnsi="Times New Roman"/>
          <w:sz w:val="16"/>
          <w:szCs w:val="16"/>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64" w:lineRule="exact"/>
        <w:rPr>
          <w:sz w:val="20"/>
          <w:szCs w:val="20"/>
          <w:color w:val="auto"/>
        </w:rPr>
      </w:pPr>
    </w:p>
    <w:p>
      <w:pPr>
        <w:jc w:val="both"/>
        <w:ind w:left="5"/>
        <w:spacing w:after="0" w:line="254" w:lineRule="auto"/>
        <w:rPr>
          <w:sz w:val="20"/>
          <w:szCs w:val="20"/>
          <w:color w:val="auto"/>
        </w:rPr>
      </w:pPr>
      <w:r>
        <w:rPr>
          <w:rFonts w:ascii="Times New Roman" w:cs="Times New Roman" w:eastAsia="Times New Roman" w:hAnsi="Times New Roman"/>
          <w:sz w:val="16"/>
          <w:szCs w:val="16"/>
          <w:color w:val="auto"/>
        </w:rPr>
        <w:t>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See “Note 2—Significant Accounting Policies—</w:t>
      </w:r>
      <w:r>
        <w:rPr>
          <w:rFonts w:ascii="Times New Roman" w:cs="Times New Roman" w:eastAsia="Times New Roman" w:hAnsi="Times New Roman"/>
          <w:sz w:val="16"/>
          <w:szCs w:val="16"/>
          <w:i w:val="1"/>
          <w:iCs w:val="1"/>
          <w:color w:val="auto"/>
        </w:rPr>
        <w:t>U.S. Federal and State Income Taxes</w:t>
      </w:r>
      <w:r>
        <w:rPr>
          <w:rFonts w:ascii="Times New Roman" w:cs="Times New Roman" w:eastAsia="Times New Roman" w:hAnsi="Times New Roman"/>
          <w:sz w:val="16"/>
          <w:szCs w:val="16"/>
          <w:color w:val="auto"/>
        </w:rPr>
        <w:t>” and “Note 9— Income Taxes” to our Condensed Consolidated Financial Statements as of March 31, 2024 for more information. The Taxable Subsidiaries included in our Condensed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1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Critical Accounting Estimates and Policies</w:t>
      </w:r>
    </w:p>
    <w:p>
      <w:pPr>
        <w:spacing w:after="0" w:line="200" w:lineRule="exact"/>
        <w:rPr>
          <w:sz w:val="20"/>
          <w:szCs w:val="20"/>
          <w:color w:val="auto"/>
        </w:rPr>
      </w:pPr>
    </w:p>
    <w:p>
      <w:pPr>
        <w:jc w:val="both"/>
        <w:ind w:left="5" w:firstLine="287"/>
        <w:spacing w:after="0" w:line="254" w:lineRule="auto"/>
        <w:rPr>
          <w:sz w:val="20"/>
          <w:szCs w:val="20"/>
          <w:color w:val="auto"/>
        </w:rPr>
      </w:pPr>
      <w:r>
        <w:rPr>
          <w:rFonts w:ascii="Times New Roman" w:cs="Times New Roman" w:eastAsia="Times New Roman" w:hAnsi="Times New Roman"/>
          <w:sz w:val="16"/>
          <w:szCs w:val="16"/>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March 31, 2024 for further detail regarding our critical accounting policies and recently issued or adopted accounting pronouncements.</w:t>
      </w:r>
    </w:p>
    <w:p>
      <w:pPr>
        <w:spacing w:after="0" w:line="1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Related-Party Transactions</w:t>
      </w:r>
    </w:p>
    <w:p>
      <w:pPr>
        <w:spacing w:after="0" w:line="20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See “Note 3—Related-Party Arrangements” to our Condensed Consolidated Financial Statements as of March 31, 2024 for more information.</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Market Risk</w:t>
      </w:r>
    </w:p>
    <w:p>
      <w:pPr>
        <w:spacing w:after="0" w:line="200" w:lineRule="exact"/>
        <w:rPr>
          <w:sz w:val="20"/>
          <w:szCs w:val="20"/>
          <w:color w:val="auto"/>
        </w:rPr>
      </w:pPr>
    </w:p>
    <w:p>
      <w:pPr>
        <w:jc w:val="both"/>
        <w:ind w:left="5" w:firstLine="287"/>
        <w:spacing w:after="0" w:line="256" w:lineRule="auto"/>
        <w:rPr>
          <w:sz w:val="20"/>
          <w:szCs w:val="20"/>
          <w:color w:val="auto"/>
        </w:rPr>
      </w:pPr>
      <w:r>
        <w:rPr>
          <w:rFonts w:ascii="Times New Roman" w:cs="Times New Roman" w:eastAsia="Times New Roman" w:hAnsi="Times New Roman"/>
          <w:sz w:val="16"/>
          <w:szCs w:val="16"/>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ectPr>
          <w:pgSz w:w="11900" w:h="16838" w:orient="portrait"/>
          <w:cols w:equalWidth="0" w:num="1">
            <w:col w:w="11265"/>
          </w:cols>
          <w:pgMar w:left="315" w:top="123" w:right="319" w:bottom="1440" w:gutter="0" w:footer="0" w:header="0"/>
        </w:sectPr>
      </w:pPr>
    </w:p>
    <w:p>
      <w:pPr>
        <w:spacing w:after="0" w:line="165"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Valuation Risk</w:t>
      </w:r>
    </w:p>
    <w:p>
      <w:pPr>
        <w:spacing w:after="0" w:line="200"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Our investments may not have a readily available market quotation, as such term is defined in Rule 2a-5 under the 1940 Act,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 As of March 31, 2024, all of our debt investments and outstanding borrowings bore fixed rates of interest.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0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As of March 31, 2024,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Rules 13a-15(f) and 15d-15(f) under the Exchange Act) that occurred during the quarter ended March 31, 2024 that have materially affected, or are reasonably likely to materially affect, our internal control over financial reporting.</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00"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Investing in our securities involves a number of significant risks. In addition to the other information contained in this report, you should carefully consider the factors discussed in our annual report on Form 10-K for the fiscal year ended December 31, 2023, filed with the SEC on March 14, 2024, which could materially affect our business, financial condition and/or operating results. Although the risks described in our annual report on Form 10-K for the fiscal year ended December 31, 2022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stated below, there have been no material changes to the risk factors discussed in “Item 1A. Risk Factors” of Part I of our annual report on Form 10-K for the fiscal year ended December 31, 2023.</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6" w:name="page57"/>
    <w:bookmarkEnd w:id="56"/>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Sales of Unregistered Equity Securities</w:t>
      </w:r>
    </w:p>
    <w:p>
      <w:pPr>
        <w:spacing w:after="0" w:line="20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We did not sell any equity securities during the period covered in this report that were not registered under the Securities Act of 1933, as amended.</w:t>
      </w:r>
    </w:p>
    <w:p>
      <w:pPr>
        <w:spacing w:after="0" w:line="2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r>
        <w:rPr>
          <w:rFonts w:ascii="Times New Roman" w:cs="Times New Roman" w:eastAsia="Times New Roman" w:hAnsi="Times New Roman"/>
          <w:sz w:val="26"/>
          <w:szCs w:val="26"/>
          <w:b w:val="1"/>
          <w:bCs w:val="1"/>
          <w:color w:val="auto"/>
          <w:vertAlign w:val="superscript"/>
        </w:rPr>
        <w:t>(1)</w:t>
      </w:r>
    </w:p>
    <w:p>
      <w:pPr>
        <w:spacing w:after="0" w:line="117"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Information relating to our purchases of our common stock during the three months ended March 31, 2024 is as follows:</w:t>
      </w:r>
    </w:p>
    <w:p>
      <w:pPr>
        <w:spacing w:after="0" w:line="196"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Shares that</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7"/>
              </w:rPr>
              <w:t>Purchased as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May Yet Be</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restart"/>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rPr>
              <w:t>Part of</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center"/>
              <w:ind w:lef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Publicly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Under the</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w w:val="98"/>
              </w:rPr>
              <w:t>Price Paid</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Plans or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Repurchase</w:t>
            </w: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160" w:type="dxa"/>
            <w:vAlign w:val="bottom"/>
          </w:tcPr>
          <w:p>
            <w:pPr>
              <w:jc w:val="center"/>
              <w:ind w:left="100"/>
              <w:spacing w:after="0" w:line="238" w:lineRule="exact"/>
              <w:rPr>
                <w:sz w:val="20"/>
                <w:szCs w:val="20"/>
                <w:color w:val="auto"/>
              </w:rPr>
            </w:pPr>
            <w:r>
              <w:rPr>
                <w:rFonts w:ascii="Times New Roman" w:cs="Times New Roman" w:eastAsia="Times New Roman" w:hAnsi="Times New Roman"/>
                <w:sz w:val="16"/>
                <w:szCs w:val="16"/>
                <w:b w:val="1"/>
                <w:bCs w:val="1"/>
                <w:color w:val="auto"/>
                <w:w w:val="93"/>
              </w:rPr>
              <w:t>Purchased</w:t>
            </w:r>
            <w:r>
              <w:rPr>
                <w:rFonts w:ascii="Times New Roman" w:cs="Times New Roman" w:eastAsia="Times New Roman" w:hAnsi="Times New Roman"/>
                <w:sz w:val="26"/>
                <w:szCs w:val="26"/>
                <w:b w:val="1"/>
                <w:bCs w:val="1"/>
                <w:color w:val="auto"/>
                <w:w w:val="93"/>
                <w:vertAlign w:val="superscript"/>
              </w:rPr>
              <w:t>(2)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Program</w:t>
            </w: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1 through January 31, 2024</w:t>
            </w:r>
          </w:p>
        </w:tc>
        <w:tc>
          <w:tcPr>
            <w:tcW w:w="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20,686,087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February 1 through February 28, 2024</w:t>
            </w:r>
          </w:p>
        </w:tc>
        <w:tc>
          <w:tcPr>
            <w:tcW w:w="116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6"/>
                <w:szCs w:val="16"/>
                <w:color w:val="auto"/>
              </w:rPr>
            </w:pP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20,686,087</w:t>
            </w:r>
          </w:p>
        </w:tc>
        <w:tc>
          <w:tcPr>
            <w:tcW w:w="0" w:type="dxa"/>
            <w:vAlign w:val="bottom"/>
          </w:tcPr>
          <w:p>
            <w:pPr>
              <w:spacing w:after="0"/>
              <w:rPr>
                <w:sz w:val="1"/>
                <w:szCs w:val="1"/>
                <w:color w:val="auto"/>
              </w:rPr>
            </w:pPr>
          </w:p>
        </w:tc>
      </w:tr>
      <w:tr>
        <w:trPr>
          <w:trHeight w:val="191"/>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1 through March 31, 2024</w:t>
            </w:r>
          </w:p>
        </w:tc>
        <w:tc>
          <w:tcPr>
            <w:tcW w:w="1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6"/>
                <w:szCs w:val="16"/>
                <w:color w:val="auto"/>
              </w:rPr>
            </w:pPr>
          </w:p>
        </w:tc>
        <w:tc>
          <w:tcPr>
            <w:tcW w:w="17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20,686,087</w:t>
            </w:r>
          </w:p>
        </w:tc>
        <w:tc>
          <w:tcPr>
            <w:tcW w:w="0" w:type="dxa"/>
            <w:vAlign w:val="bottom"/>
          </w:tcPr>
          <w:p>
            <w:pPr>
              <w:spacing w:after="0"/>
              <w:rPr>
                <w:sz w:val="1"/>
                <w:szCs w:val="1"/>
                <w:color w:val="auto"/>
              </w:rPr>
            </w:pPr>
          </w:p>
        </w:tc>
      </w:tr>
      <w:tr>
        <w:trPr>
          <w:trHeight w:val="215"/>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190" w:lineRule="exact"/>
        <w:rPr>
          <w:sz w:val="20"/>
          <w:szCs w:val="20"/>
          <w:color w:val="auto"/>
        </w:rPr>
      </w:pPr>
    </w:p>
    <w:p>
      <w:pPr>
        <w:jc w:val="both"/>
        <w:ind w:left="565" w:right="20" w:hanging="565"/>
        <w:spacing w:after="0" w:line="252" w:lineRule="auto"/>
        <w:tabs>
          <w:tab w:leader="none" w:pos="56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7, 2023, our Board of Directors approved an extension of the Share Repurchase Program until the earlier of (i) October 31, 2024 or (ii) the repurchase of $60.0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months ended March 31, 2024, we did not repurchase shares of common stock under the Share Repurchase Program. As of March 31, 2024, the dollar value of shares that remained available to be purchased under the Share Repurchase Program was approximately $20.7 million.For more information on the Share Repurchase Program, see “Note 5 — Common Stock” to our Condensed Consolidated Financial Statements as of March 31, 2024.</w:t>
      </w:r>
    </w:p>
    <w:p>
      <w:pPr>
        <w:spacing w:after="0" w:line="1" w:lineRule="exact"/>
        <w:rPr>
          <w:rFonts w:ascii="Times New Roman" w:cs="Times New Roman" w:eastAsia="Times New Roman" w:hAnsi="Times New Roman"/>
          <w:sz w:val="16"/>
          <w:szCs w:val="16"/>
          <w:color w:val="auto"/>
        </w:rPr>
      </w:pPr>
    </w:p>
    <w:p>
      <w:pPr>
        <w:ind w:left="565" w:right="20" w:hanging="565"/>
        <w:spacing w:after="0" w:line="258" w:lineRule="auto"/>
        <w:tabs>
          <w:tab w:leader="none" w:pos="56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purchases of our common stock made on the open market by or on behalf of any “affiliated purchaser,” as defined in Exchange Act Rule 10b-18(a)(3), of the Company.</w:t>
      </w:r>
    </w:p>
    <w:p>
      <w:pPr>
        <w:spacing w:after="0" w:line="15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0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None.</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0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00"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157" w:lineRule="exact"/>
        <w:rPr>
          <w:sz w:val="20"/>
          <w:szCs w:val="20"/>
          <w:color w:val="auto"/>
        </w:rPr>
      </w:pPr>
    </w:p>
    <w:p>
      <w:pPr>
        <w:jc w:val="both"/>
        <w:ind w:left="5" w:firstLine="287"/>
        <w:spacing w:after="0" w:line="280" w:lineRule="auto"/>
        <w:rPr>
          <w:sz w:val="20"/>
          <w:szCs w:val="20"/>
          <w:color w:val="auto"/>
        </w:rPr>
      </w:pPr>
      <w:r>
        <w:rPr>
          <w:rFonts w:ascii="Times New Roman" w:cs="Times New Roman" w:eastAsia="Times New Roman" w:hAnsi="Times New Roman"/>
          <w:sz w:val="16"/>
          <w:szCs w:val="16"/>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14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sectPr>
      </w:pPr>
    </w:p>
    <w:bookmarkStart w:id="57" w:name="page58"/>
    <w:bookmarkEnd w:id="57"/>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exhibits are filed as part of this report or hereby incorporated by reference to exhibits previously filed with the SEC:</w:t>
      </w:r>
    </w:p>
    <w:p>
      <w:pPr>
        <w:spacing w:after="0" w:line="176" w:lineRule="exact"/>
        <w:rPr>
          <w:sz w:val="20"/>
          <w:szCs w:val="20"/>
          <w:color w:val="auto"/>
        </w:rPr>
      </w:pPr>
    </w:p>
    <w:tbl>
      <w:tblPr>
        <w:tblLayout w:type="fixed"/>
        <w:tblInd w:w="145" w:type="dxa"/>
        <w:tblCellMar>
          <w:top w:w="0" w:type="dxa"/>
          <w:left w:w="0" w:type="dxa"/>
          <w:bottom w:w="0" w:type="dxa"/>
          <w:right w:w="0" w:type="dxa"/>
        </w:tblCellMar>
      </w:tblPr>
      <w:tr>
        <w:trPr>
          <w:trHeight w:val="169"/>
        </w:trPr>
        <w:tc>
          <w:tcPr>
            <w:tcW w:w="42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w w:val="99"/>
              </w:rPr>
              <w:t>3.1</w:t>
            </w:r>
          </w:p>
        </w:tc>
        <w:tc>
          <w:tcPr>
            <w:tcW w:w="2600" w:type="dxa"/>
            <w:vAlign w:val="bottom"/>
            <w:gridSpan w:val="10"/>
            <w:vMerge w:val="restart"/>
          </w:tcPr>
          <w:p>
            <w:pPr>
              <w:spacing w:after="0"/>
              <w:rPr>
                <w:rFonts w:ascii="Times New Roman" w:cs="Times New Roman" w:eastAsia="Times New Roman" w:hAnsi="Times New Roman"/>
                <w:sz w:val="16"/>
                <w:szCs w:val="16"/>
                <w:color w:val="0000EE"/>
                <w:w w:val="98"/>
              </w:rPr>
            </w:pPr>
            <w:hyperlink r:id="rId101">
              <w:r>
                <w:rPr>
                  <w:rFonts w:ascii="Times New Roman" w:cs="Times New Roman" w:eastAsia="Times New Roman" w:hAnsi="Times New Roman"/>
                  <w:sz w:val="16"/>
                  <w:szCs w:val="16"/>
                  <w:color w:val="0000EE"/>
                  <w:w w:val="98"/>
                </w:rPr>
                <w:t>Articles of Amendment and Restatement</w:t>
              </w:r>
            </w:hyperlink>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3"/>
                <w:szCs w:val="13"/>
                <w:color w:val="0000EE"/>
                <w:w w:val="92"/>
              </w:rPr>
              <w:t>(1)</w:t>
            </w:r>
          </w:p>
        </w:tc>
        <w:tc>
          <w:tcPr>
            <w:tcW w:w="194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5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0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30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20" w:type="dxa"/>
            <w:vAlign w:val="bottom"/>
            <w:vMerge w:val="continue"/>
          </w:tcPr>
          <w:p>
            <w:pPr>
              <w:spacing w:after="0"/>
              <w:rPr>
                <w:sz w:val="3"/>
                <w:szCs w:val="3"/>
                <w:color w:val="auto"/>
              </w:rPr>
            </w:pPr>
          </w:p>
        </w:tc>
        <w:tc>
          <w:tcPr>
            <w:tcW w:w="2600" w:type="dxa"/>
            <w:vAlign w:val="bottom"/>
            <w:tcBorders>
              <w:bottom w:val="single" w:sz="8" w:color="0000EE"/>
            </w:tcBorders>
            <w:gridSpan w:val="10"/>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42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w w:val="99"/>
              </w:rPr>
              <w:t>3.2</w:t>
            </w:r>
          </w:p>
        </w:tc>
        <w:tc>
          <w:tcPr>
            <w:tcW w:w="1520" w:type="dxa"/>
            <w:vAlign w:val="bottom"/>
            <w:gridSpan w:val="4"/>
            <w:vMerge w:val="restart"/>
          </w:tcPr>
          <w:p>
            <w:pPr>
              <w:spacing w:after="0"/>
              <w:rPr>
                <w:rFonts w:ascii="Times New Roman" w:cs="Times New Roman" w:eastAsia="Times New Roman" w:hAnsi="Times New Roman"/>
                <w:sz w:val="16"/>
                <w:szCs w:val="16"/>
                <w:color w:val="0000EE"/>
                <w:w w:val="99"/>
              </w:rPr>
            </w:pPr>
            <w:hyperlink r:id="rId102">
              <w:r>
                <w:rPr>
                  <w:rFonts w:ascii="Times New Roman" w:cs="Times New Roman" w:eastAsia="Times New Roman" w:hAnsi="Times New Roman"/>
                  <w:sz w:val="16"/>
                  <w:szCs w:val="16"/>
                  <w:color w:val="0000EE"/>
                  <w:w w:val="99"/>
                </w:rPr>
                <w:t>Articles of Amendment</w:t>
              </w:r>
            </w:hyperlink>
          </w:p>
        </w:tc>
        <w:tc>
          <w:tcPr>
            <w:tcW w:w="140" w:type="dxa"/>
            <w:vAlign w:val="bottom"/>
            <w:tcBorders>
              <w:bottom w:val="single" w:sz="8" w:color="0000EE"/>
            </w:tcBorders>
            <w:gridSpan w:val="3"/>
          </w:tcPr>
          <w:p>
            <w:pPr>
              <w:jc w:val="right"/>
              <w:spacing w:after="0" w:line="136" w:lineRule="exact"/>
              <w:rPr>
                <w:rFonts w:ascii="Times New Roman" w:cs="Times New Roman" w:eastAsia="Times New Roman" w:hAnsi="Times New Roman"/>
                <w:sz w:val="13"/>
                <w:szCs w:val="13"/>
                <w:color w:val="0000EE"/>
                <w:w w:val="78"/>
              </w:rPr>
            </w:pPr>
            <w:hyperlink r:id="rId102">
              <w:r>
                <w:rPr>
                  <w:rFonts w:ascii="Times New Roman" w:cs="Times New Roman" w:eastAsia="Times New Roman" w:hAnsi="Times New Roman"/>
                  <w:sz w:val="13"/>
                  <w:szCs w:val="13"/>
                  <w:color w:val="0000EE"/>
                  <w:w w:val="78"/>
                </w:rPr>
                <w:t>(2)</w:t>
              </w:r>
            </w:hyperlink>
          </w:p>
        </w:tc>
        <w:tc>
          <w:tcPr>
            <w:tcW w:w="80" w:type="dxa"/>
            <w:vAlign w:val="bottom"/>
            <w:vMerge w:val="restart"/>
          </w:tcPr>
          <w:p>
            <w:pPr>
              <w:spacing w:after="0"/>
              <w:rPr>
                <w:sz w:val="12"/>
                <w:szCs w:val="12"/>
                <w:color w:val="auto"/>
              </w:rPr>
            </w:pPr>
          </w:p>
        </w:tc>
        <w:tc>
          <w:tcPr>
            <w:tcW w:w="76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2040" w:type="dxa"/>
            <w:vAlign w:val="bottom"/>
            <w:gridSpan w:val="2"/>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5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20" w:type="dxa"/>
            <w:vAlign w:val="bottom"/>
            <w:vMerge w:val="continue"/>
          </w:tcPr>
          <w:p>
            <w:pPr>
              <w:spacing w:after="0"/>
              <w:rPr>
                <w:sz w:val="3"/>
                <w:szCs w:val="3"/>
                <w:color w:val="auto"/>
              </w:rPr>
            </w:pPr>
          </w:p>
        </w:tc>
        <w:tc>
          <w:tcPr>
            <w:tcW w:w="1520" w:type="dxa"/>
            <w:vAlign w:val="bottom"/>
            <w:tcBorders>
              <w:bottom w:val="single" w:sz="8" w:color="0000EE"/>
            </w:tcBorders>
            <w:gridSpan w:val="4"/>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204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42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w w:val="99"/>
              </w:rPr>
              <w:t>3.3</w:t>
            </w:r>
          </w:p>
        </w:tc>
        <w:tc>
          <w:tcPr>
            <w:tcW w:w="1520" w:type="dxa"/>
            <w:vAlign w:val="bottom"/>
            <w:gridSpan w:val="4"/>
            <w:vMerge w:val="restart"/>
          </w:tcPr>
          <w:p>
            <w:pPr>
              <w:spacing w:after="0"/>
              <w:rPr>
                <w:rFonts w:ascii="Times New Roman" w:cs="Times New Roman" w:eastAsia="Times New Roman" w:hAnsi="Times New Roman"/>
                <w:sz w:val="16"/>
                <w:szCs w:val="16"/>
                <w:color w:val="0000EE"/>
                <w:w w:val="99"/>
              </w:rPr>
            </w:pPr>
            <w:hyperlink r:id="rId103">
              <w:r>
                <w:rPr>
                  <w:rFonts w:ascii="Times New Roman" w:cs="Times New Roman" w:eastAsia="Times New Roman" w:hAnsi="Times New Roman"/>
                  <w:sz w:val="16"/>
                  <w:szCs w:val="16"/>
                  <w:color w:val="0000EE"/>
                  <w:w w:val="99"/>
                </w:rPr>
                <w:t>Articles of Amendment</w:t>
              </w:r>
            </w:hyperlink>
          </w:p>
        </w:tc>
        <w:tc>
          <w:tcPr>
            <w:tcW w:w="140" w:type="dxa"/>
            <w:vAlign w:val="bottom"/>
            <w:tcBorders>
              <w:bottom w:val="single" w:sz="8" w:color="0000EE"/>
            </w:tcBorders>
            <w:gridSpan w:val="3"/>
          </w:tcPr>
          <w:p>
            <w:pPr>
              <w:jc w:val="right"/>
              <w:spacing w:after="0" w:line="136" w:lineRule="exact"/>
              <w:rPr>
                <w:rFonts w:ascii="Times New Roman" w:cs="Times New Roman" w:eastAsia="Times New Roman" w:hAnsi="Times New Roman"/>
                <w:sz w:val="13"/>
                <w:szCs w:val="13"/>
                <w:color w:val="0000EE"/>
                <w:w w:val="78"/>
              </w:rPr>
            </w:pPr>
            <w:hyperlink r:id="rId103">
              <w:r>
                <w:rPr>
                  <w:rFonts w:ascii="Times New Roman" w:cs="Times New Roman" w:eastAsia="Times New Roman" w:hAnsi="Times New Roman"/>
                  <w:sz w:val="13"/>
                  <w:szCs w:val="13"/>
                  <w:color w:val="0000EE"/>
                  <w:w w:val="78"/>
                </w:rPr>
                <w:t>(3)</w:t>
              </w:r>
            </w:hyperlink>
          </w:p>
        </w:tc>
        <w:tc>
          <w:tcPr>
            <w:tcW w:w="80" w:type="dxa"/>
            <w:vAlign w:val="bottom"/>
            <w:vMerge w:val="restart"/>
          </w:tcPr>
          <w:p>
            <w:pPr>
              <w:spacing w:after="0"/>
              <w:rPr>
                <w:sz w:val="12"/>
                <w:szCs w:val="12"/>
                <w:color w:val="auto"/>
              </w:rPr>
            </w:pPr>
          </w:p>
        </w:tc>
        <w:tc>
          <w:tcPr>
            <w:tcW w:w="76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2040" w:type="dxa"/>
            <w:vAlign w:val="bottom"/>
            <w:gridSpan w:val="2"/>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5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20" w:type="dxa"/>
            <w:vAlign w:val="bottom"/>
            <w:vMerge w:val="continue"/>
          </w:tcPr>
          <w:p>
            <w:pPr>
              <w:spacing w:after="0"/>
              <w:rPr>
                <w:sz w:val="3"/>
                <w:szCs w:val="3"/>
                <w:color w:val="auto"/>
              </w:rPr>
            </w:pPr>
          </w:p>
        </w:tc>
        <w:tc>
          <w:tcPr>
            <w:tcW w:w="1520" w:type="dxa"/>
            <w:vAlign w:val="bottom"/>
            <w:tcBorders>
              <w:bottom w:val="single" w:sz="8" w:color="0000EE"/>
            </w:tcBorders>
            <w:gridSpan w:val="4"/>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204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42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w w:val="99"/>
              </w:rPr>
              <w:t>3.4</w:t>
            </w:r>
          </w:p>
        </w:tc>
        <w:tc>
          <w:tcPr>
            <w:tcW w:w="1520" w:type="dxa"/>
            <w:vAlign w:val="bottom"/>
            <w:gridSpan w:val="4"/>
            <w:vMerge w:val="restart"/>
          </w:tcPr>
          <w:p>
            <w:pPr>
              <w:spacing w:after="0"/>
              <w:rPr>
                <w:rFonts w:ascii="Times New Roman" w:cs="Times New Roman" w:eastAsia="Times New Roman" w:hAnsi="Times New Roman"/>
                <w:sz w:val="16"/>
                <w:szCs w:val="16"/>
                <w:color w:val="0000EE"/>
                <w:w w:val="99"/>
              </w:rPr>
            </w:pPr>
            <w:hyperlink r:id="rId104">
              <w:r>
                <w:rPr>
                  <w:rFonts w:ascii="Times New Roman" w:cs="Times New Roman" w:eastAsia="Times New Roman" w:hAnsi="Times New Roman"/>
                  <w:sz w:val="16"/>
                  <w:szCs w:val="16"/>
                  <w:color w:val="0000EE"/>
                  <w:w w:val="99"/>
                </w:rPr>
                <w:t>Articles of Amendment</w:t>
              </w:r>
            </w:hyperlink>
          </w:p>
        </w:tc>
        <w:tc>
          <w:tcPr>
            <w:tcW w:w="140" w:type="dxa"/>
            <w:vAlign w:val="bottom"/>
            <w:tcBorders>
              <w:bottom w:val="single" w:sz="8" w:color="0000EE"/>
            </w:tcBorders>
            <w:gridSpan w:val="3"/>
          </w:tcPr>
          <w:p>
            <w:pPr>
              <w:jc w:val="right"/>
              <w:spacing w:after="0" w:line="136" w:lineRule="exact"/>
              <w:rPr>
                <w:rFonts w:ascii="Times New Roman" w:cs="Times New Roman" w:eastAsia="Times New Roman" w:hAnsi="Times New Roman"/>
                <w:sz w:val="13"/>
                <w:szCs w:val="13"/>
                <w:color w:val="0000EE"/>
                <w:w w:val="78"/>
              </w:rPr>
            </w:pPr>
            <w:hyperlink r:id="rId104">
              <w:r>
                <w:rPr>
                  <w:rFonts w:ascii="Times New Roman" w:cs="Times New Roman" w:eastAsia="Times New Roman" w:hAnsi="Times New Roman"/>
                  <w:sz w:val="13"/>
                  <w:szCs w:val="13"/>
                  <w:color w:val="0000EE"/>
                  <w:w w:val="78"/>
                </w:rPr>
                <w:t>(4)</w:t>
              </w:r>
            </w:hyperlink>
          </w:p>
        </w:tc>
        <w:tc>
          <w:tcPr>
            <w:tcW w:w="80" w:type="dxa"/>
            <w:vAlign w:val="bottom"/>
            <w:vMerge w:val="restart"/>
          </w:tcPr>
          <w:p>
            <w:pPr>
              <w:spacing w:after="0"/>
              <w:rPr>
                <w:sz w:val="12"/>
                <w:szCs w:val="12"/>
                <w:color w:val="auto"/>
              </w:rPr>
            </w:pPr>
          </w:p>
        </w:tc>
        <w:tc>
          <w:tcPr>
            <w:tcW w:w="76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2040" w:type="dxa"/>
            <w:vAlign w:val="bottom"/>
            <w:gridSpan w:val="2"/>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5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20" w:type="dxa"/>
            <w:vAlign w:val="bottom"/>
            <w:vMerge w:val="continue"/>
          </w:tcPr>
          <w:p>
            <w:pPr>
              <w:spacing w:after="0"/>
              <w:rPr>
                <w:sz w:val="3"/>
                <w:szCs w:val="3"/>
                <w:color w:val="auto"/>
              </w:rPr>
            </w:pPr>
          </w:p>
        </w:tc>
        <w:tc>
          <w:tcPr>
            <w:tcW w:w="1520" w:type="dxa"/>
            <w:vAlign w:val="bottom"/>
            <w:tcBorders>
              <w:bottom w:val="single" w:sz="8" w:color="0000EE"/>
            </w:tcBorders>
            <w:gridSpan w:val="4"/>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204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42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w w:val="99"/>
              </w:rPr>
              <w:t>3.5</w:t>
            </w:r>
          </w:p>
        </w:tc>
        <w:tc>
          <w:tcPr>
            <w:tcW w:w="2500" w:type="dxa"/>
            <w:vAlign w:val="bottom"/>
            <w:gridSpan w:val="9"/>
            <w:vMerge w:val="restart"/>
          </w:tcPr>
          <w:p>
            <w:pPr>
              <w:spacing w:after="0"/>
              <w:rPr>
                <w:rFonts w:ascii="Times New Roman" w:cs="Times New Roman" w:eastAsia="Times New Roman" w:hAnsi="Times New Roman"/>
                <w:sz w:val="16"/>
                <w:szCs w:val="16"/>
                <w:color w:val="0000EE"/>
                <w:w w:val="98"/>
              </w:rPr>
            </w:pPr>
            <w:hyperlink r:id="rId105">
              <w:r>
                <w:rPr>
                  <w:rFonts w:ascii="Times New Roman" w:cs="Times New Roman" w:eastAsia="Times New Roman" w:hAnsi="Times New Roman"/>
                  <w:sz w:val="16"/>
                  <w:szCs w:val="16"/>
                  <w:color w:val="0000EE"/>
                  <w:w w:val="98"/>
                </w:rPr>
                <w:t>Second Amended and Restated Bylaws</w:t>
              </w:r>
            </w:hyperlink>
          </w:p>
        </w:tc>
        <w:tc>
          <w:tcPr>
            <w:tcW w:w="160" w:type="dxa"/>
            <w:vAlign w:val="bottom"/>
            <w:tcBorders>
              <w:bottom w:val="single" w:sz="8" w:color="0000EE"/>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color w:val="0000EE"/>
                <w:w w:val="92"/>
              </w:rPr>
              <w:t>(4)</w:t>
            </w:r>
          </w:p>
        </w:tc>
        <w:tc>
          <w:tcPr>
            <w:tcW w:w="2040" w:type="dxa"/>
            <w:vAlign w:val="bottom"/>
            <w:gridSpan w:val="2"/>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5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420" w:type="dxa"/>
            <w:vAlign w:val="bottom"/>
            <w:vMerge w:val="continue"/>
          </w:tcPr>
          <w:p>
            <w:pPr>
              <w:spacing w:after="0"/>
              <w:rPr>
                <w:sz w:val="3"/>
                <w:szCs w:val="3"/>
                <w:color w:val="auto"/>
              </w:rPr>
            </w:pPr>
          </w:p>
        </w:tc>
        <w:tc>
          <w:tcPr>
            <w:tcW w:w="2500" w:type="dxa"/>
            <w:vAlign w:val="bottom"/>
            <w:tcBorders>
              <w:bottom w:val="single" w:sz="8" w:color="0000EE"/>
            </w:tcBorders>
            <w:gridSpan w:val="9"/>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204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42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w w:val="99"/>
              </w:rPr>
              <w:t>4.1</w:t>
            </w:r>
          </w:p>
        </w:tc>
        <w:tc>
          <w:tcPr>
            <w:tcW w:w="7480" w:type="dxa"/>
            <w:vAlign w:val="bottom"/>
            <w:gridSpan w:val="17"/>
            <w:vMerge w:val="restart"/>
          </w:tcPr>
          <w:p>
            <w:pPr>
              <w:spacing w:after="0"/>
              <w:rPr>
                <w:rFonts w:ascii="Times New Roman" w:cs="Times New Roman" w:eastAsia="Times New Roman" w:hAnsi="Times New Roman"/>
                <w:sz w:val="16"/>
                <w:szCs w:val="16"/>
                <w:color w:val="0000EE"/>
                <w:w w:val="99"/>
              </w:rPr>
            </w:pPr>
            <w:hyperlink r:id="rId106">
              <w:r>
                <w:rPr>
                  <w:rFonts w:ascii="Times New Roman" w:cs="Times New Roman" w:eastAsia="Times New Roman" w:hAnsi="Times New Roman"/>
                  <w:sz w:val="16"/>
                  <w:szCs w:val="16"/>
                  <w:color w:val="0000EE"/>
                  <w:w w:val="99"/>
                </w:rPr>
                <w:t>Base Indenture, dated March 28, 2018, by and between the Registrant and U.S. Bank National Association, as trustee</w:t>
              </w:r>
            </w:hyperlink>
          </w:p>
        </w:tc>
        <w:tc>
          <w:tcPr>
            <w:tcW w:w="140" w:type="dxa"/>
            <w:vAlign w:val="bottom"/>
            <w:tcBorders>
              <w:bottom w:val="single" w:sz="8" w:color="0000EE"/>
            </w:tcBorders>
            <w:gridSpan w:val="4"/>
          </w:tcPr>
          <w:p>
            <w:pPr>
              <w:jc w:val="right"/>
              <w:spacing w:after="0" w:line="128" w:lineRule="exact"/>
              <w:rPr>
                <w:sz w:val="20"/>
                <w:szCs w:val="20"/>
                <w:color w:val="auto"/>
              </w:rPr>
            </w:pPr>
            <w:r>
              <w:rPr>
                <w:rFonts w:ascii="Times New Roman" w:cs="Times New Roman" w:eastAsia="Times New Roman" w:hAnsi="Times New Roman"/>
                <w:sz w:val="13"/>
                <w:szCs w:val="13"/>
                <w:color w:val="0000EE"/>
                <w:w w:val="78"/>
              </w:rPr>
              <w:t>(5)</w:t>
            </w:r>
          </w:p>
        </w:tc>
        <w:tc>
          <w:tcPr>
            <w:tcW w:w="30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20" w:type="dxa"/>
            <w:vAlign w:val="bottom"/>
            <w:vMerge w:val="continue"/>
          </w:tcPr>
          <w:p>
            <w:pPr>
              <w:spacing w:after="0"/>
              <w:rPr>
                <w:sz w:val="3"/>
                <w:szCs w:val="3"/>
                <w:color w:val="auto"/>
              </w:rPr>
            </w:pPr>
          </w:p>
        </w:tc>
        <w:tc>
          <w:tcPr>
            <w:tcW w:w="7480" w:type="dxa"/>
            <w:vAlign w:val="bottom"/>
            <w:tcBorders>
              <w:bottom w:val="single" w:sz="8" w:color="0000EE"/>
            </w:tcBorders>
            <w:gridSpan w:val="17"/>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20" w:type="dxa"/>
            <w:vAlign w:val="bottom"/>
          </w:tcPr>
          <w:p>
            <w:pPr>
              <w:jc w:val="center"/>
              <w:ind w:right="60"/>
              <w:spacing w:after="0" w:line="171" w:lineRule="exact"/>
              <w:rPr>
                <w:sz w:val="20"/>
                <w:szCs w:val="20"/>
                <w:color w:val="auto"/>
              </w:rPr>
            </w:pPr>
            <w:r>
              <w:rPr>
                <w:rFonts w:ascii="Times New Roman" w:cs="Times New Roman" w:eastAsia="Times New Roman" w:hAnsi="Times New Roman"/>
                <w:sz w:val="16"/>
                <w:szCs w:val="16"/>
                <w:color w:val="auto"/>
                <w:w w:val="99"/>
              </w:rPr>
              <w:t>4.2</w:t>
            </w:r>
          </w:p>
        </w:tc>
        <w:tc>
          <w:tcPr>
            <w:tcW w:w="10680" w:type="dxa"/>
            <w:vAlign w:val="bottom"/>
            <w:tcBorders>
              <w:bottom w:val="single" w:sz="8" w:color="0000EE"/>
            </w:tcBorders>
            <w:gridSpan w:val="22"/>
          </w:tcPr>
          <w:p>
            <w:pPr>
              <w:spacing w:after="0" w:line="171"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Second Supplemental Indenture, dated December 17, 2021, relating to the 6.00% Notes due 2026, by and between the Company and U.S. Bank National Association,</w:t>
              </w:r>
            </w:hyperlink>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600" w:type="dxa"/>
            <w:vAlign w:val="bottom"/>
            <w:vMerge w:val="restart"/>
          </w:tcPr>
          <w:p>
            <w:pPr>
              <w:spacing w:after="0"/>
              <w:rPr>
                <w:rFonts w:ascii="Times New Roman" w:cs="Times New Roman" w:eastAsia="Times New Roman" w:hAnsi="Times New Roman"/>
                <w:sz w:val="16"/>
                <w:szCs w:val="16"/>
                <w:color w:val="0000EE"/>
                <w:w w:val="96"/>
              </w:rPr>
            </w:pPr>
            <w:hyperlink r:id="rId107">
              <w:r>
                <w:rPr>
                  <w:rFonts w:ascii="Times New Roman" w:cs="Times New Roman" w:eastAsia="Times New Roman" w:hAnsi="Times New Roman"/>
                  <w:sz w:val="16"/>
                  <w:szCs w:val="16"/>
                  <w:color w:val="0000EE"/>
                  <w:w w:val="96"/>
                </w:rPr>
                <w:t>as trustee</w:t>
              </w:r>
            </w:hyperlink>
          </w:p>
        </w:tc>
        <w:tc>
          <w:tcPr>
            <w:tcW w:w="160" w:type="dxa"/>
            <w:vAlign w:val="bottom"/>
            <w:tcBorders>
              <w:bottom w:val="single" w:sz="8" w:color="0000EE"/>
            </w:tcBorders>
            <w:gridSpan w:val="2"/>
          </w:tcPr>
          <w:p>
            <w:pPr>
              <w:jc w:val="right"/>
              <w:spacing w:after="0" w:line="136" w:lineRule="exact"/>
              <w:rPr>
                <w:rFonts w:ascii="Times New Roman" w:cs="Times New Roman" w:eastAsia="Times New Roman" w:hAnsi="Times New Roman"/>
                <w:sz w:val="13"/>
                <w:szCs w:val="13"/>
                <w:color w:val="0000EE"/>
                <w:w w:val="92"/>
              </w:rPr>
            </w:pPr>
            <w:hyperlink r:id="rId107">
              <w:r>
                <w:rPr>
                  <w:rFonts w:ascii="Times New Roman" w:cs="Times New Roman" w:eastAsia="Times New Roman" w:hAnsi="Times New Roman"/>
                  <w:sz w:val="13"/>
                  <w:szCs w:val="13"/>
                  <w:color w:val="0000EE"/>
                  <w:w w:val="92"/>
                </w:rPr>
                <w:t>(6)</w:t>
              </w:r>
            </w:hyperlink>
          </w:p>
        </w:tc>
        <w:tc>
          <w:tcPr>
            <w:tcW w:w="840" w:type="dxa"/>
            <w:vAlign w:val="bottom"/>
            <w:gridSpan w:val="3"/>
            <w:vMerge w:val="restart"/>
          </w:tcPr>
          <w:p>
            <w:pPr>
              <w:spacing w:after="0"/>
              <w:rPr>
                <w:sz w:val="12"/>
                <w:szCs w:val="12"/>
                <w:color w:val="auto"/>
              </w:rPr>
            </w:pPr>
          </w:p>
        </w:tc>
        <w:tc>
          <w:tcPr>
            <w:tcW w:w="140" w:type="dxa"/>
            <w:vAlign w:val="bottom"/>
            <w:gridSpan w:val="2"/>
            <w:vMerge w:val="restart"/>
          </w:tcPr>
          <w:p>
            <w:pPr>
              <w:spacing w:after="0"/>
              <w:rPr>
                <w:sz w:val="12"/>
                <w:szCs w:val="12"/>
                <w:color w:val="auto"/>
              </w:rPr>
            </w:pPr>
          </w:p>
        </w:tc>
        <w:tc>
          <w:tcPr>
            <w:tcW w:w="2960" w:type="dxa"/>
            <w:vAlign w:val="bottom"/>
            <w:gridSpan w:val="5"/>
            <w:vMerge w:val="restart"/>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8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1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2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w w:val="99"/>
              </w:rPr>
              <w:t>4.3</w:t>
            </w:r>
          </w:p>
        </w:tc>
        <w:tc>
          <w:tcPr>
            <w:tcW w:w="60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EE"/>
                <w:w w:val="92"/>
              </w:rPr>
              <w:t>(6)</w:t>
            </w:r>
          </w:p>
        </w:tc>
        <w:tc>
          <w:tcPr>
            <w:tcW w:w="15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420" w:type="dxa"/>
            <w:vAlign w:val="bottom"/>
            <w:vMerge w:val="continue"/>
          </w:tcPr>
          <w:p>
            <w:pPr>
              <w:spacing w:after="0"/>
              <w:rPr>
                <w:sz w:val="12"/>
                <w:szCs w:val="12"/>
                <w:color w:val="auto"/>
              </w:rPr>
            </w:pPr>
          </w:p>
        </w:tc>
        <w:tc>
          <w:tcPr>
            <w:tcW w:w="4700" w:type="dxa"/>
            <w:vAlign w:val="bottom"/>
            <w:gridSpan w:val="13"/>
            <w:vMerge w:val="restart"/>
          </w:tcPr>
          <w:p>
            <w:pPr>
              <w:spacing w:after="0"/>
              <w:rPr>
                <w:rFonts w:ascii="Times New Roman" w:cs="Times New Roman" w:eastAsia="Times New Roman" w:hAnsi="Times New Roman"/>
                <w:sz w:val="16"/>
                <w:szCs w:val="16"/>
                <w:color w:val="0000EE"/>
                <w:w w:val="99"/>
              </w:rPr>
            </w:pPr>
            <w:hyperlink r:id="rId108">
              <w:r>
                <w:rPr>
                  <w:rFonts w:ascii="Times New Roman" w:cs="Times New Roman" w:eastAsia="Times New Roman" w:hAnsi="Times New Roman"/>
                  <w:sz w:val="16"/>
                  <w:szCs w:val="16"/>
                  <w:color w:val="0000EE"/>
                  <w:w w:val="99"/>
                </w:rPr>
                <w:t>Form of 6.00% Notes due 2026 (incorporated by reference to Exhibit 4.2)</w:t>
              </w:r>
            </w:hyperlink>
          </w:p>
        </w:tc>
        <w:tc>
          <w:tcPr>
            <w:tcW w:w="160" w:type="dxa"/>
            <w:vAlign w:val="bottom"/>
            <w:tcBorders>
              <w:bottom w:val="single" w:sz="8" w:color="0000EE"/>
            </w:tcBorders>
            <w:vMerge w:val="continue"/>
          </w:tcPr>
          <w:p>
            <w:pPr>
              <w:spacing w:after="0"/>
              <w:rPr>
                <w:sz w:val="12"/>
                <w:szCs w:val="12"/>
                <w:color w:val="auto"/>
              </w:rPr>
            </w:pPr>
          </w:p>
        </w:tc>
        <w:tc>
          <w:tcPr>
            <w:tcW w:w="15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8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1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420" w:type="dxa"/>
            <w:vAlign w:val="bottom"/>
            <w:vMerge w:val="continue"/>
          </w:tcPr>
          <w:p>
            <w:pPr>
              <w:spacing w:after="0"/>
              <w:rPr>
                <w:sz w:val="3"/>
                <w:szCs w:val="3"/>
                <w:color w:val="auto"/>
              </w:rPr>
            </w:pPr>
          </w:p>
        </w:tc>
        <w:tc>
          <w:tcPr>
            <w:tcW w:w="4700" w:type="dxa"/>
            <w:vAlign w:val="bottom"/>
            <w:tcBorders>
              <w:bottom w:val="single" w:sz="8" w:color="0000EE"/>
            </w:tcBorders>
            <w:gridSpan w:val="13"/>
            <w:vMerge w:val="continue"/>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42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w w:val="99"/>
              </w:rPr>
              <w:t>4.4</w:t>
            </w:r>
          </w:p>
        </w:tc>
        <w:tc>
          <w:tcPr>
            <w:tcW w:w="1600" w:type="dxa"/>
            <w:vAlign w:val="bottom"/>
            <w:gridSpan w:val="6"/>
            <w:vMerge w:val="restart"/>
          </w:tcPr>
          <w:p>
            <w:pPr>
              <w:spacing w:after="0"/>
              <w:rPr>
                <w:rFonts w:ascii="Times New Roman" w:cs="Times New Roman" w:eastAsia="Times New Roman" w:hAnsi="Times New Roman"/>
                <w:sz w:val="16"/>
                <w:szCs w:val="16"/>
                <w:color w:val="0000EE"/>
                <w:w w:val="99"/>
              </w:rPr>
            </w:pPr>
            <w:hyperlink r:id="rId109">
              <w:r>
                <w:rPr>
                  <w:rFonts w:ascii="Times New Roman" w:cs="Times New Roman" w:eastAsia="Times New Roman" w:hAnsi="Times New Roman"/>
                  <w:sz w:val="16"/>
                  <w:szCs w:val="16"/>
                  <w:color w:val="0000EE"/>
                  <w:w w:val="99"/>
                </w:rPr>
                <w:t>Description of Securities</w:t>
              </w:r>
            </w:hyperlink>
          </w:p>
        </w:tc>
        <w:tc>
          <w:tcPr>
            <w:tcW w:w="140" w:type="dxa"/>
            <w:vAlign w:val="bottom"/>
            <w:tcBorders>
              <w:bottom w:val="single" w:sz="8" w:color="0000EE"/>
            </w:tcBorders>
            <w:gridSpan w:val="2"/>
          </w:tcPr>
          <w:p>
            <w:pPr>
              <w:jc w:val="right"/>
              <w:spacing w:after="0" w:line="136" w:lineRule="exact"/>
              <w:rPr>
                <w:rFonts w:ascii="Times New Roman" w:cs="Times New Roman" w:eastAsia="Times New Roman" w:hAnsi="Times New Roman"/>
                <w:sz w:val="13"/>
                <w:szCs w:val="13"/>
                <w:color w:val="0000EE"/>
                <w:w w:val="78"/>
              </w:rPr>
            </w:pPr>
            <w:hyperlink r:id="rId109">
              <w:r>
                <w:rPr>
                  <w:rFonts w:ascii="Times New Roman" w:cs="Times New Roman" w:eastAsia="Times New Roman" w:hAnsi="Times New Roman"/>
                  <w:sz w:val="13"/>
                  <w:szCs w:val="13"/>
                  <w:color w:val="0000EE"/>
                  <w:w w:val="78"/>
                </w:rPr>
                <w:t>(7)</w:t>
              </w:r>
            </w:hyperlink>
          </w:p>
        </w:tc>
        <w:tc>
          <w:tcPr>
            <w:tcW w:w="4660" w:type="dxa"/>
            <w:vAlign w:val="bottom"/>
            <w:gridSpan w:val="7"/>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8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1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420" w:type="dxa"/>
            <w:vAlign w:val="bottom"/>
            <w:vMerge w:val="continue"/>
          </w:tcPr>
          <w:p>
            <w:pPr>
              <w:spacing w:after="0"/>
              <w:rPr>
                <w:sz w:val="3"/>
                <w:szCs w:val="3"/>
                <w:color w:val="auto"/>
              </w:rPr>
            </w:pPr>
          </w:p>
        </w:tc>
        <w:tc>
          <w:tcPr>
            <w:tcW w:w="1600" w:type="dxa"/>
            <w:vAlign w:val="bottom"/>
            <w:tcBorders>
              <w:bottom w:val="single" w:sz="8" w:color="0000EE"/>
            </w:tcBorders>
            <w:gridSpan w:val="6"/>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4660" w:type="dxa"/>
            <w:vAlign w:val="bottom"/>
            <w:gridSpan w:val="7"/>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20" w:type="dxa"/>
            <w:vAlign w:val="bottom"/>
          </w:tcPr>
          <w:p>
            <w:pPr>
              <w:jc w:val="center"/>
              <w:ind w:right="60"/>
              <w:spacing w:after="0" w:line="171" w:lineRule="exact"/>
              <w:rPr>
                <w:sz w:val="20"/>
                <w:szCs w:val="20"/>
                <w:color w:val="auto"/>
              </w:rPr>
            </w:pPr>
            <w:r>
              <w:rPr>
                <w:rFonts w:ascii="Times New Roman" w:cs="Times New Roman" w:eastAsia="Times New Roman" w:hAnsi="Times New Roman"/>
                <w:sz w:val="16"/>
                <w:szCs w:val="16"/>
                <w:color w:val="auto"/>
                <w:w w:val="99"/>
              </w:rPr>
              <w:t>31.1</w:t>
            </w:r>
          </w:p>
        </w:tc>
        <w:tc>
          <w:tcPr>
            <w:tcW w:w="10680" w:type="dxa"/>
            <w:vAlign w:val="bottom"/>
            <w:gridSpan w:val="22"/>
          </w:tcPr>
          <w:p>
            <w:pPr>
              <w:spacing w:after="0" w:line="171" w:lineRule="exact"/>
              <w:rPr>
                <w:sz w:val="20"/>
                <w:szCs w:val="20"/>
                <w:color w:val="auto"/>
              </w:rPr>
            </w:pPr>
            <w:r>
              <w:rPr>
                <w:rFonts w:ascii="Times New Roman" w:cs="Times New Roman" w:eastAsia="Times New Roman" w:hAnsi="Times New Roman"/>
                <w:sz w:val="16"/>
                <w:szCs w:val="16"/>
                <w:color w:val="0000EE"/>
              </w:rPr>
              <w:t>Certification of Chief Executive Officer pursuant to Rule 13a-14 of the Securities Exchange Act of 1934, as amended*</w:t>
            </w:r>
          </w:p>
        </w:tc>
        <w:tc>
          <w:tcPr>
            <w:tcW w:w="0" w:type="dxa"/>
            <w:vAlign w:val="bottom"/>
          </w:tcPr>
          <w:p>
            <w:pPr>
              <w:spacing w:after="0"/>
              <w:rPr>
                <w:sz w:val="1"/>
                <w:szCs w:val="1"/>
                <w:color w:val="auto"/>
              </w:rPr>
            </w:pPr>
          </w:p>
        </w:tc>
      </w:tr>
      <w:tr>
        <w:trPr>
          <w:trHeight w:val="171"/>
        </w:trPr>
        <w:tc>
          <w:tcPr>
            <w:tcW w:w="420" w:type="dxa"/>
            <w:vAlign w:val="bottom"/>
          </w:tcPr>
          <w:p>
            <w:pPr>
              <w:jc w:val="center"/>
              <w:ind w:right="60"/>
              <w:spacing w:after="0" w:line="171" w:lineRule="exact"/>
              <w:rPr>
                <w:sz w:val="20"/>
                <w:szCs w:val="20"/>
                <w:color w:val="auto"/>
              </w:rPr>
            </w:pPr>
            <w:r>
              <w:rPr>
                <w:rFonts w:ascii="Times New Roman" w:cs="Times New Roman" w:eastAsia="Times New Roman" w:hAnsi="Times New Roman"/>
                <w:sz w:val="16"/>
                <w:szCs w:val="16"/>
                <w:color w:val="auto"/>
                <w:w w:val="99"/>
              </w:rPr>
              <w:t>31.2</w:t>
            </w:r>
          </w:p>
        </w:tc>
        <w:tc>
          <w:tcPr>
            <w:tcW w:w="7560" w:type="dxa"/>
            <w:vAlign w:val="bottom"/>
            <w:tcBorders>
              <w:top w:val="single" w:sz="8" w:color="0000EE"/>
            </w:tcBorders>
            <w:gridSpan w:val="20"/>
          </w:tcPr>
          <w:p>
            <w:pPr>
              <w:spacing w:after="0" w:line="171" w:lineRule="exact"/>
              <w:rPr>
                <w:sz w:val="20"/>
                <w:szCs w:val="20"/>
                <w:color w:val="auto"/>
              </w:rPr>
            </w:pPr>
            <w:r>
              <w:rPr>
                <w:rFonts w:ascii="Times New Roman" w:cs="Times New Roman" w:eastAsia="Times New Roman" w:hAnsi="Times New Roman"/>
                <w:sz w:val="16"/>
                <w:szCs w:val="16"/>
                <w:color w:val="0000EE"/>
                <w:w w:val="99"/>
              </w:rPr>
              <w:t>Certification of Chief Financial Officer pursuant to Rule 13a-14 of the Securities Exchange Act of 1934, as amended*</w:t>
            </w:r>
          </w:p>
        </w:tc>
        <w:tc>
          <w:tcPr>
            <w:tcW w:w="3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 w:type="dxa"/>
            <w:vAlign w:val="bottom"/>
          </w:tcPr>
          <w:p>
            <w:pPr>
              <w:jc w:val="center"/>
              <w:ind w:right="60"/>
              <w:spacing w:after="0" w:line="171" w:lineRule="exact"/>
              <w:rPr>
                <w:sz w:val="20"/>
                <w:szCs w:val="20"/>
                <w:color w:val="auto"/>
              </w:rPr>
            </w:pPr>
            <w:r>
              <w:rPr>
                <w:rFonts w:ascii="Times New Roman" w:cs="Times New Roman" w:eastAsia="Times New Roman" w:hAnsi="Times New Roman"/>
                <w:sz w:val="16"/>
                <w:szCs w:val="16"/>
                <w:color w:val="auto"/>
                <w:w w:val="99"/>
              </w:rPr>
              <w:t>32.1</w:t>
            </w:r>
          </w:p>
        </w:tc>
        <w:tc>
          <w:tcPr>
            <w:tcW w:w="6440" w:type="dxa"/>
            <w:vAlign w:val="bottom"/>
            <w:tcBorders>
              <w:top w:val="single" w:sz="8" w:color="0000EE"/>
              <w:bottom w:val="single" w:sz="8" w:color="0000EE"/>
            </w:tcBorders>
            <w:gridSpan w:val="16"/>
          </w:tcPr>
          <w:p>
            <w:pPr>
              <w:spacing w:after="0" w:line="171" w:lineRule="exact"/>
              <w:rPr>
                <w:sz w:val="20"/>
                <w:szCs w:val="20"/>
                <w:color w:val="auto"/>
              </w:rPr>
            </w:pPr>
            <w:r>
              <w:rPr>
                <w:rFonts w:ascii="Times New Roman" w:cs="Times New Roman" w:eastAsia="Times New Roman" w:hAnsi="Times New Roman"/>
                <w:sz w:val="16"/>
                <w:szCs w:val="16"/>
                <w:color w:val="0000EE"/>
                <w:w w:val="99"/>
              </w:rPr>
              <w:t>Certification of Chief Executive Officer pursuant to Section 906 of the Sarbanes-Oxley Act of 2002*</w:t>
            </w:r>
          </w:p>
        </w:tc>
        <w:tc>
          <w:tcPr>
            <w:tcW w:w="1080" w:type="dxa"/>
            <w:vAlign w:val="bottom"/>
            <w:tcBorders>
              <w:top w:val="single" w:sz="8" w:color="0000EE"/>
            </w:tcBorders>
            <w:gridSpan w:val="3"/>
          </w:tcPr>
          <w:p>
            <w:pPr>
              <w:spacing w:after="0"/>
              <w:rPr>
                <w:sz w:val="14"/>
                <w:szCs w:val="14"/>
                <w:color w:val="auto"/>
              </w:rPr>
            </w:pPr>
          </w:p>
        </w:tc>
        <w:tc>
          <w:tcPr>
            <w:tcW w:w="3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 w:type="dxa"/>
            <w:vAlign w:val="bottom"/>
          </w:tcPr>
          <w:p>
            <w:pPr>
              <w:jc w:val="center"/>
              <w:ind w:right="60"/>
              <w:spacing w:after="0" w:line="171" w:lineRule="exact"/>
              <w:rPr>
                <w:sz w:val="20"/>
                <w:szCs w:val="20"/>
                <w:color w:val="auto"/>
              </w:rPr>
            </w:pPr>
            <w:r>
              <w:rPr>
                <w:rFonts w:ascii="Times New Roman" w:cs="Times New Roman" w:eastAsia="Times New Roman" w:hAnsi="Times New Roman"/>
                <w:sz w:val="16"/>
                <w:szCs w:val="16"/>
                <w:color w:val="auto"/>
                <w:w w:val="99"/>
              </w:rPr>
              <w:t>32.2</w:t>
            </w:r>
          </w:p>
        </w:tc>
        <w:tc>
          <w:tcPr>
            <w:tcW w:w="6400" w:type="dxa"/>
            <w:vAlign w:val="bottom"/>
            <w:tcBorders>
              <w:bottom w:val="single" w:sz="8" w:color="0000EE"/>
            </w:tcBorders>
            <w:gridSpan w:val="15"/>
          </w:tcPr>
          <w:p>
            <w:pPr>
              <w:spacing w:after="0" w:line="171" w:lineRule="exact"/>
              <w:rPr>
                <w:sz w:val="20"/>
                <w:szCs w:val="20"/>
                <w:color w:val="auto"/>
              </w:rPr>
            </w:pPr>
            <w:r>
              <w:rPr>
                <w:rFonts w:ascii="Times New Roman" w:cs="Times New Roman" w:eastAsia="Times New Roman" w:hAnsi="Times New Roman"/>
                <w:sz w:val="16"/>
                <w:szCs w:val="16"/>
                <w:color w:val="0000EE"/>
                <w:w w:val="99"/>
              </w:rPr>
              <w:t>Certification of Chief Financial Officer pursuant to Section 906 of the Sarbanes-Oxley Act of 2002*</w:t>
            </w:r>
          </w:p>
        </w:tc>
        <w:tc>
          <w:tcPr>
            <w:tcW w:w="42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17887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1788795" cy="15240"/>
                    </a:xfrm>
                    <a:prstGeom prst="rect">
                      <a:avLst/>
                    </a:prstGeom>
                    <a:noFill/>
                  </pic:spPr>
                </pic:pic>
              </a:graphicData>
            </a:graphic>
          </wp:anchor>
        </w:drawing>
      </w:r>
    </w:p>
    <w:p>
      <w:pPr>
        <w:spacing w:after="0" w:line="214" w:lineRule="exact"/>
        <w:rPr>
          <w:sz w:val="20"/>
          <w:szCs w:val="20"/>
          <w:color w:val="auto"/>
        </w:rPr>
      </w:pPr>
    </w:p>
    <w:p>
      <w:pPr>
        <w:ind w:left="565" w:hanging="565"/>
        <w:spacing w:after="0" w:line="280" w:lineRule="auto"/>
        <w:tabs>
          <w:tab w:leader="none" w:pos="56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Pre-Effective Amendment No. 2 to the Registrant’s Registration Statement on Form N-2 (File No. 333-171578), filed on March 30, 2011, and incorporated by reference herein.</w:t>
      </w:r>
    </w:p>
    <w:p>
      <w:pPr>
        <w:spacing w:after="0" w:line="143"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June 1, 2011, and incorporated by reference herein.</w:t>
      </w:r>
    </w:p>
    <w:p>
      <w:pPr>
        <w:spacing w:after="0" w:line="198"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August 1, 2019, and incorporated by reference herein.</w:t>
      </w:r>
    </w:p>
    <w:p>
      <w:pPr>
        <w:spacing w:after="0" w:line="198"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June 16, 2020, and incorporated by reference herein.</w:t>
      </w:r>
    </w:p>
    <w:p>
      <w:pPr>
        <w:spacing w:after="0" w:line="198" w:lineRule="exact"/>
        <w:rPr>
          <w:rFonts w:ascii="Times New Roman" w:cs="Times New Roman" w:eastAsia="Times New Roman" w:hAnsi="Times New Roman"/>
          <w:sz w:val="16"/>
          <w:szCs w:val="16"/>
          <w:color w:val="auto"/>
        </w:rPr>
      </w:pPr>
    </w:p>
    <w:p>
      <w:pPr>
        <w:ind w:left="565" w:hanging="565"/>
        <w:spacing w:after="0" w:line="280" w:lineRule="auto"/>
        <w:tabs>
          <w:tab w:leader="none" w:pos="56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Registration Statement on Form N-2 (File No. 333-239681), filed on July 2, 2020, and incorporated by reference herein.</w:t>
      </w:r>
    </w:p>
    <w:p>
      <w:pPr>
        <w:spacing w:after="0" w:line="143" w:lineRule="exact"/>
        <w:rPr>
          <w:rFonts w:ascii="Times New Roman" w:cs="Times New Roman" w:eastAsia="Times New Roman" w:hAnsi="Times New Roman"/>
          <w:sz w:val="16"/>
          <w:szCs w:val="16"/>
          <w:color w:val="auto"/>
        </w:rPr>
      </w:pPr>
    </w:p>
    <w:p>
      <w:pPr>
        <w:ind w:left="565" w:hanging="565"/>
        <w:spacing w:after="0" w:line="280" w:lineRule="auto"/>
        <w:tabs>
          <w:tab w:leader="none" w:pos="56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December 17, 2021, and incorporated by reference herein.</w:t>
      </w:r>
    </w:p>
    <w:p>
      <w:pPr>
        <w:spacing w:after="0" w:line="143"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Annual Report on Form 10-K (File No. 814-00852) filed on March 11, 2022, and incorporated by reference herein.</w:t>
      </w:r>
    </w:p>
    <w:p>
      <w:pPr>
        <w:spacing w:after="0" w:line="209" w:lineRule="exact"/>
        <w:rPr>
          <w:rFonts w:ascii="Times New Roman" w:cs="Times New Roman" w:eastAsia="Times New Roman" w:hAnsi="Times New Roman"/>
          <w:sz w:val="15"/>
          <w:szCs w:val="15"/>
          <w:color w:val="auto"/>
        </w:rPr>
      </w:pPr>
    </w:p>
    <w:p>
      <w:pPr>
        <w:ind w:left="5"/>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*Filed herewith.</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5"/>
          </w:cols>
          <w:pgMar w:left="315"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287"/>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198" w:lineRule="exact"/>
        <w:rPr>
          <w:sz w:val="20"/>
          <w:szCs w:val="20"/>
          <w:color w:val="auto"/>
        </w:rPr>
      </w:pPr>
    </w:p>
    <w:p>
      <w:pPr>
        <w:spacing w:after="0"/>
        <w:tabs>
          <w:tab w:leader="none" w:pos="540" w:val="left"/>
          <w:tab w:leader="none" w:pos="5620" w:val="left"/>
        </w:tabs>
        <w:rPr>
          <w:sz w:val="20"/>
          <w:szCs w:val="20"/>
          <w:color w:val="auto"/>
        </w:rPr>
      </w:pPr>
      <w:r>
        <w:rPr>
          <w:rFonts w:ascii="Times New Roman" w:cs="Times New Roman" w:eastAsia="Times New Roman" w:hAnsi="Times New Roman"/>
          <w:sz w:val="16"/>
          <w:szCs w:val="16"/>
          <w:color w:val="auto"/>
        </w:rPr>
        <w:t>Date:</w:t>
        <w:tab/>
        <w:t>May 9, 2024</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5788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3357880" cy="15240"/>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Mark D. Klein</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9" w:lineRule="exact"/>
        <w:rPr>
          <w:sz w:val="20"/>
          <w:szCs w:val="20"/>
          <w:color w:val="auto"/>
        </w:rPr>
      </w:pPr>
    </w:p>
    <w:p>
      <w:pPr>
        <w:spacing w:after="0"/>
        <w:tabs>
          <w:tab w:leader="none" w:pos="540" w:val="left"/>
          <w:tab w:leader="none" w:pos="5620" w:val="left"/>
        </w:tabs>
        <w:rPr>
          <w:sz w:val="20"/>
          <w:szCs w:val="20"/>
          <w:color w:val="auto"/>
        </w:rPr>
      </w:pPr>
      <w:r>
        <w:rPr>
          <w:rFonts w:ascii="Times New Roman" w:cs="Times New Roman" w:eastAsia="Times New Roman" w:hAnsi="Times New Roman"/>
          <w:sz w:val="16"/>
          <w:szCs w:val="16"/>
          <w:color w:val="auto"/>
        </w:rPr>
        <w:t>Date:</w:t>
        <w:tab/>
        <w:t>May 9, 2024</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5788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3357880" cy="15240"/>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Allison Green</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Chief Financial Officer, Chief Compliance Officer, Treasurer, and Corporate</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Secretary</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181" w:lineRule="exact"/>
        <w:rPr>
          <w:sz w:val="20"/>
          <w:szCs w:val="20"/>
          <w:color w:val="auto"/>
        </w:rPr>
      </w:pPr>
    </w:p>
    <w:p>
      <w:pPr>
        <w:ind w:right="420" w:firstLine="287"/>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p>
      <w:pPr>
        <w:spacing w:after="0"/>
        <w:tabs>
          <w:tab w:leader="none" w:pos="540" w:val="left"/>
          <w:tab w:leader="none" w:pos="5620" w:val="left"/>
        </w:tabs>
        <w:rPr>
          <w:sz w:val="20"/>
          <w:szCs w:val="20"/>
          <w:color w:val="auto"/>
        </w:rPr>
      </w:pPr>
      <w:r>
        <w:rPr>
          <w:rFonts w:ascii="Times New Roman" w:cs="Times New Roman" w:eastAsia="Times New Roman" w:hAnsi="Times New Roman"/>
          <w:sz w:val="16"/>
          <w:szCs w:val="16"/>
          <w:color w:val="auto"/>
        </w:rPr>
        <w:t>Date:</w:t>
        <w:tab/>
        <w:t>May 9, 2024</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5788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3357880" cy="15240"/>
                    </a:xfrm>
                    <a:prstGeom prst="rect">
                      <a:avLst/>
                    </a:prstGeom>
                    <a:noFill/>
                  </pic:spPr>
                </pic:pic>
              </a:graphicData>
            </a:graphic>
          </wp:anchor>
        </w:drawing>
      </w:r>
    </w:p>
    <w:p>
      <w:pPr>
        <w:spacing w:after="0" w:line="1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Mark D. Klein</w:t>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9" w:lineRule="exact"/>
        <w:rPr>
          <w:sz w:val="20"/>
          <w:szCs w:val="20"/>
          <w:color w:val="auto"/>
        </w:rPr>
      </w:pPr>
    </w:p>
    <w:p>
      <w:pPr>
        <w:spacing w:after="0"/>
        <w:tabs>
          <w:tab w:leader="none" w:pos="540" w:val="left"/>
          <w:tab w:leader="none" w:pos="5620" w:val="left"/>
        </w:tabs>
        <w:rPr>
          <w:sz w:val="20"/>
          <w:szCs w:val="20"/>
          <w:color w:val="auto"/>
        </w:rPr>
      </w:pPr>
      <w:r>
        <w:rPr>
          <w:rFonts w:ascii="Times New Roman" w:cs="Times New Roman" w:eastAsia="Times New Roman" w:hAnsi="Times New Roman"/>
          <w:sz w:val="16"/>
          <w:szCs w:val="16"/>
          <w:color w:val="auto"/>
        </w:rPr>
        <w:t>Date:</w:t>
        <w:tab/>
        <w:t>May 9, 2024</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5788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3357880" cy="15240"/>
                    </a:xfrm>
                    <a:prstGeom prst="rect">
                      <a:avLst/>
                    </a:prstGeom>
                    <a:noFill/>
                  </pic:spPr>
                </pic:pic>
              </a:graphicData>
            </a:graphic>
          </wp:anchor>
        </w:drawing>
      </w:r>
    </w:p>
    <w:p>
      <w:pPr>
        <w:spacing w:after="0" w:line="1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Allison Green</w:t>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Chief Financial Officer, Chief Compliance Officer, Treasurer, and Corporate</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Secretary</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of SuRo Capital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under the Exchange Act,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Mark D. Klein, certify that:</w:t>
      </w:r>
    </w:p>
    <w:p>
      <w:pPr>
        <w:spacing w:after="0" w:line="198" w:lineRule="exact"/>
        <w:rPr>
          <w:sz w:val="20"/>
          <w:szCs w:val="20"/>
          <w:color w:val="auto"/>
        </w:rPr>
      </w:pPr>
    </w:p>
    <w:p>
      <w:pPr>
        <w:ind w:left="560" w:hanging="278"/>
        <w:spacing w:after="0"/>
        <w:tabs>
          <w:tab w:leader="none" w:pos="5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SuRo Capital Corp.;</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16"/>
          <w:szCs w:val="16"/>
          <w:color w:val="auto"/>
        </w:rPr>
      </w:pPr>
    </w:p>
    <w:p>
      <w:pPr>
        <w:jc w:val="both"/>
        <w:ind w:left="860" w:right="20" w:hanging="292"/>
        <w:spacing w:after="0" w:line="264" w:lineRule="auto"/>
        <w:tabs>
          <w:tab w:leader="none" w:pos="8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jc w:val="both"/>
        <w:ind w:left="860" w:right="20" w:hanging="292"/>
        <w:spacing w:after="0" w:line="264" w:lineRule="auto"/>
        <w:tabs>
          <w:tab w:leader="none" w:pos="8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860" w:hanging="292"/>
        <w:spacing w:after="0" w:line="280" w:lineRule="auto"/>
        <w:tabs>
          <w:tab w:leader="none" w:pos="8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jc w:val="both"/>
        <w:ind w:left="860" w:hanging="292"/>
        <w:spacing w:after="0" w:line="264" w:lineRule="auto"/>
        <w:tabs>
          <w:tab w:leader="none" w:pos="8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860" w:right="20" w:hanging="292"/>
        <w:spacing w:after="0" w:line="280" w:lineRule="auto"/>
        <w:tabs>
          <w:tab w:leader="none" w:pos="8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860" w:right="20" w:hanging="292"/>
        <w:spacing w:after="0" w:line="280" w:lineRule="auto"/>
        <w:tabs>
          <w:tab w:leader="none" w:pos="8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this 9th day of May,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16510</wp:posOffset>
            </wp:positionV>
            <wp:extent cx="335788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3357880" cy="15240"/>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Mark D. Klein</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 of SuRo Capital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under the Exchange Act,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Allison Green, certify that:</w:t>
      </w:r>
    </w:p>
    <w:p>
      <w:pPr>
        <w:spacing w:after="0" w:line="198" w:lineRule="exact"/>
        <w:rPr>
          <w:sz w:val="20"/>
          <w:szCs w:val="20"/>
          <w:color w:val="auto"/>
        </w:rPr>
      </w:pPr>
    </w:p>
    <w:p>
      <w:pPr>
        <w:ind w:left="560" w:hanging="278"/>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SuRo Capital Corp.;</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16"/>
          <w:szCs w:val="16"/>
          <w:color w:val="auto"/>
        </w:rPr>
      </w:pPr>
    </w:p>
    <w:p>
      <w:pPr>
        <w:jc w:val="both"/>
        <w:ind w:left="860" w:right="20" w:hanging="292"/>
        <w:spacing w:after="0" w:line="264" w:lineRule="auto"/>
        <w:tabs>
          <w:tab w:leader="none" w:pos="86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jc w:val="both"/>
        <w:ind w:left="860" w:right="20" w:hanging="292"/>
        <w:spacing w:after="0" w:line="264" w:lineRule="auto"/>
        <w:tabs>
          <w:tab w:leader="none" w:pos="86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860" w:hanging="292"/>
        <w:spacing w:after="0" w:line="280" w:lineRule="auto"/>
        <w:tabs>
          <w:tab w:leader="none" w:pos="86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jc w:val="both"/>
        <w:ind w:left="860" w:hanging="292"/>
        <w:spacing w:after="0" w:line="264" w:lineRule="auto"/>
        <w:tabs>
          <w:tab w:leader="none" w:pos="86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860" w:right="20" w:hanging="292"/>
        <w:spacing w:after="0" w:line="280" w:lineRule="auto"/>
        <w:tabs>
          <w:tab w:leader="none" w:pos="86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860" w:right="20" w:hanging="292"/>
        <w:spacing w:after="0" w:line="280" w:lineRule="auto"/>
        <w:tabs>
          <w:tab w:leader="none" w:pos="86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this 9th day of May,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16510</wp:posOffset>
            </wp:positionV>
            <wp:extent cx="335788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3357880" cy="15240"/>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Allison Green</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481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 (18 U.S.C. 1350)</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connection with the quarterly report on Form 10-Q for the three months ended March 31, 2024 (the “Report”) of SuRo Capital Corp. (the “Registrant”), as filed with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and Exchange Commission on the date hereof, I, Mark D. Klein, the Chief Executive Officer of the Registrant, hereby certify, to the best of my knowledge, that:</w:t>
      </w:r>
    </w:p>
    <w:p>
      <w:pPr>
        <w:spacing w:after="0" w:line="181" w:lineRule="exact"/>
        <w:rPr>
          <w:sz w:val="20"/>
          <w:szCs w:val="20"/>
          <w:color w:val="auto"/>
        </w:rPr>
      </w:pPr>
    </w:p>
    <w:p>
      <w:pPr>
        <w:ind w:left="560" w:hanging="278"/>
        <w:spacing w:after="0"/>
        <w:tabs>
          <w:tab w:leader="none" w:pos="5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16510</wp:posOffset>
            </wp:positionV>
            <wp:extent cx="357060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357060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Name: Mark D. Klein</w:t>
      </w:r>
    </w:p>
    <w:p>
      <w:pPr>
        <w:spacing w:after="0" w:line="2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Date:</w:t>
        <w:tab/>
        <w:t>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 (18 U.S.C. 1350)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connection with the quarterly report on Form 10-Q for the three months ended March 31, 2024 (the “Report”) of SuRo Capital Corp. (the “Registrant”), as filed with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and Exchange Commission on the date hereof, I, Allison Green, the Chief Financial Officer of the Registrant, hereby certify, to the best of my knowledge, that:</w:t>
      </w:r>
    </w:p>
    <w:p>
      <w:pPr>
        <w:spacing w:after="0" w:line="181" w:lineRule="exact"/>
        <w:rPr>
          <w:sz w:val="20"/>
          <w:szCs w:val="20"/>
          <w:color w:val="auto"/>
        </w:rPr>
      </w:pPr>
    </w:p>
    <w:p>
      <w:pPr>
        <w:ind w:left="560" w:hanging="278"/>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16510</wp:posOffset>
            </wp:positionV>
            <wp:extent cx="357060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357060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Name: Allison Green</w:t>
      </w:r>
    </w:p>
    <w:p>
      <w:pPr>
        <w:spacing w:after="0" w:line="2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Date:</w:t>
        <w:tab/>
        <w:t>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11260"/>
      </w:cols>
      <w:pgMar w:left="320" w:top="3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3"/>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3"/>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8"/>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01" Type="http://schemas.openxmlformats.org/officeDocument/2006/relationships/hyperlink" Target="https://www.sec.gov/Archives/edgar/data/1509470/000113379611000069/k216228_ex99-2a.htm" TargetMode="External"/><Relationship Id="rId102" Type="http://schemas.openxmlformats.org/officeDocument/2006/relationships/hyperlink" Target="https://www.sec.gov/Archives/edgar/data/1509470/000114420411033389/v224342_ex3-1.htm" TargetMode="External"/><Relationship Id="rId103" Type="http://schemas.openxmlformats.org/officeDocument/2006/relationships/hyperlink" Target="https://www.sec.gov/Archives/edgar/data/1509470/000114420419037014/tv526412_ex3-1.htm" TargetMode="External"/><Relationship Id="rId104" Type="http://schemas.openxmlformats.org/officeDocument/2006/relationships/hyperlink" Target="https://www.sec.gov/Archives/edgar/data/1509470/000110465920073783/tm2022743d1_ex3-1.htm" TargetMode="External"/><Relationship Id="rId105" Type="http://schemas.openxmlformats.org/officeDocument/2006/relationships/hyperlink" Target="https://www.sec.gov/Archives/edgar/data/1509470/000110465920073783/tm2022743d1_ex3-2.htm" TargetMode="External"/><Relationship Id="rId106" Type="http://schemas.openxmlformats.org/officeDocument/2006/relationships/hyperlink" Target="https://www.sec.gov/Archives/edgar/data/1509470/000110465920080689/tm2023838d1_ex-d3.htm" TargetMode="External"/><Relationship Id="rId107" Type="http://schemas.openxmlformats.org/officeDocument/2006/relationships/hyperlink" Target="https://www.sec.gov/Archives/edgar/data/1509470/000110465921150924/tm2135610d1_ex4-2.htm" TargetMode="External"/><Relationship Id="rId108" Type="http://schemas.openxmlformats.org/officeDocument/2006/relationships/hyperlink" Target="https://www.sec.gov/Archives/edgar/data/1509470/000110465921150924/tm2135610d1_ex4-2.htm#S1" TargetMode="External"/><Relationship Id="rId109" Type="http://schemas.openxmlformats.org/officeDocument/2006/relationships/hyperlink" Target="https://www.sec.gov/Archives/edgar/data/1509470/000162828022005867/surocapital-form10xk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2024-05-09T08:40:15Z</dcterms:created>
  <dcterms:modified xsi:type="dcterms:W3CDTF">2024-05-09T08:40:15Z</dcterms:modified>
</cp:coreProperties>
</file>