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452755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line="232" w:lineRule="auto"/>
        <w:rPr>
          <w:sz w:val="20"/>
          <w:szCs w:val="20"/>
          <w:color w:val="auto"/>
        </w:rPr>
      </w:pPr>
      <w:r>
        <w:rPr>
          <w:rFonts w:ascii="Times New Roman" w:cs="Times New Roman" w:eastAsia="Times New Roman" w:hAnsi="Times New Roman"/>
          <w:sz w:val="16"/>
          <w:szCs w:val="16"/>
          <w:b w:val="1"/>
          <w:bCs w:val="1"/>
          <w:color w:val="auto"/>
        </w:rPr>
        <w:t>Washington, D.C. 20549</w:t>
      </w:r>
    </w:p>
    <w:p>
      <w:pPr>
        <w:ind w:left="4700"/>
        <w:spacing w:after="0"/>
        <w:rPr>
          <w:sz w:val="20"/>
          <w:szCs w:val="20"/>
          <w:color w:val="auto"/>
        </w:rPr>
      </w:pPr>
      <w:r>
        <w:rPr>
          <w:rFonts w:ascii="Times New Roman" w:cs="Times New Roman" w:eastAsia="Times New Roman" w:hAnsi="Times New Roman"/>
          <w:sz w:val="14"/>
          <w:szCs w:val="14"/>
          <w:color w:val="auto"/>
        </w:rPr>
        <w:t>____________________________</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15"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x </w:t>
      </w: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47"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b w:val="1"/>
          <w:bCs w:val="1"/>
          <w:color w:val="auto"/>
        </w:rPr>
        <w:t xml:space="preserve">FOR THE QUARTERLY PERIOD ENDED </w:t>
      </w:r>
      <w:r>
        <w:rPr>
          <w:rFonts w:ascii="Times New Roman" w:cs="Times New Roman" w:eastAsia="Times New Roman" w:hAnsi="Times New Roman"/>
          <w:sz w:val="18"/>
          <w:szCs w:val="18"/>
          <w:b w:val="1"/>
          <w:bCs w:val="1"/>
          <w:color w:val="auto"/>
        </w:rPr>
        <w:t>June 30, 2019</w:t>
      </w:r>
    </w:p>
    <w:p>
      <w:pPr>
        <w:spacing w:after="0" w:line="178"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814-00852</w:t>
      </w:r>
    </w:p>
    <w:p>
      <w:pPr>
        <w:spacing w:after="0" w:line="111"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Sutter Rock Capital Corp.</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7"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167"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6260" w:type="dxa"/>
            <w:vAlign w:val="bottom"/>
          </w:tcPr>
          <w:p>
            <w:pPr>
              <w:jc w:val="center"/>
              <w:ind w:right="2683"/>
              <w:spacing w:after="0"/>
              <w:rPr>
                <w:sz w:val="20"/>
                <w:szCs w:val="20"/>
                <w:color w:val="auto"/>
              </w:rPr>
            </w:pPr>
            <w:r>
              <w:rPr>
                <w:rFonts w:ascii="Times New Roman" w:cs="Times New Roman" w:eastAsia="Times New Roman" w:hAnsi="Times New Roman"/>
                <w:sz w:val="16"/>
                <w:szCs w:val="16"/>
                <w:b w:val="1"/>
                <w:bCs w:val="1"/>
                <w:color w:val="auto"/>
              </w:rPr>
              <w:t>Maryland</w:t>
            </w:r>
          </w:p>
        </w:tc>
        <w:tc>
          <w:tcPr>
            <w:tcW w:w="2240" w:type="dxa"/>
            <w:vAlign w:val="bottom"/>
          </w:tcPr>
          <w:p>
            <w:pPr>
              <w:jc w:val="right"/>
              <w:ind w:right="583"/>
              <w:spacing w:after="0"/>
              <w:rPr>
                <w:sz w:val="20"/>
                <w:szCs w:val="20"/>
                <w:color w:val="auto"/>
              </w:rPr>
            </w:pPr>
            <w:r>
              <w:rPr>
                <w:rFonts w:ascii="Times New Roman" w:cs="Times New Roman" w:eastAsia="Times New Roman" w:hAnsi="Times New Roman"/>
                <w:sz w:val="16"/>
                <w:szCs w:val="16"/>
                <w:b w:val="1"/>
                <w:bCs w:val="1"/>
                <w:color w:val="auto"/>
              </w:rPr>
              <w:t>27-4443543</w:t>
            </w:r>
          </w:p>
        </w:tc>
      </w:tr>
      <w:tr>
        <w:trPr>
          <w:trHeight w:val="226"/>
        </w:trPr>
        <w:tc>
          <w:tcPr>
            <w:tcW w:w="6260" w:type="dxa"/>
            <w:vAlign w:val="bottom"/>
          </w:tcPr>
          <w:p>
            <w:pPr>
              <w:jc w:val="center"/>
              <w:ind w:right="2703"/>
              <w:spacing w:after="0"/>
              <w:rPr>
                <w:sz w:val="20"/>
                <w:szCs w:val="20"/>
                <w:color w:val="auto"/>
              </w:rPr>
            </w:pPr>
            <w:r>
              <w:rPr>
                <w:rFonts w:ascii="Times New Roman" w:cs="Times New Roman" w:eastAsia="Times New Roman" w:hAnsi="Times New Roman"/>
                <w:sz w:val="14"/>
                <w:szCs w:val="14"/>
                <w:color w:val="auto"/>
              </w:rPr>
              <w:t>(State of incorporation)</w:t>
            </w:r>
          </w:p>
        </w:tc>
        <w:tc>
          <w:tcPr>
            <w:tcW w:w="2240" w:type="dxa"/>
            <w:vAlign w:val="bottom"/>
          </w:tcPr>
          <w:p>
            <w:pPr>
              <w:jc w:val="center"/>
              <w:ind w:left="63"/>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34"/>
        </w:trPr>
        <w:tc>
          <w:tcPr>
            <w:tcW w:w="6260" w:type="dxa"/>
            <w:vAlign w:val="bottom"/>
          </w:tcPr>
          <w:p>
            <w:pPr>
              <w:jc w:val="center"/>
              <w:ind w:right="2703"/>
              <w:spacing w:after="0"/>
              <w:rPr>
                <w:sz w:val="20"/>
                <w:szCs w:val="20"/>
                <w:color w:val="auto"/>
              </w:rPr>
            </w:pPr>
            <w:r>
              <w:rPr>
                <w:rFonts w:ascii="Times New Roman" w:cs="Times New Roman" w:eastAsia="Times New Roman" w:hAnsi="Times New Roman"/>
                <w:sz w:val="16"/>
                <w:szCs w:val="16"/>
                <w:b w:val="1"/>
                <w:bCs w:val="1"/>
                <w:color w:val="auto"/>
              </w:rPr>
              <w:t>One Sansome Street, Suite 730, San Francisco, CA</w:t>
            </w:r>
          </w:p>
        </w:tc>
        <w:tc>
          <w:tcPr>
            <w:tcW w:w="2240" w:type="dxa"/>
            <w:vAlign w:val="bottom"/>
          </w:tcPr>
          <w:p>
            <w:pPr>
              <w:jc w:val="right"/>
              <w:ind w:right="763"/>
              <w:spacing w:after="0"/>
              <w:rPr>
                <w:sz w:val="20"/>
                <w:szCs w:val="20"/>
                <w:color w:val="auto"/>
              </w:rPr>
            </w:pPr>
            <w:r>
              <w:rPr>
                <w:rFonts w:ascii="Times New Roman" w:cs="Times New Roman" w:eastAsia="Times New Roman" w:hAnsi="Times New Roman"/>
                <w:sz w:val="16"/>
                <w:szCs w:val="16"/>
                <w:b w:val="1"/>
                <w:bCs w:val="1"/>
                <w:color w:val="auto"/>
              </w:rPr>
              <w:t>94104</w:t>
            </w:r>
          </w:p>
        </w:tc>
      </w:tr>
      <w:tr>
        <w:trPr>
          <w:trHeight w:val="226"/>
        </w:trPr>
        <w:tc>
          <w:tcPr>
            <w:tcW w:w="6260" w:type="dxa"/>
            <w:vAlign w:val="bottom"/>
          </w:tcPr>
          <w:p>
            <w:pPr>
              <w:jc w:val="center"/>
              <w:ind w:right="2703"/>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240" w:type="dxa"/>
            <w:vAlign w:val="bottom"/>
          </w:tcPr>
          <w:p>
            <w:pPr>
              <w:jc w:val="center"/>
              <w:ind w:left="63"/>
              <w:spacing w:after="0"/>
              <w:rPr>
                <w:sz w:val="20"/>
                <w:szCs w:val="20"/>
                <w:color w:val="auto"/>
              </w:rPr>
            </w:pPr>
            <w:r>
              <w:rPr>
                <w:rFonts w:ascii="Times New Roman" w:cs="Times New Roman" w:eastAsia="Times New Roman" w:hAnsi="Times New Roman"/>
                <w:sz w:val="14"/>
                <w:szCs w:val="14"/>
                <w:color w:val="auto"/>
              </w:rPr>
              <w:t>(Zip Code)</w:t>
            </w:r>
          </w:p>
        </w:tc>
      </w:tr>
      <w:tr>
        <w:trPr>
          <w:trHeight w:val="355"/>
        </w:trPr>
        <w:tc>
          <w:tcPr>
            <w:tcW w:w="6260" w:type="dxa"/>
            <w:vAlign w:val="bottom"/>
          </w:tcPr>
          <w:p>
            <w:pPr>
              <w:jc w:val="right"/>
              <w:ind w:right="1083"/>
              <w:spacing w:after="0"/>
              <w:rPr>
                <w:sz w:val="20"/>
                <w:szCs w:val="20"/>
                <w:color w:val="auto"/>
              </w:rPr>
            </w:pPr>
            <w:r>
              <w:rPr>
                <w:rFonts w:ascii="Times New Roman" w:cs="Times New Roman" w:eastAsia="Times New Roman" w:hAnsi="Times New Roman"/>
                <w:sz w:val="16"/>
                <w:szCs w:val="16"/>
                <w:b w:val="1"/>
                <w:bCs w:val="1"/>
                <w:color w:val="auto"/>
              </w:rPr>
              <w:t>(650) 235-4769</w:t>
            </w:r>
          </w:p>
        </w:tc>
        <w:tc>
          <w:tcPr>
            <w:tcW w:w="2240" w:type="dxa"/>
            <w:vAlign w:val="bottom"/>
          </w:tcPr>
          <w:p>
            <w:pPr>
              <w:spacing w:after="0"/>
              <w:rPr>
                <w:sz w:val="24"/>
                <w:szCs w:val="24"/>
                <w:color w:val="auto"/>
              </w:rPr>
            </w:pPr>
          </w:p>
        </w:tc>
      </w:tr>
      <w:tr>
        <w:trPr>
          <w:trHeight w:val="226"/>
        </w:trPr>
        <w:tc>
          <w:tcPr>
            <w:tcW w:w="6260" w:type="dxa"/>
            <w:vAlign w:val="bottom"/>
          </w:tcPr>
          <w:p>
            <w:pPr>
              <w:jc w:val="center"/>
              <w:ind w:left="2863"/>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2240" w:type="dxa"/>
            <w:vAlign w:val="bottom"/>
          </w:tcPr>
          <w:p>
            <w:pPr>
              <w:spacing w:after="0"/>
              <w:rPr>
                <w:sz w:val="19"/>
                <w:szCs w:val="19"/>
                <w:color w:val="auto"/>
              </w:rPr>
            </w:pPr>
          </w:p>
        </w:tc>
      </w:tr>
    </w:tbl>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20" w:type="dxa"/>
            <w:vAlign w:val="bottom"/>
          </w:tcPr>
          <w:p>
            <w:pPr>
              <w:spacing w:after="0"/>
              <w:rPr>
                <w:sz w:val="16"/>
                <w:szCs w:val="16"/>
                <w:color w:val="auto"/>
              </w:rPr>
            </w:pPr>
          </w:p>
        </w:tc>
        <w:tc>
          <w:tcPr>
            <w:tcW w:w="4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6"/>
        </w:trPr>
        <w:tc>
          <w:tcPr>
            <w:tcW w:w="43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2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SSSS</w:t>
            </w:r>
          </w:p>
        </w:tc>
        <w:tc>
          <w:tcPr>
            <w:tcW w:w="4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Capital Market</w:t>
            </w:r>
          </w:p>
        </w:tc>
      </w:tr>
    </w:tbl>
    <w:p>
      <w:pPr>
        <w:spacing w:after="0" w:line="208" w:lineRule="exact"/>
        <w:rPr>
          <w:sz w:val="24"/>
          <w:szCs w:val="24"/>
          <w:color w:val="auto"/>
        </w:rPr>
      </w:pPr>
    </w:p>
    <w:p>
      <w:pPr>
        <w:ind w:right="220" w:firstLine="351"/>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periods as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151" w:lineRule="exact"/>
        <w:rPr>
          <w:sz w:val="24"/>
          <w:szCs w:val="24"/>
          <w:color w:val="auto"/>
        </w:rPr>
      </w:pPr>
    </w:p>
    <w:p>
      <w:pPr>
        <w:ind w:right="240" w:firstLine="351"/>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0" w:lineRule="exact"/>
        <w:rPr>
          <w:sz w:val="24"/>
          <w:szCs w:val="24"/>
          <w:color w:val="auto"/>
        </w:rPr>
      </w:pPr>
    </w:p>
    <w:p>
      <w:pPr>
        <w:ind w:right="180" w:firstLine="351"/>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25" w:right="239" w:bottom="1440" w:gutter="0" w:footer="0" w:header="0"/>
        </w:sectPr>
      </w:pPr>
    </w:p>
    <w:p>
      <w:pPr>
        <w:spacing w:after="0" w:line="124"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 x</w:t>
      </w:r>
    </w:p>
    <w:p>
      <w:pPr>
        <w:spacing w:after="0" w:line="73" w:lineRule="exact"/>
        <w:rPr>
          <w:sz w:val="24"/>
          <w:szCs w:val="24"/>
          <w:color w:val="auto"/>
        </w:rPr>
      </w:pPr>
    </w:p>
    <w:p>
      <w:pPr>
        <w:sectPr>
          <w:pgSz w:w="11900" w:h="16838" w:orient="portrait"/>
          <w:cols w:equalWidth="0" w:num="2">
            <w:col w:w="7180" w:space="720"/>
            <w:col w:w="3520"/>
          </w:cols>
          <w:pgMar w:left="240" w:top="225" w:right="23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6"/>
          <w:szCs w:val="16"/>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Smaller reporting company o</w:t>
      </w:r>
    </w:p>
    <w:p>
      <w:pPr>
        <w:spacing w:after="0" w:line="73" w:lineRule="exact"/>
        <w:rPr>
          <w:sz w:val="24"/>
          <w:szCs w:val="24"/>
          <w:color w:val="auto"/>
        </w:rPr>
      </w:pPr>
    </w:p>
    <w:p>
      <w:pPr>
        <w:sectPr>
          <w:pgSz w:w="11900" w:h="16838" w:orient="portrait"/>
          <w:cols w:equalWidth="0" w:num="2">
            <w:col w:w="7180" w:space="720"/>
            <w:col w:w="3520"/>
          </w:cols>
          <w:pgMar w:left="240" w:top="225" w:right="23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6"/>
          <w:szCs w:val="16"/>
          <w:color w:val="auto"/>
        </w:rPr>
        <w:t>Emerging growth company o</w:t>
      </w:r>
    </w:p>
    <w:p>
      <w:pPr>
        <w:sectPr>
          <w:pgSz w:w="11900" w:h="16838" w:orient="portrait"/>
          <w:cols w:equalWidth="0" w:num="1">
            <w:col w:w="11420"/>
          </w:cols>
          <w:pgMar w:left="240" w:top="225" w:right="239" w:bottom="1440" w:gutter="0" w:footer="0" w:header="0"/>
          <w:type w:val="continuous"/>
        </w:sectPr>
      </w:pPr>
    </w:p>
    <w:p>
      <w:pPr>
        <w:spacing w:after="0" w:line="46" w:lineRule="exact"/>
        <w:rPr>
          <w:sz w:val="24"/>
          <w:szCs w:val="24"/>
          <w:color w:val="auto"/>
        </w:rPr>
      </w:pPr>
    </w:p>
    <w:p>
      <w:pPr>
        <w:ind w:right="400" w:firstLine="351"/>
        <w:spacing w:after="0" w:line="281"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10" w:lineRule="exact"/>
        <w:rPr>
          <w:sz w:val="24"/>
          <w:szCs w:val="24"/>
          <w:color w:val="auto"/>
        </w:rPr>
      </w:pPr>
    </w:p>
    <w:p>
      <w:pPr>
        <w:ind w:left="34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x</w:t>
      </w:r>
    </w:p>
    <w:p>
      <w:pPr>
        <w:spacing w:after="0" w:line="22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color w:val="auto"/>
        </w:rPr>
        <w:t>The issuer had 19,646,846 shares of common stock, $0.01 par value per share, outstanding as of August 8,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337820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 w:name="page2"/>
    <w:bookmarkEnd w:id="1"/>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SUTTER ROCK CAPITAL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4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49"/>
        </w:trPr>
        <w:tc>
          <w:tcPr>
            <w:tcW w:w="10680" w:type="dxa"/>
            <w:vAlign w:val="bottom"/>
            <w:tcBorders>
              <w:bottom w:val="single" w:sz="8" w:color="CCEEFF"/>
            </w:tcBorders>
            <w:gridSpan w:val="2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980" w:type="dxa"/>
            <w:vAlign w:val="bottom"/>
            <w:gridSpan w:val="5"/>
          </w:tcPr>
          <w:p>
            <w:pPr>
              <w:ind w:left="20"/>
              <w:spacing w:after="0" w:line="202" w:lineRule="exact"/>
              <w:rPr>
                <w:sz w:val="20"/>
                <w:szCs w:val="20"/>
                <w:color w:val="auto"/>
              </w:rPr>
            </w:pPr>
            <w:r>
              <w:rPr>
                <w:rFonts w:ascii="Times New Roman" w:cs="Times New Roman" w:eastAsia="Times New Roman" w:hAnsi="Times New Roman"/>
                <w:sz w:val="18"/>
                <w:szCs w:val="18"/>
                <w:color w:val="0000EE"/>
              </w:rPr>
              <w:t>Item 1.</w:t>
            </w:r>
          </w:p>
        </w:tc>
        <w:tc>
          <w:tcPr>
            <w:tcW w:w="9700" w:type="dxa"/>
            <w:vAlign w:val="bottom"/>
            <w:gridSpan w:val="18"/>
          </w:tcPr>
          <w:p>
            <w:pPr>
              <w:ind w:left="200"/>
              <w:spacing w:after="0" w:line="202"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Financial Statements</w:t>
              </w:r>
            </w:hyperlink>
          </w:p>
        </w:tc>
        <w:tc>
          <w:tcPr>
            <w:tcW w:w="680" w:type="dxa"/>
            <w:vAlign w:val="bottom"/>
            <w:gridSpan w:val="4"/>
          </w:tcPr>
          <w:p>
            <w:pPr>
              <w:jc w:val="right"/>
              <w:ind w:right="40"/>
              <w:spacing w:after="0" w:line="202"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1</w:t>
              </w:r>
            </w:hyperlink>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10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700" w:type="dxa"/>
            <w:vAlign w:val="bottom"/>
            <w:gridSpan w:val="18"/>
            <w:shd w:val="clear" w:color="auto" w:fill="CCEEFF"/>
          </w:tcPr>
          <w:p>
            <w:pPr>
              <w:ind w:left="200"/>
              <w:spacing w:after="0" w:line="202"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Statements of Assets and Liabilities as of June 30, 2019 (Unaudited) and December 31, 2018</w:t>
              </w:r>
            </w:hyperlink>
          </w:p>
        </w:tc>
        <w:tc>
          <w:tcPr>
            <w:tcW w:w="680" w:type="dxa"/>
            <w:vAlign w:val="bottom"/>
            <w:gridSpan w:val="4"/>
            <w:shd w:val="clear" w:color="auto" w:fill="CCEEFF"/>
          </w:tcPr>
          <w:p>
            <w:pPr>
              <w:jc w:val="right"/>
              <w:ind w:right="40"/>
              <w:spacing w:after="0" w:line="202"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1</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1020" w:type="dxa"/>
            <w:vAlign w:val="bottom"/>
            <w:tcBorders>
              <w:top w:val="single" w:sz="8" w:color="0000EE"/>
            </w:tcBorders>
            <w:shd w:val="clear" w:color="auto" w:fill="CCEEFF"/>
          </w:tcPr>
          <w:p>
            <w:pPr>
              <w:spacing w:after="0"/>
              <w:rPr>
                <w:sz w:val="4"/>
                <w:szCs w:val="4"/>
                <w:color w:val="auto"/>
              </w:rPr>
            </w:pPr>
          </w:p>
        </w:tc>
        <w:tc>
          <w:tcPr>
            <w:tcW w:w="100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8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00" w:type="dxa"/>
            <w:vAlign w:val="bottom"/>
            <w:gridSpan w:val="18"/>
          </w:tcPr>
          <w:p>
            <w:pPr>
              <w:ind w:left="200"/>
              <w:spacing w:after="0" w:line="202"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Operations for the Three and Six Months Ended June 30, 2019 and 2018 (Unaudited)</w:t>
              </w:r>
            </w:hyperlink>
          </w:p>
        </w:tc>
        <w:tc>
          <w:tcPr>
            <w:tcW w:w="680" w:type="dxa"/>
            <w:vAlign w:val="bottom"/>
            <w:gridSpan w:val="4"/>
          </w:tcPr>
          <w:p>
            <w:pPr>
              <w:jc w:val="right"/>
              <w:ind w:right="40"/>
              <w:spacing w:after="0" w:line="202"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2</w:t>
              </w:r>
            </w:hyperlink>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700" w:type="dxa"/>
            <w:vAlign w:val="bottom"/>
            <w:gridSpan w:val="18"/>
            <w:shd w:val="clear" w:color="auto" w:fill="CCEEFF"/>
          </w:tcPr>
          <w:p>
            <w:pPr>
              <w:ind w:left="200"/>
              <w:spacing w:after="0" w:line="202"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Changes in Net Assets for the Six Months Ended June 30, 2019 and 2018 (Unaudited)</w:t>
              </w:r>
            </w:hyperlink>
          </w:p>
        </w:tc>
        <w:tc>
          <w:tcPr>
            <w:tcW w:w="680" w:type="dxa"/>
            <w:vAlign w:val="bottom"/>
            <w:gridSpan w:val="4"/>
            <w:shd w:val="clear" w:color="auto" w:fill="CCEEFF"/>
          </w:tcPr>
          <w:p>
            <w:pPr>
              <w:jc w:val="right"/>
              <w:ind w:right="40"/>
              <w:spacing w:after="0" w:line="202"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3</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1020" w:type="dxa"/>
            <w:vAlign w:val="bottom"/>
            <w:tcBorders>
              <w:top w:val="single" w:sz="8" w:color="0000EE"/>
            </w:tcBorders>
            <w:shd w:val="clear" w:color="auto" w:fill="CCEEFF"/>
          </w:tcPr>
          <w:p>
            <w:pPr>
              <w:spacing w:after="0"/>
              <w:rPr>
                <w:sz w:val="4"/>
                <w:szCs w:val="4"/>
                <w:color w:val="auto"/>
              </w:rPr>
            </w:pPr>
          </w:p>
        </w:tc>
        <w:tc>
          <w:tcPr>
            <w:tcW w:w="100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8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00" w:type="dxa"/>
            <w:vAlign w:val="bottom"/>
            <w:gridSpan w:val="18"/>
          </w:tcPr>
          <w:p>
            <w:pPr>
              <w:ind w:left="200"/>
              <w:spacing w:after="0" w:line="202"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Cash Flows for the Six Months Ended June 30, 2019 and 2018 (Unaudited)</w:t>
              </w:r>
            </w:hyperlink>
          </w:p>
        </w:tc>
        <w:tc>
          <w:tcPr>
            <w:tcW w:w="680" w:type="dxa"/>
            <w:vAlign w:val="bottom"/>
            <w:gridSpan w:val="4"/>
          </w:tcPr>
          <w:p>
            <w:pPr>
              <w:jc w:val="right"/>
              <w:ind w:right="40"/>
              <w:spacing w:after="0" w:line="202"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4</w:t>
              </w:r>
            </w:hyperlink>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4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700" w:type="dxa"/>
            <w:vAlign w:val="bottom"/>
            <w:gridSpan w:val="18"/>
            <w:shd w:val="clear" w:color="auto" w:fill="CCEEFF"/>
          </w:tcPr>
          <w:p>
            <w:pPr>
              <w:ind w:left="200"/>
              <w:spacing w:after="0" w:line="202"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Condensed Consolidated Schedule of Investments as of June 30, 2019 (Unaudited)</w:t>
              </w:r>
            </w:hyperlink>
          </w:p>
        </w:tc>
        <w:tc>
          <w:tcPr>
            <w:tcW w:w="680" w:type="dxa"/>
            <w:vAlign w:val="bottom"/>
            <w:gridSpan w:val="4"/>
            <w:shd w:val="clear" w:color="auto" w:fill="CCEEFF"/>
          </w:tcPr>
          <w:p>
            <w:pPr>
              <w:jc w:val="right"/>
              <w:ind w:right="40"/>
              <w:spacing w:after="0" w:line="202"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5</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1020" w:type="dxa"/>
            <w:vAlign w:val="bottom"/>
            <w:tcBorders>
              <w:top w:val="single" w:sz="8" w:color="0000EE"/>
            </w:tcBorders>
            <w:shd w:val="clear" w:color="auto" w:fill="CCEEFF"/>
          </w:tcPr>
          <w:p>
            <w:pPr>
              <w:spacing w:after="0"/>
              <w:rPr>
                <w:sz w:val="4"/>
                <w:szCs w:val="4"/>
                <w:color w:val="auto"/>
              </w:rPr>
            </w:pPr>
          </w:p>
        </w:tc>
        <w:tc>
          <w:tcPr>
            <w:tcW w:w="100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00" w:type="dxa"/>
            <w:vAlign w:val="bottom"/>
            <w:gridSpan w:val="18"/>
          </w:tcPr>
          <w:p>
            <w:pPr>
              <w:ind w:left="200"/>
              <w:spacing w:after="0" w:line="202" w:lineRule="exact"/>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Condensed Consolidated Schedule of Investments as of December 31, 2018</w:t>
              </w:r>
            </w:hyperlink>
          </w:p>
        </w:tc>
        <w:tc>
          <w:tcPr>
            <w:tcW w:w="680" w:type="dxa"/>
            <w:vAlign w:val="bottom"/>
            <w:gridSpan w:val="4"/>
          </w:tcPr>
          <w:p>
            <w:pPr>
              <w:jc w:val="right"/>
              <w:ind w:right="40"/>
              <w:spacing w:after="0" w:line="202" w:lineRule="exact"/>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9</w:t>
              </w:r>
            </w:hyperlink>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700" w:type="dxa"/>
            <w:vAlign w:val="bottom"/>
            <w:gridSpan w:val="18"/>
            <w:shd w:val="clear" w:color="auto" w:fill="CCEEFF"/>
          </w:tcPr>
          <w:p>
            <w:pPr>
              <w:ind w:left="200"/>
              <w:spacing w:after="0" w:line="202" w:lineRule="exact"/>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Notes to Condensed Consolidated Financial Statements as of June 30, 2019 (Unaudited)</w:t>
              </w:r>
            </w:hyperlink>
          </w:p>
        </w:tc>
        <w:tc>
          <w:tcPr>
            <w:tcW w:w="680" w:type="dxa"/>
            <w:vAlign w:val="bottom"/>
            <w:gridSpan w:val="4"/>
            <w:shd w:val="clear" w:color="auto" w:fill="CCEEFF"/>
          </w:tcPr>
          <w:p>
            <w:pPr>
              <w:jc w:val="right"/>
              <w:ind w:right="40"/>
              <w:spacing w:after="0" w:line="202" w:lineRule="exact"/>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14</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1020" w:type="dxa"/>
            <w:vAlign w:val="bottom"/>
            <w:tcBorders>
              <w:top w:val="single" w:sz="8" w:color="0000EE"/>
            </w:tcBorders>
            <w:shd w:val="clear" w:color="auto" w:fill="CCEEFF"/>
          </w:tcPr>
          <w:p>
            <w:pPr>
              <w:spacing w:after="0"/>
              <w:rPr>
                <w:sz w:val="4"/>
                <w:szCs w:val="4"/>
                <w:color w:val="auto"/>
              </w:rPr>
            </w:pPr>
          </w:p>
        </w:tc>
        <w:tc>
          <w:tcPr>
            <w:tcW w:w="100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5"/>
          </w:tcPr>
          <w:p>
            <w:pPr>
              <w:ind w:left="20"/>
              <w:spacing w:after="0" w:line="202" w:lineRule="exact"/>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Item 2.</w:t>
              </w:r>
            </w:hyperlink>
          </w:p>
        </w:tc>
        <w:tc>
          <w:tcPr>
            <w:tcW w:w="9700" w:type="dxa"/>
            <w:vAlign w:val="bottom"/>
            <w:gridSpan w:val="18"/>
          </w:tcPr>
          <w:p>
            <w:pPr>
              <w:ind w:left="200"/>
              <w:spacing w:after="0" w:line="202" w:lineRule="exact"/>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Management’s Discussion and Analysis of Financial Condition and Results of Operations</w:t>
              </w:r>
            </w:hyperlink>
          </w:p>
        </w:tc>
        <w:tc>
          <w:tcPr>
            <w:tcW w:w="680" w:type="dxa"/>
            <w:vAlign w:val="bottom"/>
            <w:gridSpan w:val="4"/>
          </w:tcPr>
          <w:p>
            <w:pPr>
              <w:jc w:val="right"/>
              <w:ind w:right="40"/>
              <w:spacing w:after="0" w:line="202" w:lineRule="exact"/>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55</w:t>
              </w:r>
            </w:hyperlink>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202" w:lineRule="exact"/>
              <w:rPr>
                <w:rFonts w:ascii="Times New Roman" w:cs="Times New Roman" w:eastAsia="Times New Roman" w:hAnsi="Times New Roman"/>
                <w:sz w:val="18"/>
                <w:szCs w:val="18"/>
                <w:color w:val="0000EE"/>
                <w:w w:val="97"/>
              </w:rPr>
            </w:pPr>
            <w:hyperlink w:anchor="page71">
              <w:r>
                <w:rPr>
                  <w:rFonts w:ascii="Times New Roman" w:cs="Times New Roman" w:eastAsia="Times New Roman" w:hAnsi="Times New Roman"/>
                  <w:sz w:val="18"/>
                  <w:szCs w:val="18"/>
                  <w:color w:val="0000EE"/>
                  <w:w w:val="97"/>
                </w:rPr>
                <w:t>Item 3.</w:t>
              </w:r>
            </w:hyperlink>
          </w:p>
        </w:tc>
        <w:tc>
          <w:tcPr>
            <w:tcW w:w="440" w:type="dxa"/>
            <w:vAlign w:val="bottom"/>
            <w:gridSpan w:val="3"/>
            <w:shd w:val="clear" w:color="auto" w:fill="CCEEFF"/>
          </w:tcPr>
          <w:p>
            <w:pPr>
              <w:spacing w:after="0"/>
              <w:rPr>
                <w:sz w:val="17"/>
                <w:szCs w:val="17"/>
                <w:color w:val="auto"/>
              </w:rPr>
            </w:pPr>
          </w:p>
        </w:tc>
        <w:tc>
          <w:tcPr>
            <w:tcW w:w="9700" w:type="dxa"/>
            <w:vAlign w:val="bottom"/>
            <w:gridSpan w:val="18"/>
            <w:shd w:val="clear" w:color="auto" w:fill="CCEEFF"/>
          </w:tcPr>
          <w:p>
            <w:pPr>
              <w:ind w:left="200"/>
              <w:spacing w:after="0" w:line="202" w:lineRule="exact"/>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Quantitative and Qualitative Disclosures About Market Risk</w:t>
              </w:r>
            </w:hyperlink>
          </w:p>
        </w:tc>
        <w:tc>
          <w:tcPr>
            <w:tcW w:w="680" w:type="dxa"/>
            <w:vAlign w:val="bottom"/>
            <w:gridSpan w:val="4"/>
            <w:shd w:val="clear" w:color="auto" w:fill="CCEEFF"/>
          </w:tcPr>
          <w:p>
            <w:pPr>
              <w:jc w:val="right"/>
              <w:ind w:right="40"/>
              <w:spacing w:after="0" w:line="202" w:lineRule="exact"/>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68</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1020" w:type="dxa"/>
            <w:vAlign w:val="bottom"/>
            <w:tcBorders>
              <w:top w:val="single" w:sz="8" w:color="0000EE"/>
            </w:tcBorders>
            <w:shd w:val="clear" w:color="auto" w:fill="CCEEFF"/>
          </w:tcPr>
          <w:p>
            <w:pPr>
              <w:spacing w:after="0"/>
              <w:rPr>
                <w:sz w:val="4"/>
                <w:szCs w:val="4"/>
                <w:color w:val="auto"/>
              </w:rPr>
            </w:pPr>
          </w:p>
        </w:tc>
        <w:tc>
          <w:tcPr>
            <w:tcW w:w="100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line="202" w:lineRule="exact"/>
              <w:rPr>
                <w:rFonts w:ascii="Times New Roman" w:cs="Times New Roman" w:eastAsia="Times New Roman" w:hAnsi="Times New Roman"/>
                <w:sz w:val="18"/>
                <w:szCs w:val="18"/>
                <w:color w:val="0000EE"/>
                <w:w w:val="97"/>
              </w:rPr>
            </w:pPr>
            <w:hyperlink w:anchor="page72">
              <w:r>
                <w:rPr>
                  <w:rFonts w:ascii="Times New Roman" w:cs="Times New Roman" w:eastAsia="Times New Roman" w:hAnsi="Times New Roman"/>
                  <w:sz w:val="18"/>
                  <w:szCs w:val="18"/>
                  <w:color w:val="0000EE"/>
                  <w:w w:val="97"/>
                </w:rPr>
                <w:t>Item 4.</w:t>
              </w:r>
            </w:hyperlink>
          </w:p>
        </w:tc>
        <w:tc>
          <w:tcPr>
            <w:tcW w:w="440" w:type="dxa"/>
            <w:vAlign w:val="bottom"/>
            <w:gridSpan w:val="3"/>
          </w:tcPr>
          <w:p>
            <w:pPr>
              <w:spacing w:after="0"/>
              <w:rPr>
                <w:sz w:val="17"/>
                <w:szCs w:val="17"/>
                <w:color w:val="auto"/>
              </w:rPr>
            </w:pPr>
          </w:p>
        </w:tc>
        <w:tc>
          <w:tcPr>
            <w:tcW w:w="9700" w:type="dxa"/>
            <w:vAlign w:val="bottom"/>
            <w:gridSpan w:val="18"/>
          </w:tcPr>
          <w:p>
            <w:pPr>
              <w:ind w:left="200"/>
              <w:spacing w:after="0" w:line="202"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Controls and Procedures</w:t>
              </w:r>
            </w:hyperlink>
          </w:p>
        </w:tc>
        <w:tc>
          <w:tcPr>
            <w:tcW w:w="680" w:type="dxa"/>
            <w:vAlign w:val="bottom"/>
            <w:gridSpan w:val="4"/>
          </w:tcPr>
          <w:p>
            <w:pPr>
              <w:jc w:val="right"/>
              <w:ind w:right="40"/>
              <w:spacing w:after="0" w:line="202"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69</w:t>
              </w:r>
            </w:hyperlink>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10680" w:type="dxa"/>
            <w:vAlign w:val="bottom"/>
            <w:tcBorders>
              <w:bottom w:val="single" w:sz="8" w:color="CCEEFF"/>
            </w:tcBorders>
            <w:gridSpan w:val="2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980" w:type="dxa"/>
            <w:vAlign w:val="bottom"/>
            <w:gridSpan w:val="5"/>
          </w:tcPr>
          <w:p>
            <w:pPr>
              <w:ind w:left="20"/>
              <w:spacing w:after="0" w:line="202" w:lineRule="exact"/>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Item 1.</w:t>
              </w:r>
            </w:hyperlink>
          </w:p>
        </w:tc>
        <w:tc>
          <w:tcPr>
            <w:tcW w:w="9700" w:type="dxa"/>
            <w:vAlign w:val="bottom"/>
            <w:gridSpan w:val="18"/>
          </w:tcPr>
          <w:p>
            <w:pPr>
              <w:ind w:left="200"/>
              <w:spacing w:after="0" w:line="202" w:lineRule="exact"/>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Legal Proceedings</w:t>
              </w:r>
            </w:hyperlink>
          </w:p>
        </w:tc>
        <w:tc>
          <w:tcPr>
            <w:tcW w:w="680" w:type="dxa"/>
            <w:vAlign w:val="bottom"/>
            <w:gridSpan w:val="4"/>
          </w:tcPr>
          <w:p>
            <w:pPr>
              <w:jc w:val="right"/>
              <w:ind w:right="40"/>
              <w:spacing w:after="0" w:line="202" w:lineRule="exact"/>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70</w:t>
              </w:r>
            </w:hyperlink>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60" w:type="dxa"/>
            <w:vAlign w:val="bottom"/>
            <w:gridSpan w:val="4"/>
            <w:shd w:val="clear" w:color="auto" w:fill="CCEEFF"/>
          </w:tcPr>
          <w:p>
            <w:pPr>
              <w:spacing w:after="0" w:line="202" w:lineRule="exact"/>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Item 1A.</w:t>
              </w:r>
            </w:hyperlink>
          </w:p>
        </w:tc>
        <w:tc>
          <w:tcPr>
            <w:tcW w:w="9700" w:type="dxa"/>
            <w:vAlign w:val="bottom"/>
            <w:gridSpan w:val="18"/>
            <w:shd w:val="clear" w:color="auto" w:fill="CCEEFF"/>
          </w:tcPr>
          <w:p>
            <w:pPr>
              <w:ind w:left="200"/>
              <w:spacing w:after="0" w:line="202" w:lineRule="exact"/>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Risk Factors</w:t>
              </w:r>
            </w:hyperlink>
          </w:p>
        </w:tc>
        <w:tc>
          <w:tcPr>
            <w:tcW w:w="680" w:type="dxa"/>
            <w:vAlign w:val="bottom"/>
            <w:gridSpan w:val="4"/>
            <w:shd w:val="clear" w:color="auto" w:fill="CCEEFF"/>
          </w:tcPr>
          <w:p>
            <w:pPr>
              <w:jc w:val="right"/>
              <w:ind w:right="40"/>
              <w:spacing w:after="0" w:line="202" w:lineRule="exact"/>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70</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640" w:type="dxa"/>
            <w:vAlign w:val="bottom"/>
            <w:gridSpan w:val="2"/>
          </w:tcPr>
          <w:p>
            <w:pPr>
              <w:spacing w:after="0" w:line="202"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Item 2.</w:t>
              </w:r>
            </w:hyperlink>
          </w:p>
        </w:tc>
        <w:tc>
          <w:tcPr>
            <w:tcW w:w="320" w:type="dxa"/>
            <w:vAlign w:val="bottom"/>
            <w:gridSpan w:val="2"/>
          </w:tcPr>
          <w:p>
            <w:pPr>
              <w:spacing w:after="0"/>
              <w:rPr>
                <w:sz w:val="17"/>
                <w:szCs w:val="17"/>
                <w:color w:val="auto"/>
              </w:rPr>
            </w:pPr>
          </w:p>
        </w:tc>
        <w:tc>
          <w:tcPr>
            <w:tcW w:w="9700" w:type="dxa"/>
            <w:vAlign w:val="bottom"/>
            <w:gridSpan w:val="18"/>
          </w:tcPr>
          <w:p>
            <w:pPr>
              <w:ind w:left="200"/>
              <w:spacing w:after="0" w:line="202"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Unregistered Sales of Equity Securities and Use of Proceeds</w:t>
              </w:r>
            </w:hyperlink>
          </w:p>
        </w:tc>
        <w:tc>
          <w:tcPr>
            <w:tcW w:w="680" w:type="dxa"/>
            <w:vAlign w:val="bottom"/>
            <w:gridSpan w:val="4"/>
          </w:tcPr>
          <w:p>
            <w:pPr>
              <w:jc w:val="right"/>
              <w:ind w:right="40"/>
              <w:spacing w:after="0" w:line="202"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72</w:t>
              </w:r>
            </w:hyperlink>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1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202" w:lineRule="exact"/>
              <w:rPr>
                <w:rFonts w:ascii="Times New Roman" w:cs="Times New Roman" w:eastAsia="Times New Roman" w:hAnsi="Times New Roman"/>
                <w:sz w:val="18"/>
                <w:szCs w:val="18"/>
                <w:color w:val="0000EE"/>
                <w:w w:val="97"/>
              </w:rPr>
            </w:pPr>
            <w:hyperlink w:anchor="page76">
              <w:r>
                <w:rPr>
                  <w:rFonts w:ascii="Times New Roman" w:cs="Times New Roman" w:eastAsia="Times New Roman" w:hAnsi="Times New Roman"/>
                  <w:sz w:val="18"/>
                  <w:szCs w:val="18"/>
                  <w:color w:val="0000EE"/>
                  <w:w w:val="97"/>
                </w:rPr>
                <w:t>Item 3.</w:t>
              </w:r>
            </w:hyperlink>
          </w:p>
        </w:tc>
        <w:tc>
          <w:tcPr>
            <w:tcW w:w="440" w:type="dxa"/>
            <w:vAlign w:val="bottom"/>
            <w:gridSpan w:val="3"/>
            <w:shd w:val="clear" w:color="auto" w:fill="CCEEFF"/>
          </w:tcPr>
          <w:p>
            <w:pPr>
              <w:spacing w:after="0"/>
              <w:rPr>
                <w:sz w:val="17"/>
                <w:szCs w:val="17"/>
                <w:color w:val="auto"/>
              </w:rPr>
            </w:pPr>
          </w:p>
        </w:tc>
        <w:tc>
          <w:tcPr>
            <w:tcW w:w="9700" w:type="dxa"/>
            <w:vAlign w:val="bottom"/>
            <w:gridSpan w:val="18"/>
            <w:shd w:val="clear" w:color="auto" w:fill="CCEEFF"/>
          </w:tcPr>
          <w:p>
            <w:pPr>
              <w:ind w:left="200"/>
              <w:spacing w:after="0" w:line="202" w:lineRule="exact"/>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Defaults Upon Senior Securities</w:t>
              </w:r>
            </w:hyperlink>
          </w:p>
        </w:tc>
        <w:tc>
          <w:tcPr>
            <w:tcW w:w="680" w:type="dxa"/>
            <w:vAlign w:val="bottom"/>
            <w:gridSpan w:val="4"/>
            <w:shd w:val="clear" w:color="auto" w:fill="CCEEFF"/>
          </w:tcPr>
          <w:p>
            <w:pPr>
              <w:jc w:val="right"/>
              <w:ind w:right="40"/>
              <w:spacing w:after="0" w:line="202" w:lineRule="exact"/>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73</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line="202" w:lineRule="exact"/>
              <w:rPr>
                <w:rFonts w:ascii="Times New Roman" w:cs="Times New Roman" w:eastAsia="Times New Roman" w:hAnsi="Times New Roman"/>
                <w:sz w:val="18"/>
                <w:szCs w:val="18"/>
                <w:color w:val="0000EE"/>
                <w:w w:val="97"/>
              </w:rPr>
            </w:pPr>
            <w:hyperlink w:anchor="page76">
              <w:r>
                <w:rPr>
                  <w:rFonts w:ascii="Times New Roman" w:cs="Times New Roman" w:eastAsia="Times New Roman" w:hAnsi="Times New Roman"/>
                  <w:sz w:val="18"/>
                  <w:szCs w:val="18"/>
                  <w:color w:val="0000EE"/>
                  <w:w w:val="97"/>
                </w:rPr>
                <w:t>Item 4.</w:t>
              </w:r>
            </w:hyperlink>
          </w:p>
        </w:tc>
        <w:tc>
          <w:tcPr>
            <w:tcW w:w="440" w:type="dxa"/>
            <w:vAlign w:val="bottom"/>
            <w:gridSpan w:val="3"/>
          </w:tcPr>
          <w:p>
            <w:pPr>
              <w:spacing w:after="0"/>
              <w:rPr>
                <w:sz w:val="17"/>
                <w:szCs w:val="17"/>
                <w:color w:val="auto"/>
              </w:rPr>
            </w:pPr>
          </w:p>
        </w:tc>
        <w:tc>
          <w:tcPr>
            <w:tcW w:w="9700" w:type="dxa"/>
            <w:vAlign w:val="bottom"/>
            <w:gridSpan w:val="18"/>
          </w:tcPr>
          <w:p>
            <w:pPr>
              <w:ind w:left="200"/>
              <w:spacing w:after="0" w:line="202" w:lineRule="exact"/>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Mine Safety Disclosures</w:t>
              </w:r>
            </w:hyperlink>
          </w:p>
        </w:tc>
        <w:tc>
          <w:tcPr>
            <w:tcW w:w="680" w:type="dxa"/>
            <w:vAlign w:val="bottom"/>
            <w:gridSpan w:val="4"/>
          </w:tcPr>
          <w:p>
            <w:pPr>
              <w:jc w:val="right"/>
              <w:ind w:right="40"/>
              <w:spacing w:after="0" w:line="202" w:lineRule="exact"/>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73</w:t>
              </w:r>
            </w:hyperlink>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202" w:lineRule="exact"/>
              <w:rPr>
                <w:rFonts w:ascii="Times New Roman" w:cs="Times New Roman" w:eastAsia="Times New Roman" w:hAnsi="Times New Roman"/>
                <w:sz w:val="18"/>
                <w:szCs w:val="18"/>
                <w:color w:val="0000EE"/>
                <w:w w:val="97"/>
              </w:rPr>
            </w:pPr>
            <w:hyperlink w:anchor="page76">
              <w:r>
                <w:rPr>
                  <w:rFonts w:ascii="Times New Roman" w:cs="Times New Roman" w:eastAsia="Times New Roman" w:hAnsi="Times New Roman"/>
                  <w:sz w:val="18"/>
                  <w:szCs w:val="18"/>
                  <w:color w:val="0000EE"/>
                  <w:w w:val="97"/>
                </w:rPr>
                <w:t>Item 5.</w:t>
              </w:r>
            </w:hyperlink>
          </w:p>
        </w:tc>
        <w:tc>
          <w:tcPr>
            <w:tcW w:w="440" w:type="dxa"/>
            <w:vAlign w:val="bottom"/>
            <w:gridSpan w:val="3"/>
            <w:shd w:val="clear" w:color="auto" w:fill="CCEEFF"/>
          </w:tcPr>
          <w:p>
            <w:pPr>
              <w:spacing w:after="0"/>
              <w:rPr>
                <w:sz w:val="17"/>
                <w:szCs w:val="17"/>
                <w:color w:val="auto"/>
              </w:rPr>
            </w:pPr>
          </w:p>
        </w:tc>
        <w:tc>
          <w:tcPr>
            <w:tcW w:w="9700" w:type="dxa"/>
            <w:vAlign w:val="bottom"/>
            <w:gridSpan w:val="18"/>
            <w:shd w:val="clear" w:color="auto" w:fill="CCEEFF"/>
          </w:tcPr>
          <w:p>
            <w:pPr>
              <w:ind w:left="200"/>
              <w:spacing w:after="0" w:line="202" w:lineRule="exact"/>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Other Information</w:t>
              </w:r>
            </w:hyperlink>
          </w:p>
        </w:tc>
        <w:tc>
          <w:tcPr>
            <w:tcW w:w="680" w:type="dxa"/>
            <w:vAlign w:val="bottom"/>
            <w:gridSpan w:val="4"/>
            <w:shd w:val="clear" w:color="auto" w:fill="CCEEFF"/>
          </w:tcPr>
          <w:p>
            <w:pPr>
              <w:jc w:val="right"/>
              <w:ind w:right="40"/>
              <w:spacing w:after="0" w:line="202" w:lineRule="exact"/>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73</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line="202" w:lineRule="exact"/>
              <w:rPr>
                <w:rFonts w:ascii="Times New Roman" w:cs="Times New Roman" w:eastAsia="Times New Roman" w:hAnsi="Times New Roman"/>
                <w:sz w:val="18"/>
                <w:szCs w:val="18"/>
                <w:color w:val="0000EE"/>
                <w:w w:val="97"/>
              </w:rPr>
            </w:pPr>
            <w:hyperlink w:anchor="page77">
              <w:r>
                <w:rPr>
                  <w:rFonts w:ascii="Times New Roman" w:cs="Times New Roman" w:eastAsia="Times New Roman" w:hAnsi="Times New Roman"/>
                  <w:sz w:val="18"/>
                  <w:szCs w:val="18"/>
                  <w:color w:val="0000EE"/>
                  <w:w w:val="97"/>
                </w:rPr>
                <w:t>Item 6.</w:t>
              </w:r>
            </w:hyperlink>
          </w:p>
        </w:tc>
        <w:tc>
          <w:tcPr>
            <w:tcW w:w="440" w:type="dxa"/>
            <w:vAlign w:val="bottom"/>
            <w:gridSpan w:val="3"/>
          </w:tcPr>
          <w:p>
            <w:pPr>
              <w:spacing w:after="0"/>
              <w:rPr>
                <w:sz w:val="17"/>
                <w:szCs w:val="17"/>
                <w:color w:val="auto"/>
              </w:rPr>
            </w:pPr>
          </w:p>
        </w:tc>
        <w:tc>
          <w:tcPr>
            <w:tcW w:w="9700" w:type="dxa"/>
            <w:vAlign w:val="bottom"/>
            <w:gridSpan w:val="18"/>
          </w:tcPr>
          <w:p>
            <w:pPr>
              <w:ind w:left="200"/>
              <w:spacing w:after="0" w:line="202" w:lineRule="exact"/>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Exhibits</w:t>
              </w:r>
            </w:hyperlink>
          </w:p>
        </w:tc>
        <w:tc>
          <w:tcPr>
            <w:tcW w:w="680" w:type="dxa"/>
            <w:vAlign w:val="bottom"/>
            <w:gridSpan w:val="4"/>
          </w:tcPr>
          <w:p>
            <w:pPr>
              <w:jc w:val="right"/>
              <w:ind w:right="40"/>
              <w:spacing w:after="0" w:line="202" w:lineRule="exact"/>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74</w:t>
              </w:r>
            </w:hyperlink>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80" w:type="dxa"/>
            <w:vAlign w:val="bottom"/>
            <w:gridSpan w:val="5"/>
            <w:shd w:val="clear" w:color="auto" w:fill="CCEEFF"/>
          </w:tcPr>
          <w:p>
            <w:pPr>
              <w:ind w:left="20"/>
              <w:spacing w:after="0" w:line="202" w:lineRule="exact"/>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Signatures</w:t>
              </w:r>
            </w:hyperlink>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40"/>
              <w:spacing w:after="0" w:line="202" w:lineRule="exact"/>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75</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-3609975</wp:posOffset>
            </wp:positionV>
            <wp:extent cx="67837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8370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400"/>
          </w:cols>
          <w:pgMar w:left="240" w:top="118" w:right="259" w:bottom="1440" w:gutter="0" w:footer="0" w:header="0"/>
        </w:sectPr>
      </w:pPr>
    </w:p>
    <w:bookmarkStart w:id="2" w:name="page3"/>
    <w:bookmarkEnd w:id="2"/>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ASSETS AND LIABILITIES (UNAUDITED)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26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35"/>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Investments at fair value:</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Non-controlled/non-affiliate investments (cost of $94,545,251 and $105,869,607, respectively)</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169,015,959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170,067,233</w:t>
            </w:r>
          </w:p>
        </w:tc>
        <w:tc>
          <w:tcPr>
            <w:tcW w:w="0" w:type="dxa"/>
            <w:vAlign w:val="bottom"/>
          </w:tcPr>
          <w:p>
            <w:pPr>
              <w:spacing w:after="0"/>
              <w:rPr>
                <w:sz w:val="1"/>
                <w:szCs w:val="1"/>
                <w:color w:val="auto"/>
              </w:rPr>
            </w:pPr>
          </w:p>
        </w:tc>
      </w:tr>
      <w:tr>
        <w:trPr>
          <w:trHeight w:val="237"/>
        </w:trPr>
        <w:tc>
          <w:tcPr>
            <w:tcW w:w="8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Non-controlled/affiliate investments (cost of $29,999,703 and $42,333,854, respectively)</w:t>
            </w: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1,400,349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5,931,863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Controlled investments (cost of $22,963,375 and $22,960,942, respectively)</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12,998,814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22,816,733</w:t>
            </w:r>
          </w:p>
        </w:tc>
        <w:tc>
          <w:tcPr>
            <w:tcW w:w="0" w:type="dxa"/>
            <w:vAlign w:val="bottom"/>
          </w:tcPr>
          <w:p>
            <w:pPr>
              <w:spacing w:after="0"/>
              <w:rPr>
                <w:sz w:val="1"/>
                <w:szCs w:val="1"/>
                <w:color w:val="auto"/>
              </w:rPr>
            </w:pPr>
          </w:p>
        </w:tc>
      </w:tr>
      <w:tr>
        <w:trPr>
          <w:trHeight w:val="217"/>
        </w:trPr>
        <w:tc>
          <w:tcPr>
            <w:tcW w:w="8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Portfolio Investments</w:t>
            </w: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183,415,122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198,815,829</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Investments in U.S. Treasury bills (cost of $99,979,000 and $99,982,067, respectively)</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99,995,000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99,994,000</w:t>
            </w:r>
          </w:p>
        </w:tc>
        <w:tc>
          <w:tcPr>
            <w:tcW w:w="0" w:type="dxa"/>
            <w:vAlign w:val="bottom"/>
          </w:tcPr>
          <w:p>
            <w:pPr>
              <w:spacing w:after="0"/>
              <w:rPr>
                <w:sz w:val="1"/>
                <w:szCs w:val="1"/>
                <w:color w:val="auto"/>
              </w:rPr>
            </w:pPr>
          </w:p>
        </w:tc>
      </w:tr>
      <w:tr>
        <w:trPr>
          <w:trHeight w:val="21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Investments (cost of $247,487,329 and $271,146,470, respectively)</w:t>
            </w: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283,410,122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298,809,829</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54,418,254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28,184,163</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Proceeds receivable</w:t>
            </w: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51,511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Escrow proceeds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2,074,820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2,494,582</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and dividends receivable</w:t>
            </w: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426,995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255,670</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 financing costs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267,541</w:t>
            </w:r>
          </w:p>
        </w:tc>
        <w:tc>
          <w:tcPr>
            <w:tcW w:w="0" w:type="dxa"/>
            <w:vAlign w:val="bottom"/>
          </w:tcPr>
          <w:p>
            <w:pPr>
              <w:spacing w:after="0"/>
              <w:rPr>
                <w:sz w:val="1"/>
                <w:szCs w:val="1"/>
                <w:color w:val="auto"/>
              </w:rPr>
            </w:pPr>
          </w:p>
        </w:tc>
      </w:tr>
      <w:tr>
        <w:trPr>
          <w:trHeight w:val="270"/>
        </w:trPr>
        <w:tc>
          <w:tcPr>
            <w:tcW w:w="8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Prepaid expenses and other assets</w:t>
            </w:r>
            <w:r>
              <w:rPr>
                <w:rFonts w:ascii="Times New Roman" w:cs="Times New Roman" w:eastAsia="Times New Roman" w:hAnsi="Times New Roman"/>
                <w:sz w:val="21"/>
                <w:szCs w:val="21"/>
                <w:color w:val="auto"/>
                <w:vertAlign w:val="superscript"/>
              </w:rPr>
              <w:t>(3)</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1,502,921</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207,769</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341,884,623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330,219,554</w:t>
            </w:r>
          </w:p>
        </w:tc>
        <w:tc>
          <w:tcPr>
            <w:tcW w:w="0" w:type="dxa"/>
            <w:vAlign w:val="bottom"/>
          </w:tcPr>
          <w:p>
            <w:pPr>
              <w:spacing w:after="0"/>
              <w:rPr>
                <w:sz w:val="1"/>
                <w:szCs w:val="1"/>
                <w:color w:val="auto"/>
              </w:rPr>
            </w:pPr>
          </w:p>
        </w:tc>
      </w:tr>
      <w:tr>
        <w:trPr>
          <w:trHeight w:val="217"/>
        </w:trPr>
        <w:tc>
          <w:tcPr>
            <w:tcW w:w="8340" w:type="dxa"/>
            <w:vAlign w:val="bottom"/>
            <w:tcBorders>
              <w:top w:val="single" w:sz="8" w:color="CCEEFF"/>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Accounts payable and accrued expenses</w:t>
            </w:r>
            <w:r>
              <w:rPr>
                <w:rFonts w:ascii="Times New Roman" w:cs="Times New Roman" w:eastAsia="Times New Roman" w:hAnsi="Times New Roman"/>
                <w:sz w:val="21"/>
                <w:szCs w:val="21"/>
                <w:color w:val="auto"/>
                <w:vertAlign w:val="superscript"/>
              </w:rPr>
              <w:t>(3)</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2,189,367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490,687</w:t>
            </w:r>
          </w:p>
        </w:tc>
        <w:tc>
          <w:tcPr>
            <w:tcW w:w="0" w:type="dxa"/>
            <w:vAlign w:val="bottom"/>
          </w:tcPr>
          <w:p>
            <w:pPr>
              <w:spacing w:after="0"/>
              <w:rPr>
                <w:sz w:val="1"/>
                <w:szCs w:val="1"/>
                <w:color w:val="auto"/>
              </w:rPr>
            </w:pPr>
          </w:p>
        </w:tc>
      </w:tr>
      <w:tr>
        <w:trPr>
          <w:trHeight w:val="270"/>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Accrued incentive fees, net of waiver of incentive fees</w:t>
            </w:r>
            <w:r>
              <w:rPr>
                <w:rFonts w:ascii="Times New Roman" w:cs="Times New Roman" w:eastAsia="Times New Roman" w:hAnsi="Times New Roman"/>
                <w:sz w:val="21"/>
                <w:szCs w:val="21"/>
                <w:color w:val="auto"/>
                <w:vertAlign w:val="superscript"/>
              </w:rPr>
              <w:t>(1)</w:t>
            </w:r>
          </w:p>
        </w:tc>
        <w:tc>
          <w:tcPr>
            <w:tcW w:w="300" w:type="dxa"/>
            <w:vAlign w:val="bottom"/>
          </w:tcPr>
          <w:p>
            <w:pPr>
              <w:spacing w:after="0"/>
              <w:rPr>
                <w:sz w:val="23"/>
                <w:szCs w:val="23"/>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4,660,472</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Accrued management fees, net of waiver of management fees</w:t>
            </w:r>
            <w:r>
              <w:rPr>
                <w:rFonts w:ascii="Times New Roman" w:cs="Times New Roman" w:eastAsia="Times New Roman" w:hAnsi="Times New Roman"/>
                <w:sz w:val="21"/>
                <w:szCs w:val="21"/>
                <w:color w:val="auto"/>
                <w:vertAlign w:val="superscript"/>
              </w:rPr>
              <w:t>(1)</w:t>
            </w:r>
          </w:p>
        </w:tc>
        <w:tc>
          <w:tcPr>
            <w:tcW w:w="30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415,056</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Accrued interest payable</w:t>
            </w: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475,000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475,000</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Payable for securities purchased</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89,477,652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89,480,103</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Deferred tax liability</w:t>
            </w:r>
          </w:p>
        </w:tc>
        <w:tc>
          <w:tcPr>
            <w:tcW w:w="30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885,566</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4.75% Convertible Senior Notes due March 28, 2023</w:t>
            </w:r>
            <w:r>
              <w:rPr>
                <w:rFonts w:ascii="Times New Roman" w:cs="Times New Roman" w:eastAsia="Times New Roman" w:hAnsi="Times New Roman"/>
                <w:sz w:val="21"/>
                <w:szCs w:val="21"/>
                <w:color w:val="auto"/>
                <w:vertAlign w:val="superscript"/>
              </w:rPr>
              <w:t>(2)</w:t>
            </w:r>
          </w:p>
        </w:tc>
        <w:tc>
          <w:tcPr>
            <w:tcW w:w="3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38,617,556</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38,434,511</w:t>
            </w:r>
          </w:p>
        </w:tc>
        <w:tc>
          <w:tcPr>
            <w:tcW w:w="0" w:type="dxa"/>
            <w:vAlign w:val="bottom"/>
          </w:tcPr>
          <w:p>
            <w:pPr>
              <w:spacing w:after="0"/>
              <w:rPr>
                <w:sz w:val="1"/>
                <w:szCs w:val="1"/>
                <w:color w:val="auto"/>
              </w:rPr>
            </w:pPr>
          </w:p>
        </w:tc>
      </w:tr>
      <w:tr>
        <w:trPr>
          <w:trHeight w:val="21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300" w:type="dxa"/>
            <w:vAlign w:val="bottom"/>
          </w:tcPr>
          <w:p>
            <w:pPr>
              <w:spacing w:after="0"/>
              <w:rPr>
                <w:sz w:val="18"/>
                <w:szCs w:val="18"/>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130,759,575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134,841,395</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Commitments and contingencies (Notes 7 and 10)</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8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211,125,048</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195,378,159</w:t>
            </w:r>
          </w:p>
        </w:tc>
        <w:tc>
          <w:tcPr>
            <w:tcW w:w="0" w:type="dxa"/>
            <w:vAlign w:val="bottom"/>
          </w:tcPr>
          <w:p>
            <w:pPr>
              <w:spacing w:after="0"/>
              <w:rPr>
                <w:sz w:val="1"/>
                <w:szCs w:val="1"/>
                <w:color w:val="auto"/>
              </w:rPr>
            </w:pPr>
          </w:p>
        </w:tc>
      </w:tr>
      <w:tr>
        <w:trPr>
          <w:trHeight w:val="22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3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Common stock, par value $0.01 per share (100,000,000 authorized; 19,646,846 and 19,762,647 issued and outstanding,</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respectively)</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196,468</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197,626</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Paid-in capital in excess of par</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191,586,438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192,322,399</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Accumulated net investment loss</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(18,413,823)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(16,228,294)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Accumulated net realized gain/(loss) on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1,833,175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(7,691,365)</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Accumulated net unrealized appreciation of investments</w:t>
            </w: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35,922,790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26,777,793</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211,125,048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195,378,159</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Net Asset Value Per Share</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10.75</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9.89</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3620"/>
              <w:spacing w:after="0"/>
              <w:rPr>
                <w:sz w:val="20"/>
                <w:szCs w:val="20"/>
                <w:color w:val="auto"/>
              </w:rPr>
            </w:pPr>
            <w:r>
              <w:rPr>
                <w:rFonts w:ascii="Times New Roman" w:cs="Times New Roman" w:eastAsia="Times New Roman" w:hAnsi="Times New Roman"/>
                <w:sz w:val="14"/>
                <w:szCs w:val="14"/>
                <w:i w:val="1"/>
                <w:iCs w:val="1"/>
                <w:color w:val="auto"/>
              </w:rPr>
              <w:t>See accompanying notes to condensed consolidated financial statements.</w:t>
            </w: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83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8340" w:type="dxa"/>
            <w:vAlign w:val="bottom"/>
          </w:tcPr>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w:t>
            </w: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52914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914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-2068830</wp:posOffset>
            </wp:positionV>
            <wp:extent cx="52914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914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-5156200</wp:posOffset>
            </wp:positionV>
            <wp:extent cx="52914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914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-6184900</wp:posOffset>
            </wp:positionV>
            <wp:extent cx="52914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91455" cy="8890"/>
                    </a:xfrm>
                    <a:prstGeom prst="rect">
                      <a:avLst/>
                    </a:prstGeom>
                    <a:noFill/>
                  </pic:spPr>
                </pic:pic>
              </a:graphicData>
            </a:graphic>
          </wp:anchor>
        </w:drawing>
      </w:r>
    </w:p>
    <w:p>
      <w:pPr>
        <w:ind w:left="340" w:hanging="332"/>
        <w:spacing w:after="0"/>
        <w:tabs>
          <w:tab w:leader="none" w:pos="3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balance references a related-party transaction. Refer to “Note 3—Related-Party Arrangements” for more detail.</w:t>
      </w:r>
    </w:p>
    <w:p>
      <w:pPr>
        <w:spacing w:after="0" w:line="5" w:lineRule="exact"/>
        <w:rPr>
          <w:rFonts w:ascii="Times New Roman" w:cs="Times New Roman" w:eastAsia="Times New Roman" w:hAnsi="Times New Roman"/>
          <w:sz w:val="16"/>
          <w:szCs w:val="16"/>
          <w:color w:val="auto"/>
        </w:rPr>
      </w:pPr>
    </w:p>
    <w:p>
      <w:pPr>
        <w:ind w:left="340" w:hanging="332"/>
        <w:spacing w:after="0" w:line="246" w:lineRule="auto"/>
        <w:tabs>
          <w:tab w:leader="none" w:pos="3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June 30, 2019 and December 31, 2018, the 4.75% Convertible Senior Notes due March 28, 2023 had a face value of $40,000,000. Refer to “Note 10—Debt Capital Activities” for a reconciliation of the carrying value to the face value.</w:t>
      </w:r>
    </w:p>
    <w:p>
      <w:pPr>
        <w:ind w:left="340" w:hanging="332"/>
        <w:spacing w:after="0" w:line="257" w:lineRule="auto"/>
        <w:tabs>
          <w:tab w:leader="none" w:pos="3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balance includes a right of use asset and corresponding operating lease liability, respectively. Refer to "Note 7—Commitments and Contingencies—O</w:t>
      </w:r>
      <w:r>
        <w:rPr>
          <w:rFonts w:ascii="Times New Roman" w:cs="Times New Roman" w:eastAsia="Times New Roman" w:hAnsi="Times New Roman"/>
          <w:sz w:val="16"/>
          <w:szCs w:val="16"/>
          <w:i w:val="1"/>
          <w:iCs w:val="1"/>
          <w:color w:val="auto"/>
        </w:rPr>
        <w:t>perating Leases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and Related Deposits</w:t>
      </w:r>
      <w:r>
        <w:rPr>
          <w:rFonts w:ascii="Times New Roman" w:cs="Times New Roman" w:eastAsia="Times New Roman" w:hAnsi="Times New Roman"/>
          <w:sz w:val="16"/>
          <w:szCs w:val="16"/>
          <w:color w:val="auto"/>
        </w:rPr>
        <w:t>" for more detail.</w:t>
      </w:r>
    </w:p>
    <w:p>
      <w:pPr>
        <w:sectPr>
          <w:pgSz w:w="11900" w:h="16838" w:orient="portrait"/>
          <w:cols w:equalWidth="0" w:num="1">
            <w:col w:w="11420"/>
          </w:cols>
          <w:pgMar w:left="240" w:top="118"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8" w:right="239" w:bottom="1440" w:gutter="0" w:footer="0" w:header="0"/>
          <w:type w:val="continuous"/>
        </w:sectPr>
      </w:pPr>
    </w:p>
    <w:bookmarkStart w:id="3" w:name="page4"/>
    <w:bookmarkEnd w:id="3"/>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SUTTER ROCK CAPITAL CORP. AND SUBSIDIARIES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0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6"/>
                <w:szCs w:val="16"/>
                <w:color w:val="auto"/>
              </w:rPr>
            </w:pPr>
          </w:p>
        </w:tc>
        <w:tc>
          <w:tcPr>
            <w:tcW w:w="2520" w:type="dxa"/>
            <w:vAlign w:val="bottom"/>
            <w:gridSpan w:val="4"/>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56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INVESTMENT INCOME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Non-controlled/non-affiliate investments:</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Interest income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198,175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8,932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336,672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10,612</w:t>
            </w: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Non-controlled/affiliate investments:</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60,127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221,813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119,593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455,895</w:t>
            </w: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Controlled investments:</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29,650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11,328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58,937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24,901</w:t>
            </w:r>
          </w:p>
        </w:tc>
      </w:tr>
      <w:tr>
        <w:trPr>
          <w:trHeight w:val="237"/>
        </w:trPr>
        <w:tc>
          <w:tcPr>
            <w:tcW w:w="5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Dividend income</w:t>
            </w:r>
          </w:p>
        </w:tc>
        <w:tc>
          <w:tcPr>
            <w:tcW w:w="3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200,000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350,000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200,000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350,000</w:t>
            </w:r>
          </w:p>
        </w:tc>
      </w:tr>
      <w:tr>
        <w:trPr>
          <w:trHeight w:val="33"/>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 Investment Income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487,952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592,073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715,202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841,408</w:t>
            </w:r>
          </w:p>
        </w:tc>
      </w:tr>
      <w:tr>
        <w:trPr>
          <w:trHeight w:val="231"/>
        </w:trPr>
        <w:tc>
          <w:tcPr>
            <w:tcW w:w="5620" w:type="dxa"/>
            <w:vAlign w:val="bottom"/>
            <w:tcBorders>
              <w:top w:val="single" w:sz="8" w:color="CCEEFF"/>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Management fees</w:t>
            </w:r>
            <w:r>
              <w:rPr>
                <w:rFonts w:ascii="Times New Roman" w:cs="Times New Roman" w:eastAsia="Times New Roman" w:hAnsi="Times New Roman"/>
                <w:sz w:val="21"/>
                <w:szCs w:val="21"/>
                <w:color w:val="auto"/>
                <w:vertAlign w:val="superscript"/>
              </w:rPr>
              <w:t>(1)</w:t>
            </w:r>
          </w:p>
        </w:tc>
        <w:tc>
          <w:tcPr>
            <w:tcW w:w="30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1,286,066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848,723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2,609,642</w:t>
            </w:r>
          </w:p>
        </w:tc>
      </w:tr>
      <w:tr>
        <w:trPr>
          <w:trHeight w:val="270"/>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Incentive fees/(Reversal of Incentive fee accrual)</w:t>
            </w:r>
            <w:r>
              <w:rPr>
                <w:rFonts w:ascii="Times New Roman" w:cs="Times New Roman" w:eastAsia="Times New Roman" w:hAnsi="Times New Roman"/>
                <w:sz w:val="21"/>
                <w:szCs w:val="21"/>
                <w:color w:val="auto"/>
                <w:vertAlign w:val="superscript"/>
              </w:rPr>
              <w:t>(1)</w:t>
            </w:r>
          </w:p>
        </w:tc>
        <w:tc>
          <w:tcPr>
            <w:tcW w:w="300" w:type="dxa"/>
            <w:vAlign w:val="bottom"/>
          </w:tcPr>
          <w:p>
            <w:pPr>
              <w:spacing w:after="0"/>
              <w:rPr>
                <w:sz w:val="23"/>
                <w:szCs w:val="23"/>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2,588,085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(4,660,472)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4,059,419</w:t>
            </w:r>
          </w:p>
        </w:tc>
      </w:tr>
      <w:tr>
        <w:trPr>
          <w:trHeight w:val="270"/>
        </w:trPr>
        <w:tc>
          <w:tcPr>
            <w:tcW w:w="5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Costs incurred under Administration Agreement</w:t>
            </w:r>
            <w:r>
              <w:rPr>
                <w:rFonts w:ascii="Times New Roman" w:cs="Times New Roman" w:eastAsia="Times New Roman" w:hAnsi="Times New Roman"/>
                <w:sz w:val="21"/>
                <w:szCs w:val="21"/>
                <w:color w:val="auto"/>
                <w:vertAlign w:val="superscript"/>
              </w:rPr>
              <w:t>(1)</w:t>
            </w:r>
          </w:p>
        </w:tc>
        <w:tc>
          <w:tcPr>
            <w:tcW w:w="30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397,113</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306,084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821,258</w:t>
            </w: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Directors’ fees</w:t>
            </w:r>
          </w:p>
        </w:tc>
        <w:tc>
          <w:tcPr>
            <w:tcW w:w="3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86,250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86,250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172,500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172,500</w:t>
            </w:r>
          </w:p>
        </w:tc>
      </w:tr>
      <w:tr>
        <w:trPr>
          <w:trHeight w:val="33"/>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Professional fees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1,310,028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326,798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3,371,950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666,696</w:t>
            </w: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600,205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1,473,695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1,204,373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2,613,758</w:t>
            </w:r>
          </w:p>
        </w:tc>
      </w:tr>
      <w:tr>
        <w:trPr>
          <w:trHeight w:val="33"/>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469,944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632,108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tax expense</w:t>
            </w:r>
          </w:p>
        </w:tc>
        <w:tc>
          <w:tcPr>
            <w:tcW w:w="3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29,949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26,229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33,712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148,499</w:t>
            </w:r>
          </w:p>
        </w:tc>
      </w:tr>
      <w:tr>
        <w:trPr>
          <w:trHeight w:val="33"/>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expenses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796,807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160,036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991,753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649,306</w:t>
            </w:r>
          </w:p>
        </w:tc>
      </w:tr>
      <w:tr>
        <w:trPr>
          <w:trHeight w:val="217"/>
        </w:trPr>
        <w:tc>
          <w:tcPr>
            <w:tcW w:w="5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3,293,183</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6,344,272</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2,900,731</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11,741,078</w:t>
            </w:r>
          </w:p>
        </w:tc>
      </w:tr>
      <w:tr>
        <w:trPr>
          <w:trHeight w:val="33"/>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84"/>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Management fee waiver</w:t>
            </w:r>
            <w:r>
              <w:rPr>
                <w:rFonts w:ascii="Times New Roman" w:cs="Times New Roman" w:eastAsia="Times New Roman" w:hAnsi="Times New Roman"/>
                <w:sz w:val="21"/>
                <w:szCs w:val="21"/>
                <w:color w:val="auto"/>
                <w:vertAlign w:val="superscript"/>
              </w:rPr>
              <w:t>(1)</w:t>
            </w:r>
          </w:p>
        </w:tc>
        <w:tc>
          <w:tcPr>
            <w:tcW w:w="30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(335,403)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(490,347)</w:t>
            </w:r>
          </w:p>
        </w:tc>
      </w:tr>
      <w:tr>
        <w:trPr>
          <w:trHeight w:val="257"/>
        </w:trPr>
        <w:tc>
          <w:tcPr>
            <w:tcW w:w="56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Incentive fee waiver</w:t>
            </w:r>
            <w:r>
              <w:rPr>
                <w:rFonts w:ascii="Times New Roman" w:cs="Times New Roman" w:eastAsia="Times New Roman" w:hAnsi="Times New Roman"/>
                <w:sz w:val="21"/>
                <w:szCs w:val="21"/>
                <w:color w:val="auto"/>
                <w:vertAlign w:val="superscript"/>
              </w:rPr>
              <w:t>(1)</w:t>
            </w:r>
          </w:p>
        </w:tc>
        <w:tc>
          <w:tcPr>
            <w:tcW w:w="300" w:type="dxa"/>
            <w:vAlign w:val="bottom"/>
          </w:tcPr>
          <w:p>
            <w:pPr>
              <w:spacing w:after="0"/>
              <w:rPr>
                <w:sz w:val="22"/>
                <w:szCs w:val="22"/>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(5,000,000)</w:t>
            </w:r>
          </w:p>
        </w:tc>
      </w:tr>
      <w:tr>
        <w:trPr>
          <w:trHeight w:val="230"/>
        </w:trPr>
        <w:tc>
          <w:tcPr>
            <w:tcW w:w="56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operating expenses, net of waiver of management and incentive fees</w:t>
            </w: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3,293,183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6,008,869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2,900,731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6,250,731</w:t>
            </w:r>
          </w:p>
        </w:tc>
      </w:tr>
      <w:tr>
        <w:trPr>
          <w:trHeight w:val="237"/>
        </w:trPr>
        <w:tc>
          <w:tcPr>
            <w:tcW w:w="56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Net Investment Loss</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(2,805,231)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(5,416,796)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(2,185,529)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(5,409,323)</w:t>
            </w:r>
          </w:p>
        </w:tc>
      </w:tr>
      <w:tr>
        <w:trPr>
          <w:trHeight w:val="33"/>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Realized Gains/(Losses) on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Non-controlled/non-affiliated investments</w:t>
            </w:r>
          </w:p>
        </w:tc>
        <w:tc>
          <w:tcPr>
            <w:tcW w:w="3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13,590,233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3,363,333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21,859,371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2,587,288</w:t>
            </w:r>
          </w:p>
        </w:tc>
      </w:tr>
      <w:tr>
        <w:trPr>
          <w:trHeight w:val="33"/>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Non-controlled/affiliate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(12,334,831)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w:t>
            </w: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Controlled investments</w:t>
            </w:r>
          </w:p>
        </w:tc>
        <w:tc>
          <w:tcPr>
            <w:tcW w:w="30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Net Realized Gain on Investments</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13,590,233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3,363,333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9,524,540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2,586,608</w:t>
            </w:r>
          </w:p>
        </w:tc>
      </w:tr>
      <w:tr>
        <w:trPr>
          <w:trHeight w:val="237"/>
        </w:trPr>
        <w:tc>
          <w:tcPr>
            <w:tcW w:w="5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Realized loss on partial repurchase of 5.25% Convertible Senior Notes due 2018</w:t>
            </w:r>
          </w:p>
        </w:tc>
        <w:tc>
          <w:tcPr>
            <w:tcW w:w="30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(397,846)</w:t>
            </w:r>
          </w:p>
        </w:tc>
      </w:tr>
      <w:tr>
        <w:trPr>
          <w:trHeight w:val="33"/>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Change in Unrealized Appreciation/(Depreciation) of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Non-controlled/non-affiliated investments</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(6,751,196)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10,555,021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10,277,147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20,409,685</w:t>
            </w:r>
          </w:p>
        </w:tc>
      </w:tr>
      <w:tr>
        <w:trPr>
          <w:trHeight w:val="33"/>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Non-controlled/affiliate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(1,220,012)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(952,635)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7,802,636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(8,628,965)</w:t>
            </w: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Controlled investments</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(4,469,112)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270,209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(9,820,352)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6,225,269</w:t>
            </w:r>
          </w:p>
        </w:tc>
      </w:tr>
      <w:tr>
        <w:trPr>
          <w:trHeight w:val="33"/>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Net Change in Unrealized Appreciation/(Depreciation) of Investments</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(12,440,320)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9,872,595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8,259,431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18,005,989</w:t>
            </w:r>
          </w:p>
        </w:tc>
      </w:tr>
      <w:tr>
        <w:trPr>
          <w:trHeight w:val="237"/>
        </w:trPr>
        <w:tc>
          <w:tcPr>
            <w:tcW w:w="56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Benefit from taxes on unrealized depreciation of investments</w:t>
            </w:r>
          </w:p>
        </w:tc>
        <w:tc>
          <w:tcPr>
            <w:tcW w:w="3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979,713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1,010,871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885,566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1,010,871</w:t>
            </w:r>
          </w:p>
        </w:tc>
      </w:tr>
      <w:tr>
        <w:trPr>
          <w:trHeight w:val="33"/>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4"/>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Net Change in Net Assets Resulting from Operations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(675,605)</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8,830,003</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16,484,008</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15,796,299</w:t>
            </w:r>
          </w:p>
        </w:tc>
      </w:tr>
      <w:tr>
        <w:trPr>
          <w:trHeight w:val="224"/>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Net Change in Net Assets Resulting from Operations per Common Share:</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3"/>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0.42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0.75</w:t>
            </w: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84"/>
        </w:trPr>
        <w:tc>
          <w:tcPr>
            <w:tcW w:w="56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Diluted</w:t>
            </w:r>
            <w:r>
              <w:rPr>
                <w:rFonts w:ascii="Times New Roman" w:cs="Times New Roman" w:eastAsia="Times New Roman" w:hAnsi="Times New Roman"/>
                <w:sz w:val="21"/>
                <w:szCs w:val="21"/>
                <w:color w:val="auto"/>
                <w:vertAlign w:val="superscript"/>
              </w:rPr>
              <w:t>(2)</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0.35</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0.75</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0.66</w:t>
            </w:r>
          </w:p>
        </w:tc>
      </w:tr>
      <w:tr>
        <w:trPr>
          <w:trHeight w:val="217"/>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Weighted-Average Common Shares Outstanding</w:t>
            </w:r>
          </w:p>
        </w:tc>
        <w:tc>
          <w:tcPr>
            <w:tcW w:w="3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37"/>
        </w:trPr>
        <w:tc>
          <w:tcPr>
            <w:tcW w:w="5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19,719,706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20,968,850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19,741,058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21,059,254</w:t>
            </w:r>
          </w:p>
        </w:tc>
      </w:tr>
      <w:tr>
        <w:trPr>
          <w:trHeight w:val="296"/>
        </w:trPr>
        <w:tc>
          <w:tcPr>
            <w:tcW w:w="5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Diluted</w:t>
            </w:r>
            <w:r>
              <w:rPr>
                <w:rFonts w:ascii="Times New Roman" w:cs="Times New Roman" w:eastAsia="Times New Roman" w:hAnsi="Times New Roman"/>
                <w:sz w:val="21"/>
                <w:szCs w:val="21"/>
                <w:color w:val="auto"/>
                <w:vertAlign w:val="superscript"/>
              </w:rPr>
              <w:t>(2)</w:t>
            </w:r>
          </w:p>
        </w:tc>
        <w:tc>
          <w:tcPr>
            <w:tcW w:w="300" w:type="dxa"/>
            <w:vAlign w:val="bottom"/>
          </w:tcPr>
          <w:p>
            <w:pPr>
              <w:spacing w:after="0"/>
              <w:rPr>
                <w:sz w:val="24"/>
                <w:szCs w:val="24"/>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19,719,706</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28,866,674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23,472,402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28,866,674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-3305175</wp:posOffset>
            </wp:positionV>
            <wp:extent cx="35591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59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-6057900</wp:posOffset>
            </wp:positionV>
            <wp:extent cx="35591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condensed consolidated financial statements.</w:t>
      </w:r>
    </w:p>
    <w:p>
      <w:pPr>
        <w:spacing w:after="0" w:line="217" w:lineRule="auto"/>
        <w:rPr>
          <w:sz w:val="20"/>
          <w:szCs w:val="20"/>
          <w:color w:val="auto"/>
        </w:rPr>
      </w:pPr>
      <w:r>
        <w:rPr>
          <w:rFonts w:ascii="Times New Roman" w:cs="Times New Roman" w:eastAsia="Times New Roman" w:hAnsi="Times New Roman"/>
          <w:sz w:val="4"/>
          <w:szCs w:val="4"/>
          <w:color w:val="auto"/>
        </w:rPr>
        <w:t>____________________________________________________________________________________________________________________________</w:t>
      </w:r>
    </w:p>
    <w:p>
      <w:pPr>
        <w:ind w:left="340" w:hanging="332"/>
        <w:spacing w:after="0"/>
        <w:tabs>
          <w:tab w:leader="none" w:pos="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balance references a related-party transaction. Refer to “Note 3—Related-Party Arrangements” for more detail.</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47" w:lineRule="auto"/>
        <w:tabs>
          <w:tab w:leader="none" w:pos="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months ended June 30, 2019, 3,731,344 potentially dilutive common shares were excluded from the weighted-average common shares outstanding for diluted net change in net assets resulting from operations per common share because the effect of these shares would have been anti-dilutive. For the six months ended June 30, 2019 and the three and six months ended June 30, 2018, 0 potentially dilutive common shares were excluded from the weighted-average common shares outstanding for diluted net change in net assets resulting from operations per common share. Refer to “Note 6—Net Change in Net Assets Resulting from Operations per Common Share—Basic and Diluted” for further detail.</w:t>
      </w:r>
    </w:p>
    <w:p>
      <w:pPr>
        <w:sectPr>
          <w:pgSz w:w="11900" w:h="16838" w:orient="portrait"/>
          <w:cols w:equalWidth="0" w:num="1">
            <w:col w:w="11420"/>
          </w:cols>
          <w:pgMar w:left="240" w:top="118" w:right="239" w:bottom="73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18" w:right="239" w:bottom="738" w:gutter="0" w:footer="0" w:header="0"/>
          <w:type w:val="continuous"/>
        </w:sectPr>
      </w:pPr>
    </w:p>
    <w:bookmarkStart w:id="4" w:name="page5"/>
    <w:bookmarkEnd w:id="4"/>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NET ASSETS (UNAUDITED)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12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w w:val="99"/>
              </w:rPr>
              <w:t>2018</w:t>
            </w:r>
          </w:p>
        </w:tc>
      </w:tr>
      <w:tr>
        <w:trPr>
          <w:trHeight w:val="235"/>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Assets at Beginning of Year</w:t>
            </w: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195,378,159</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204,762,866</w:t>
            </w:r>
          </w:p>
        </w:tc>
      </w:tr>
      <w:tr>
        <w:trPr>
          <w:trHeight w:val="297"/>
        </w:trPr>
        <w:tc>
          <w:tcPr>
            <w:tcW w:w="7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Change in Net Assets Resulting from Operations</w:t>
            </w: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investment gain</w:t>
            </w:r>
          </w:p>
        </w:tc>
        <w:tc>
          <w:tcPr>
            <w:tcW w:w="460" w:type="dxa"/>
            <w:vAlign w:val="bottom"/>
          </w:tcPr>
          <w:p>
            <w:pPr>
              <w:spacing w:after="0"/>
              <w:rPr>
                <w:sz w:val="20"/>
                <w:szCs w:val="20"/>
                <w:color w:val="auto"/>
              </w:rPr>
            </w:pPr>
          </w:p>
        </w:tc>
        <w:tc>
          <w:tcPr>
            <w:tcW w:w="15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619,702</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7,473</w:t>
            </w:r>
          </w:p>
        </w:tc>
      </w:tr>
      <w:tr>
        <w:trPr>
          <w:trHeight w:val="33"/>
        </w:trPr>
        <w:tc>
          <w:tcPr>
            <w:tcW w:w="7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realized loss on investments</w:t>
            </w: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(4,065,693)</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(776,725)</w:t>
            </w: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Realized loss on partial repurchase of 5.25% Convertible Senior Notes due 2018</w:t>
            </w:r>
          </w:p>
        </w:tc>
        <w:tc>
          <w:tcPr>
            <w:tcW w:w="46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(397,846)</w:t>
            </w:r>
          </w:p>
        </w:tc>
      </w:tr>
      <w:tr>
        <w:trPr>
          <w:trHeight w:val="33"/>
        </w:trPr>
        <w:tc>
          <w:tcPr>
            <w:tcW w:w="7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change in unrealized appreciation of investments</w:t>
            </w: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20,699,751</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8,133,394</w:t>
            </w: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Provision for taxes on unrealized appreciation of investments</w:t>
            </w:r>
          </w:p>
        </w:tc>
        <w:tc>
          <w:tcPr>
            <w:tcW w:w="4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(94,147)</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4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Net Change in Net Assets Resulting from Operations</w:t>
            </w:r>
          </w:p>
        </w:tc>
        <w:tc>
          <w:tcPr>
            <w:tcW w:w="4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17,159,613</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6,966,296</w:t>
            </w:r>
          </w:p>
        </w:tc>
      </w:tr>
      <w:tr>
        <w:trPr>
          <w:trHeight w:val="237"/>
        </w:trPr>
        <w:tc>
          <w:tcPr>
            <w:tcW w:w="74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Change in Net Assets Resulting from Capital Transactions</w:t>
            </w:r>
          </w:p>
        </w:tc>
        <w:tc>
          <w:tcPr>
            <w:tcW w:w="4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4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(1,241,428)</w:t>
            </w:r>
          </w:p>
        </w:tc>
      </w:tr>
      <w:tr>
        <w:trPr>
          <w:trHeight w:val="217"/>
        </w:trPr>
        <w:tc>
          <w:tcPr>
            <w:tcW w:w="7440" w:type="dxa"/>
            <w:vAlign w:val="bottom"/>
            <w:tcBorders>
              <w:top w:val="single" w:sz="8" w:color="CCEEFF"/>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Net Change in Net Assets Resulting from Capital Transactions</w:t>
            </w:r>
          </w:p>
        </w:tc>
        <w:tc>
          <w:tcPr>
            <w:tcW w:w="4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(1,241,428)</w:t>
            </w:r>
          </w:p>
        </w:tc>
      </w:tr>
      <w:tr>
        <w:trPr>
          <w:trHeight w:val="33"/>
        </w:trPr>
        <w:tc>
          <w:tcPr>
            <w:tcW w:w="74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Change in Net Assets</w:t>
            </w:r>
          </w:p>
        </w:tc>
        <w:tc>
          <w:tcPr>
            <w:tcW w:w="4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17,159,613</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5,724,868</w:t>
            </w:r>
          </w:p>
        </w:tc>
      </w:tr>
      <w:tr>
        <w:trPr>
          <w:trHeight w:val="290"/>
        </w:trPr>
        <w:tc>
          <w:tcPr>
            <w:tcW w:w="7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Net Assets at March 31</w:t>
            </w: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212,537,772</w:t>
            </w:r>
          </w:p>
        </w:tc>
        <w:tc>
          <w:tcPr>
            <w:tcW w:w="10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210,487,734</w:t>
            </w:r>
          </w:p>
        </w:tc>
      </w:tr>
      <w:tr>
        <w:trPr>
          <w:trHeight w:val="284"/>
        </w:trPr>
        <w:tc>
          <w:tcPr>
            <w:tcW w:w="74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37"/>
        </w:trPr>
        <w:tc>
          <w:tcPr>
            <w:tcW w:w="74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Change in Net Assets Resulting from Operations</w:t>
            </w:r>
          </w:p>
        </w:tc>
        <w:tc>
          <w:tcPr>
            <w:tcW w:w="4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investment loss</w:t>
            </w: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(2,805,231)</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(5,416,796)</w:t>
            </w: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realized gain on investments</w:t>
            </w:r>
          </w:p>
        </w:tc>
        <w:tc>
          <w:tcPr>
            <w:tcW w:w="460" w:type="dxa"/>
            <w:vAlign w:val="bottom"/>
          </w:tcPr>
          <w:p>
            <w:pPr>
              <w:spacing w:after="0"/>
              <w:rPr>
                <w:sz w:val="20"/>
                <w:szCs w:val="20"/>
                <w:color w:val="auto"/>
              </w:rPr>
            </w:pPr>
          </w:p>
        </w:tc>
        <w:tc>
          <w:tcPr>
            <w:tcW w:w="15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13,590,233</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3,363,333</w:t>
            </w:r>
          </w:p>
        </w:tc>
      </w:tr>
      <w:tr>
        <w:trPr>
          <w:trHeight w:val="33"/>
        </w:trPr>
        <w:tc>
          <w:tcPr>
            <w:tcW w:w="7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change in unrealized appreciation/(depreciation) of investments</w:t>
            </w: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(12,440,320)</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9,872,595</w:t>
            </w: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Benefit from taxes on unrealized depreciation of investments</w:t>
            </w:r>
          </w:p>
        </w:tc>
        <w:tc>
          <w:tcPr>
            <w:tcW w:w="460" w:type="dxa"/>
            <w:vAlign w:val="bottom"/>
          </w:tcPr>
          <w:p>
            <w:pPr>
              <w:spacing w:after="0"/>
              <w:rPr>
                <w:sz w:val="20"/>
                <w:szCs w:val="20"/>
                <w:color w:val="auto"/>
              </w:rPr>
            </w:pPr>
          </w:p>
        </w:tc>
        <w:tc>
          <w:tcPr>
            <w:tcW w:w="15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979,713</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1,010,871</w:t>
            </w:r>
          </w:p>
        </w:tc>
      </w:tr>
      <w:tr>
        <w:trPr>
          <w:trHeight w:val="33"/>
        </w:trPr>
        <w:tc>
          <w:tcPr>
            <w:tcW w:w="74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Net Change in Net Assets Resulting from Operations</w:t>
            </w:r>
          </w:p>
        </w:tc>
        <w:tc>
          <w:tcPr>
            <w:tcW w:w="4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(675,605)</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8,830,003</w:t>
            </w:r>
          </w:p>
        </w:tc>
      </w:tr>
      <w:tr>
        <w:trPr>
          <w:trHeight w:val="237"/>
        </w:trPr>
        <w:tc>
          <w:tcPr>
            <w:tcW w:w="74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Change in Net Assets Resulting from Capital Transactions</w:t>
            </w:r>
          </w:p>
        </w:tc>
        <w:tc>
          <w:tcPr>
            <w:tcW w:w="4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4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(737,119)</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(2,169,124)</w:t>
            </w:r>
          </w:p>
        </w:tc>
      </w:tr>
      <w:tr>
        <w:trPr>
          <w:trHeight w:val="217"/>
        </w:trPr>
        <w:tc>
          <w:tcPr>
            <w:tcW w:w="7440" w:type="dxa"/>
            <w:vAlign w:val="bottom"/>
            <w:tcBorders>
              <w:top w:val="single" w:sz="8" w:color="CCEEFF"/>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Net Decrease in Net Assets Resulting from Capital Transactions</w:t>
            </w:r>
          </w:p>
        </w:tc>
        <w:tc>
          <w:tcPr>
            <w:tcW w:w="4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(737,119)</w:t>
            </w: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(2,169,124)</w:t>
            </w:r>
          </w:p>
        </w:tc>
      </w:tr>
      <w:tr>
        <w:trPr>
          <w:trHeight w:val="33"/>
        </w:trPr>
        <w:tc>
          <w:tcPr>
            <w:tcW w:w="74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Change in Net Assets</w:t>
            </w:r>
          </w:p>
        </w:tc>
        <w:tc>
          <w:tcPr>
            <w:tcW w:w="4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(1,412,724)</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6,660,879</w:t>
            </w:r>
          </w:p>
        </w:tc>
      </w:tr>
      <w:tr>
        <w:trPr>
          <w:trHeight w:val="290"/>
        </w:trPr>
        <w:tc>
          <w:tcPr>
            <w:tcW w:w="7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Net Assets at June 30</w:t>
            </w: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211,125,048</w:t>
            </w:r>
          </w:p>
        </w:tc>
        <w:tc>
          <w:tcPr>
            <w:tcW w:w="10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217,148,613</w:t>
            </w:r>
          </w:p>
        </w:tc>
      </w:tr>
      <w:tr>
        <w:trPr>
          <w:trHeight w:val="284"/>
        </w:trPr>
        <w:tc>
          <w:tcPr>
            <w:tcW w:w="74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37"/>
        </w:trPr>
        <w:tc>
          <w:tcPr>
            <w:tcW w:w="74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Capital Share Activity</w:t>
            </w:r>
          </w:p>
        </w:tc>
        <w:tc>
          <w:tcPr>
            <w:tcW w:w="4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 outstanding at beginning of year</w:t>
            </w: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19,762,647</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21,246,345</w:t>
            </w: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Shares issued</w:t>
            </w:r>
          </w:p>
        </w:tc>
        <w:tc>
          <w:tcPr>
            <w:tcW w:w="46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 repurchased</w:t>
            </w:r>
          </w:p>
        </w:tc>
        <w:tc>
          <w:tcPr>
            <w:tcW w:w="4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(115,801)</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(495,432)</w:t>
            </w:r>
          </w:p>
        </w:tc>
      </w:tr>
      <w:tr>
        <w:trPr>
          <w:trHeight w:val="244"/>
        </w:trPr>
        <w:tc>
          <w:tcPr>
            <w:tcW w:w="7440" w:type="dxa"/>
            <w:vAlign w:val="bottom"/>
            <w:tcBorders>
              <w:top w:val="single" w:sz="8" w:color="CCEEFF"/>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Shares Outstanding at End of Period</w:t>
            </w:r>
          </w:p>
        </w:tc>
        <w:tc>
          <w:tcPr>
            <w:tcW w:w="46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19,646,846</w:t>
            </w:r>
          </w:p>
        </w:tc>
        <w:tc>
          <w:tcPr>
            <w:tcW w:w="100" w:type="dxa"/>
            <w:vAlign w:val="bottom"/>
          </w:tcPr>
          <w:p>
            <w:pPr>
              <w:spacing w:after="0"/>
              <w:rPr>
                <w:sz w:val="21"/>
                <w:szCs w:val="21"/>
                <w:color w:val="auto"/>
              </w:rPr>
            </w:pPr>
          </w:p>
        </w:tc>
        <w:tc>
          <w:tcPr>
            <w:tcW w:w="80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20,750,913</w:t>
            </w:r>
          </w:p>
        </w:tc>
      </w:tr>
      <w:tr>
        <w:trPr>
          <w:trHeight w:val="20"/>
        </w:trPr>
        <w:tc>
          <w:tcPr>
            <w:tcW w:w="74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-1431290</wp:posOffset>
            </wp:positionV>
            <wp:extent cx="47167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7167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-3524250</wp:posOffset>
            </wp:positionV>
            <wp:extent cx="47167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716780" cy="8890"/>
                    </a:xfrm>
                    <a:prstGeom prst="rect">
                      <a:avLst/>
                    </a:prstGeom>
                    <a:noFill/>
                  </pic:spPr>
                </pic:pic>
              </a:graphicData>
            </a:graphic>
          </wp:anchor>
        </w:drawing>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condensed consolidated financial statements.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SUTTER ROCK CAPITAL CORP. AND SUBSIDIARIES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264"/>
        </w:trPr>
        <w:tc>
          <w:tcPr>
            <w:tcW w:w="380" w:type="dxa"/>
            <w:vAlign w:val="bottom"/>
            <w:tcBorders>
              <w:bottom w:val="single" w:sz="8" w:color="CCEEFF"/>
            </w:tcBorders>
          </w:tcPr>
          <w:p>
            <w:pPr>
              <w:spacing w:after="0"/>
              <w:rPr>
                <w:sz w:val="22"/>
                <w:szCs w:val="22"/>
                <w:color w:val="auto"/>
              </w:rPr>
            </w:pPr>
          </w:p>
        </w:tc>
        <w:tc>
          <w:tcPr>
            <w:tcW w:w="66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r>
      <w:tr>
        <w:trPr>
          <w:trHeight w:val="235"/>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r>
      <w:tr>
        <w:trPr>
          <w:trHeight w:val="237"/>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Net change in net assets resulting from operations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16,484,008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ind w:right="732"/>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15,796,299</w:t>
            </w:r>
          </w:p>
        </w:tc>
        <w:tc>
          <w:tcPr>
            <w:tcW w:w="20" w:type="dxa"/>
            <w:vAlign w:val="bottom"/>
          </w:tcPr>
          <w:p>
            <w:pPr>
              <w:spacing w:after="0"/>
              <w:rPr>
                <w:sz w:val="20"/>
                <w:szCs w:val="20"/>
                <w:color w:val="auto"/>
              </w:rPr>
            </w:pPr>
          </w:p>
        </w:tc>
      </w:tr>
      <w:tr>
        <w:trPr>
          <w:trHeight w:val="33"/>
        </w:trPr>
        <w:tc>
          <w:tcPr>
            <w:tcW w:w="380" w:type="dxa"/>
            <w:vAlign w:val="bottom"/>
          </w:tcPr>
          <w:p>
            <w:pPr>
              <w:spacing w:after="0"/>
              <w:rPr>
                <w:sz w:val="2"/>
                <w:szCs w:val="2"/>
                <w:color w:val="auto"/>
              </w:rPr>
            </w:pPr>
          </w:p>
        </w:tc>
        <w:tc>
          <w:tcPr>
            <w:tcW w:w="6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6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Adjustments to reconcile net change in net assets resulting from operations to net cash provided by</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3"/>
        </w:trPr>
        <w:tc>
          <w:tcPr>
            <w:tcW w:w="69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operating activities:</w:t>
            </w: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r>
      <w:tr>
        <w:trPr>
          <w:trHeight w:val="237"/>
        </w:trPr>
        <w:tc>
          <w:tcPr>
            <w:tcW w:w="69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Net realized gain on investments</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(9,524,540)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(2,586,608)</w:t>
            </w:r>
          </w:p>
        </w:tc>
        <w:tc>
          <w:tcPr>
            <w:tcW w:w="20" w:type="dxa"/>
            <w:vAlign w:val="bottom"/>
          </w:tcPr>
          <w:p>
            <w:pPr>
              <w:spacing w:after="0"/>
              <w:rPr>
                <w:sz w:val="20"/>
                <w:szCs w:val="20"/>
                <w:color w:val="auto"/>
              </w:rPr>
            </w:pPr>
          </w:p>
        </w:tc>
      </w:tr>
      <w:tr>
        <w:trPr>
          <w:trHeight w:val="33"/>
        </w:trPr>
        <w:tc>
          <w:tcPr>
            <w:tcW w:w="380" w:type="dxa"/>
            <w:vAlign w:val="bottom"/>
          </w:tcPr>
          <w:p>
            <w:pPr>
              <w:spacing w:after="0"/>
              <w:rPr>
                <w:sz w:val="2"/>
                <w:szCs w:val="2"/>
                <w:color w:val="auto"/>
              </w:rPr>
            </w:pPr>
          </w:p>
        </w:tc>
        <w:tc>
          <w:tcPr>
            <w:tcW w:w="6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change in unrealized appreciation of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(8,259,431)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(18,005,989)</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37"/>
        </w:trPr>
        <w:tc>
          <w:tcPr>
            <w:tcW w:w="69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Change in deferred tax liability</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(885,566)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(1,354,386)</w:t>
            </w:r>
          </w:p>
        </w:tc>
        <w:tc>
          <w:tcPr>
            <w:tcW w:w="20" w:type="dxa"/>
            <w:vAlign w:val="bottom"/>
          </w:tcPr>
          <w:p>
            <w:pPr>
              <w:spacing w:after="0"/>
              <w:rPr>
                <w:sz w:val="20"/>
                <w:szCs w:val="20"/>
                <w:color w:val="auto"/>
              </w:rPr>
            </w:pPr>
          </w:p>
        </w:tc>
      </w:tr>
      <w:tr>
        <w:trPr>
          <w:trHeight w:val="33"/>
        </w:trPr>
        <w:tc>
          <w:tcPr>
            <w:tcW w:w="380" w:type="dxa"/>
            <w:vAlign w:val="bottom"/>
          </w:tcPr>
          <w:p>
            <w:pPr>
              <w:spacing w:after="0"/>
              <w:rPr>
                <w:sz w:val="2"/>
                <w:szCs w:val="2"/>
                <w:color w:val="auto"/>
              </w:rPr>
            </w:pPr>
          </w:p>
        </w:tc>
        <w:tc>
          <w:tcPr>
            <w:tcW w:w="6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Amortization of discount on 5.25% Convertible Senior Notes due 2018</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right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359,444</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37"/>
        </w:trPr>
        <w:tc>
          <w:tcPr>
            <w:tcW w:w="69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Amortization of discount on 4.75% Convertible Senior Notes due 2023</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183,045</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95,051</w:t>
            </w:r>
          </w:p>
        </w:tc>
        <w:tc>
          <w:tcPr>
            <w:tcW w:w="20" w:type="dxa"/>
            <w:vAlign w:val="bottom"/>
          </w:tcPr>
          <w:p>
            <w:pPr>
              <w:spacing w:after="0"/>
              <w:rPr>
                <w:sz w:val="20"/>
                <w:szCs w:val="20"/>
                <w:color w:val="auto"/>
              </w:rPr>
            </w:pPr>
          </w:p>
        </w:tc>
      </w:tr>
      <w:tr>
        <w:trPr>
          <w:trHeight w:val="33"/>
        </w:trPr>
        <w:tc>
          <w:tcPr>
            <w:tcW w:w="380" w:type="dxa"/>
            <w:vAlign w:val="bottom"/>
          </w:tcPr>
          <w:p>
            <w:pPr>
              <w:spacing w:after="0"/>
              <w:rPr>
                <w:sz w:val="2"/>
                <w:szCs w:val="2"/>
                <w:color w:val="auto"/>
              </w:rPr>
            </w:pPr>
          </w:p>
        </w:tc>
        <w:tc>
          <w:tcPr>
            <w:tcW w:w="6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right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41,172</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37"/>
        </w:trPr>
        <w:tc>
          <w:tcPr>
            <w:tcW w:w="69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Amortization of fixed income security premiums and discounts</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(12,017)</w:t>
            </w:r>
          </w:p>
        </w:tc>
        <w:tc>
          <w:tcPr>
            <w:tcW w:w="20" w:type="dxa"/>
            <w:vAlign w:val="bottom"/>
          </w:tcPr>
          <w:p>
            <w:pPr>
              <w:spacing w:after="0"/>
              <w:rPr>
                <w:sz w:val="20"/>
                <w:szCs w:val="20"/>
                <w:color w:val="auto"/>
              </w:rPr>
            </w:pPr>
          </w:p>
        </w:tc>
      </w:tr>
      <w:tr>
        <w:trPr>
          <w:trHeight w:val="33"/>
        </w:trPr>
        <w:tc>
          <w:tcPr>
            <w:tcW w:w="380" w:type="dxa"/>
            <w:vAlign w:val="bottom"/>
          </w:tcPr>
          <w:p>
            <w:pPr>
              <w:spacing w:after="0"/>
              <w:rPr>
                <w:sz w:val="2"/>
                <w:szCs w:val="2"/>
                <w:color w:val="auto"/>
              </w:rPr>
            </w:pPr>
          </w:p>
        </w:tc>
        <w:tc>
          <w:tcPr>
            <w:tcW w:w="6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Write-off of deferred offering costs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267,541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325,248</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37"/>
        </w:trPr>
        <w:tc>
          <w:tcPr>
            <w:tcW w:w="69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Paid-in-kind interest</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4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(209,453)</w:t>
            </w:r>
          </w:p>
        </w:tc>
        <w:tc>
          <w:tcPr>
            <w:tcW w:w="20" w:type="dxa"/>
            <w:vAlign w:val="bottom"/>
          </w:tcPr>
          <w:p>
            <w:pPr>
              <w:spacing w:after="0"/>
              <w:rPr>
                <w:sz w:val="20"/>
                <w:szCs w:val="20"/>
                <w:color w:val="auto"/>
              </w:rPr>
            </w:pPr>
          </w:p>
        </w:tc>
      </w:tr>
      <w:tr>
        <w:trPr>
          <w:trHeight w:val="33"/>
        </w:trPr>
        <w:tc>
          <w:tcPr>
            <w:tcW w:w="380" w:type="dxa"/>
            <w:vAlign w:val="bottom"/>
          </w:tcPr>
          <w:p>
            <w:pPr>
              <w:spacing w:after="0"/>
              <w:rPr>
                <w:sz w:val="2"/>
                <w:szCs w:val="2"/>
                <w:color w:val="auto"/>
              </w:rPr>
            </w:pPr>
          </w:p>
        </w:tc>
        <w:tc>
          <w:tcPr>
            <w:tcW w:w="6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Adjustments to escrow proceeds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14,891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9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Purchases of investments in:</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
        </w:trPr>
        <w:tc>
          <w:tcPr>
            <w:tcW w:w="380" w:type="dxa"/>
            <w:vAlign w:val="bottom"/>
          </w:tcPr>
          <w:p>
            <w:pPr>
              <w:spacing w:after="0"/>
              <w:rPr>
                <w:sz w:val="2"/>
                <w:szCs w:val="2"/>
                <w:color w:val="auto"/>
              </w:rPr>
            </w:pPr>
          </w:p>
        </w:tc>
        <w:tc>
          <w:tcPr>
            <w:tcW w:w="6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Portfolio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(10,008,040)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(209,656)</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37"/>
        </w:trPr>
        <w:tc>
          <w:tcPr>
            <w:tcW w:w="380" w:type="dxa"/>
            <w:vAlign w:val="bottom"/>
          </w:tcPr>
          <w:p>
            <w:pPr>
              <w:spacing w:after="0"/>
              <w:rPr>
                <w:sz w:val="20"/>
                <w:szCs w:val="20"/>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6"/>
                <w:szCs w:val="16"/>
                <w:color w:val="auto"/>
              </w:rPr>
              <w:t>U.S. Treasury bills</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(199,940,333)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(199,943,927)</w:t>
            </w:r>
          </w:p>
        </w:tc>
        <w:tc>
          <w:tcPr>
            <w:tcW w:w="20" w:type="dxa"/>
            <w:vAlign w:val="bottom"/>
          </w:tcPr>
          <w:p>
            <w:pPr>
              <w:spacing w:after="0"/>
              <w:rPr>
                <w:sz w:val="20"/>
                <w:szCs w:val="20"/>
                <w:color w:val="auto"/>
              </w:rPr>
            </w:pPr>
          </w:p>
        </w:tc>
      </w:tr>
      <w:tr>
        <w:trPr>
          <w:trHeight w:val="33"/>
        </w:trPr>
        <w:tc>
          <w:tcPr>
            <w:tcW w:w="380" w:type="dxa"/>
            <w:vAlign w:val="bottom"/>
          </w:tcPr>
          <w:p>
            <w:pPr>
              <w:spacing w:after="0"/>
              <w:rPr>
                <w:sz w:val="2"/>
                <w:szCs w:val="2"/>
                <w:color w:val="auto"/>
              </w:rPr>
            </w:pPr>
          </w:p>
        </w:tc>
        <w:tc>
          <w:tcPr>
            <w:tcW w:w="6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sales or maturity of investments in:</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37"/>
        </w:trPr>
        <w:tc>
          <w:tcPr>
            <w:tcW w:w="380" w:type="dxa"/>
            <w:vAlign w:val="bottom"/>
          </w:tcPr>
          <w:p>
            <w:pPr>
              <w:spacing w:after="0"/>
              <w:rPr>
                <w:sz w:val="20"/>
                <w:szCs w:val="20"/>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6"/>
                <w:szCs w:val="16"/>
                <w:color w:val="auto"/>
              </w:rPr>
              <w:t>Portfolio investments</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43,119,593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25,297,380</w:t>
            </w:r>
          </w:p>
        </w:tc>
        <w:tc>
          <w:tcPr>
            <w:tcW w:w="20" w:type="dxa"/>
            <w:vAlign w:val="bottom"/>
          </w:tcPr>
          <w:p>
            <w:pPr>
              <w:spacing w:after="0"/>
              <w:rPr>
                <w:sz w:val="20"/>
                <w:szCs w:val="20"/>
                <w:color w:val="auto"/>
              </w:rPr>
            </w:pPr>
          </w:p>
        </w:tc>
      </w:tr>
      <w:tr>
        <w:trPr>
          <w:trHeight w:val="33"/>
        </w:trPr>
        <w:tc>
          <w:tcPr>
            <w:tcW w:w="380" w:type="dxa"/>
            <w:vAlign w:val="bottom"/>
          </w:tcPr>
          <w:p>
            <w:pPr>
              <w:spacing w:after="0"/>
              <w:rPr>
                <w:sz w:val="2"/>
                <w:szCs w:val="2"/>
                <w:color w:val="auto"/>
              </w:rPr>
            </w:pPr>
          </w:p>
        </w:tc>
        <w:tc>
          <w:tcPr>
            <w:tcW w:w="6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U.S. Treasury bills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200,000,000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200,000,000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37"/>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Change in operating assets and liabilities:</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
        </w:trPr>
        <w:tc>
          <w:tcPr>
            <w:tcW w:w="380" w:type="dxa"/>
            <w:vAlign w:val="bottom"/>
          </w:tcPr>
          <w:p>
            <w:pPr>
              <w:spacing w:after="0"/>
              <w:rPr>
                <w:sz w:val="2"/>
                <w:szCs w:val="2"/>
                <w:color w:val="auto"/>
              </w:rPr>
            </w:pPr>
          </w:p>
        </w:tc>
        <w:tc>
          <w:tcPr>
            <w:tcW w:w="6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Due from controlled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right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37"/>
        </w:trPr>
        <w:tc>
          <w:tcPr>
            <w:tcW w:w="69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(1,295,152)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120,751</w:t>
            </w:r>
          </w:p>
        </w:tc>
        <w:tc>
          <w:tcPr>
            <w:tcW w:w="20" w:type="dxa"/>
            <w:vAlign w:val="bottom"/>
          </w:tcPr>
          <w:p>
            <w:pPr>
              <w:spacing w:after="0"/>
              <w:rPr>
                <w:sz w:val="20"/>
                <w:szCs w:val="20"/>
                <w:color w:val="auto"/>
              </w:rPr>
            </w:pPr>
          </w:p>
        </w:tc>
      </w:tr>
      <w:tr>
        <w:trPr>
          <w:trHeight w:val="33"/>
        </w:trPr>
        <w:tc>
          <w:tcPr>
            <w:tcW w:w="380" w:type="dxa"/>
            <w:vAlign w:val="bottom"/>
          </w:tcPr>
          <w:p>
            <w:pPr>
              <w:spacing w:after="0"/>
              <w:rPr>
                <w:sz w:val="2"/>
                <w:szCs w:val="2"/>
                <w:color w:val="auto"/>
              </w:rPr>
            </w:pPr>
          </w:p>
        </w:tc>
        <w:tc>
          <w:tcPr>
            <w:tcW w:w="6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and dividends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(171,325)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(250,642)</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37"/>
        </w:trPr>
        <w:tc>
          <w:tcPr>
            <w:tcW w:w="69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Proceeds receivable</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(51,511)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80" w:type="dxa"/>
            <w:vAlign w:val="bottom"/>
          </w:tcPr>
          <w:p>
            <w:pPr>
              <w:spacing w:after="0"/>
              <w:rPr>
                <w:sz w:val="2"/>
                <w:szCs w:val="2"/>
                <w:color w:val="auto"/>
              </w:rPr>
            </w:pPr>
          </w:p>
        </w:tc>
        <w:tc>
          <w:tcPr>
            <w:tcW w:w="6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Escrow proceeds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419,762</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(1,056,823)</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70"/>
        </w:trPr>
        <w:tc>
          <w:tcPr>
            <w:tcW w:w="69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Due to GSV Asset Management</w:t>
            </w:r>
            <w:r>
              <w:rPr>
                <w:rFonts w:ascii="Times New Roman" w:cs="Times New Roman" w:eastAsia="Times New Roman" w:hAnsi="Times New Roman"/>
                <w:sz w:val="21"/>
                <w:szCs w:val="21"/>
                <w:color w:val="auto"/>
                <w:vertAlign w:val="superscript"/>
              </w:rPr>
              <w:t>(1)</w:t>
            </w: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4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1,308</w:t>
            </w:r>
          </w:p>
        </w:tc>
        <w:tc>
          <w:tcPr>
            <w:tcW w:w="20" w:type="dxa"/>
            <w:vAlign w:val="bottom"/>
          </w:tcPr>
          <w:p>
            <w:pPr>
              <w:spacing w:after="0"/>
              <w:rPr>
                <w:sz w:val="23"/>
                <w:szCs w:val="23"/>
                <w:color w:val="auto"/>
              </w:rPr>
            </w:pPr>
          </w:p>
        </w:tc>
      </w:tr>
      <w:tr>
        <w:trPr>
          <w:trHeight w:val="250"/>
        </w:trPr>
        <w:tc>
          <w:tcPr>
            <w:tcW w:w="69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Payable for securities purchased</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129,805</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37"/>
        </w:trPr>
        <w:tc>
          <w:tcPr>
            <w:tcW w:w="69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1,698,680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101,334</w:t>
            </w:r>
          </w:p>
        </w:tc>
        <w:tc>
          <w:tcPr>
            <w:tcW w:w="20" w:type="dxa"/>
            <w:vAlign w:val="bottom"/>
          </w:tcPr>
          <w:p>
            <w:pPr>
              <w:spacing w:after="0"/>
              <w:rPr>
                <w:sz w:val="20"/>
                <w:szCs w:val="20"/>
                <w:color w:val="auto"/>
              </w:rPr>
            </w:pPr>
          </w:p>
        </w:tc>
      </w:tr>
      <w:tr>
        <w:trPr>
          <w:trHeight w:val="33"/>
        </w:trPr>
        <w:tc>
          <w:tcPr>
            <w:tcW w:w="380" w:type="dxa"/>
            <w:vAlign w:val="bottom"/>
          </w:tcPr>
          <w:p>
            <w:pPr>
              <w:spacing w:after="0"/>
              <w:rPr>
                <w:sz w:val="2"/>
                <w:szCs w:val="2"/>
                <w:color w:val="auto"/>
              </w:rPr>
            </w:pPr>
          </w:p>
        </w:tc>
        <w:tc>
          <w:tcPr>
            <w:tcW w:w="6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6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incentive fees</w:t>
            </w:r>
            <w:r>
              <w:rPr>
                <w:rFonts w:ascii="Times New Roman" w:cs="Times New Roman" w:eastAsia="Times New Roman" w:hAnsi="Times New Roman"/>
                <w:sz w:val="21"/>
                <w:szCs w:val="21"/>
                <w:color w:val="auto"/>
                <w:vertAlign w:val="superscript"/>
              </w:rPr>
              <w:t>(1)</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(4,660,472)</w:t>
            </w:r>
          </w:p>
        </w:tc>
        <w:tc>
          <w:tcPr>
            <w:tcW w:w="4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(940,581)</w:t>
            </w:r>
          </w:p>
        </w:tc>
        <w:tc>
          <w:tcPr>
            <w:tcW w:w="20" w:type="dxa"/>
            <w:vAlign w:val="bottom"/>
            <w:shd w:val="clear" w:color="auto" w:fill="CCEEFF"/>
          </w:tcPr>
          <w:p>
            <w:pPr>
              <w:spacing w:after="0"/>
              <w:rPr>
                <w:sz w:val="23"/>
                <w:szCs w:val="23"/>
                <w:color w:val="auto"/>
              </w:rPr>
            </w:pPr>
          </w:p>
        </w:tc>
      </w:tr>
      <w:tr>
        <w:trPr>
          <w:trHeight w:val="270"/>
        </w:trPr>
        <w:tc>
          <w:tcPr>
            <w:tcW w:w="69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Accrued management fees</w:t>
            </w:r>
            <w:r>
              <w:rPr>
                <w:rFonts w:ascii="Times New Roman" w:cs="Times New Roman" w:eastAsia="Times New Roman" w:hAnsi="Times New Roman"/>
                <w:sz w:val="21"/>
                <w:szCs w:val="21"/>
                <w:color w:val="auto"/>
                <w:vertAlign w:val="superscript"/>
              </w:rPr>
              <w:t>(1)</w:t>
            </w: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(415,056)</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(107,559)</w:t>
            </w:r>
          </w:p>
        </w:tc>
        <w:tc>
          <w:tcPr>
            <w:tcW w:w="20" w:type="dxa"/>
            <w:vAlign w:val="bottom"/>
          </w:tcPr>
          <w:p>
            <w:pPr>
              <w:spacing w:after="0"/>
              <w:rPr>
                <w:sz w:val="23"/>
                <w:szCs w:val="23"/>
                <w:color w:val="auto"/>
              </w:rPr>
            </w:pPr>
          </w:p>
        </w:tc>
      </w:tr>
      <w:tr>
        <w:trPr>
          <w:trHeight w:val="270"/>
        </w:trPr>
        <w:tc>
          <w:tcPr>
            <w:tcW w:w="69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interest payable</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right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212,187</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17"/>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26,971,210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17,803,179</w:t>
            </w:r>
          </w:p>
        </w:tc>
        <w:tc>
          <w:tcPr>
            <w:tcW w:w="20" w:type="dxa"/>
            <w:vAlign w:val="bottom"/>
            <w:tcBorders>
              <w:top w:val="single" w:sz="8" w:color="auto"/>
            </w:tcBorders>
          </w:tcPr>
          <w:p>
            <w:pPr>
              <w:spacing w:after="0"/>
              <w:rPr>
                <w:sz w:val="18"/>
                <w:szCs w:val="18"/>
                <w:color w:val="auto"/>
              </w:rPr>
            </w:pPr>
          </w:p>
        </w:tc>
      </w:tr>
      <w:tr>
        <w:trPr>
          <w:trHeight w:val="33"/>
        </w:trPr>
        <w:tc>
          <w:tcPr>
            <w:tcW w:w="380" w:type="dxa"/>
            <w:vAlign w:val="bottom"/>
            <w:tcBorders>
              <w:bottom w:val="single" w:sz="8" w:color="CCEEFF"/>
            </w:tcBorders>
          </w:tcPr>
          <w:p>
            <w:pPr>
              <w:spacing w:after="0"/>
              <w:rPr>
                <w:sz w:val="2"/>
                <w:szCs w:val="2"/>
                <w:color w:val="auto"/>
              </w:rPr>
            </w:pPr>
          </w:p>
        </w:tc>
        <w:tc>
          <w:tcPr>
            <w:tcW w:w="6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r>
      <w:tr>
        <w:trPr>
          <w:trHeight w:val="237"/>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Proceeds from the issuance of 4.75% Convertible Senior Notes due 2023</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4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40,000,000</w:t>
            </w:r>
          </w:p>
        </w:tc>
        <w:tc>
          <w:tcPr>
            <w:tcW w:w="20" w:type="dxa"/>
            <w:vAlign w:val="bottom"/>
          </w:tcPr>
          <w:p>
            <w:pPr>
              <w:spacing w:after="0"/>
              <w:rPr>
                <w:sz w:val="20"/>
                <w:szCs w:val="20"/>
                <w:color w:val="auto"/>
              </w:rPr>
            </w:pPr>
          </w:p>
        </w:tc>
      </w:tr>
      <w:tr>
        <w:trPr>
          <w:trHeight w:val="33"/>
        </w:trPr>
        <w:tc>
          <w:tcPr>
            <w:tcW w:w="380" w:type="dxa"/>
            <w:vAlign w:val="bottom"/>
          </w:tcPr>
          <w:p>
            <w:pPr>
              <w:spacing w:after="0"/>
              <w:rPr>
                <w:sz w:val="2"/>
                <w:szCs w:val="2"/>
                <w:color w:val="auto"/>
              </w:rPr>
            </w:pPr>
          </w:p>
        </w:tc>
        <w:tc>
          <w:tcPr>
            <w:tcW w:w="6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 debt issuance costs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right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(1,846,620)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37"/>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(737,119)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(3,410,552)</w:t>
            </w:r>
          </w:p>
        </w:tc>
        <w:tc>
          <w:tcPr>
            <w:tcW w:w="20" w:type="dxa"/>
            <w:vAlign w:val="bottom"/>
          </w:tcPr>
          <w:p>
            <w:pPr>
              <w:spacing w:after="0"/>
              <w:rPr>
                <w:sz w:val="20"/>
                <w:szCs w:val="20"/>
                <w:color w:val="auto"/>
              </w:rPr>
            </w:pPr>
          </w:p>
        </w:tc>
      </w:tr>
      <w:tr>
        <w:trPr>
          <w:trHeight w:val="33"/>
        </w:trPr>
        <w:tc>
          <w:tcPr>
            <w:tcW w:w="380" w:type="dxa"/>
            <w:vAlign w:val="bottom"/>
          </w:tcPr>
          <w:p>
            <w:pPr>
              <w:spacing w:after="0"/>
              <w:rPr>
                <w:sz w:val="2"/>
                <w:szCs w:val="2"/>
                <w:color w:val="auto"/>
              </w:rPr>
            </w:pPr>
          </w:p>
        </w:tc>
        <w:tc>
          <w:tcPr>
            <w:tcW w:w="6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Repurchase of 5.25% Convertible Senior Notes due 2018</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right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(19,290,565)</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37"/>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Realized loss on repurchase of 5.25% Convertible Senior Notes due 2018</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4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397,846</w:t>
            </w:r>
          </w:p>
        </w:tc>
        <w:tc>
          <w:tcPr>
            <w:tcW w:w="20" w:type="dxa"/>
            <w:vAlign w:val="bottom"/>
          </w:tcPr>
          <w:p>
            <w:pPr>
              <w:spacing w:after="0"/>
              <w:rPr>
                <w:sz w:val="20"/>
                <w:szCs w:val="20"/>
                <w:color w:val="auto"/>
              </w:rPr>
            </w:pPr>
          </w:p>
        </w:tc>
      </w:tr>
      <w:tr>
        <w:trPr>
          <w:trHeight w:val="33"/>
        </w:trPr>
        <w:tc>
          <w:tcPr>
            <w:tcW w:w="380" w:type="dxa"/>
            <w:vAlign w:val="bottom"/>
          </w:tcPr>
          <w:p>
            <w:pPr>
              <w:spacing w:after="0"/>
              <w:rPr>
                <w:sz w:val="2"/>
                <w:szCs w:val="2"/>
                <w:color w:val="auto"/>
              </w:rPr>
            </w:pPr>
          </w:p>
        </w:tc>
        <w:tc>
          <w:tcPr>
            <w:tcW w:w="6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 offering costs</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right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(6,312)</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17"/>
        </w:trPr>
        <w:tc>
          <w:tcPr>
            <w:tcW w:w="6980" w:type="dxa"/>
            <w:vAlign w:val="bottom"/>
            <w:tcBorders>
              <w:top w:val="single" w:sz="8" w:color="CCEEFF"/>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Net Cash Provided by/(Used in) Financing Activities</w:t>
            </w: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(737,119)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15,843,797</w:t>
            </w:r>
          </w:p>
        </w:tc>
        <w:tc>
          <w:tcPr>
            <w:tcW w:w="20" w:type="dxa"/>
            <w:vAlign w:val="bottom"/>
            <w:tcBorders>
              <w:top w:val="single" w:sz="8" w:color="auto"/>
            </w:tcBorders>
          </w:tcPr>
          <w:p>
            <w:pPr>
              <w:spacing w:after="0"/>
              <w:rPr>
                <w:sz w:val="18"/>
                <w:szCs w:val="18"/>
                <w:color w:val="auto"/>
              </w:rPr>
            </w:pPr>
          </w:p>
        </w:tc>
      </w:tr>
      <w:tr>
        <w:trPr>
          <w:trHeight w:val="33"/>
        </w:trPr>
        <w:tc>
          <w:tcPr>
            <w:tcW w:w="380" w:type="dxa"/>
            <w:vAlign w:val="bottom"/>
            <w:tcBorders>
              <w:bottom w:val="single" w:sz="8" w:color="CCEEFF"/>
            </w:tcBorders>
          </w:tcPr>
          <w:p>
            <w:pPr>
              <w:spacing w:after="0"/>
              <w:rPr>
                <w:sz w:val="2"/>
                <w:szCs w:val="2"/>
                <w:color w:val="auto"/>
              </w:rPr>
            </w:pPr>
          </w:p>
        </w:tc>
        <w:tc>
          <w:tcPr>
            <w:tcW w:w="6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Increase in Cash Balance</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26,234,091</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33,646,976</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37"/>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Cash Balance at Beginning of Year</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28,184,163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59,838,600</w:t>
            </w:r>
          </w:p>
        </w:tc>
        <w:tc>
          <w:tcPr>
            <w:tcW w:w="20" w:type="dxa"/>
            <w:vAlign w:val="bottom"/>
          </w:tcPr>
          <w:p>
            <w:pPr>
              <w:spacing w:after="0"/>
              <w:rPr>
                <w:sz w:val="20"/>
                <w:szCs w:val="20"/>
                <w:color w:val="auto"/>
              </w:rPr>
            </w:pPr>
          </w:p>
        </w:tc>
      </w:tr>
      <w:tr>
        <w:trPr>
          <w:trHeight w:val="33"/>
        </w:trPr>
        <w:tc>
          <w:tcPr>
            <w:tcW w:w="380" w:type="dxa"/>
            <w:vAlign w:val="bottom"/>
            <w:tcBorders>
              <w:bottom w:val="single" w:sz="8" w:color="CCEEFF"/>
            </w:tcBorders>
          </w:tcPr>
          <w:p>
            <w:pPr>
              <w:spacing w:after="0"/>
              <w:rPr>
                <w:sz w:val="2"/>
                <w:szCs w:val="2"/>
                <w:color w:val="auto"/>
              </w:rPr>
            </w:pPr>
          </w:p>
        </w:tc>
        <w:tc>
          <w:tcPr>
            <w:tcW w:w="6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Balance at End of Period</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54,418,254</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32"/>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93,485,576</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0"/>
        </w:trPr>
        <w:tc>
          <w:tcPr>
            <w:tcW w:w="38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184"/>
        </w:trPr>
        <w:tc>
          <w:tcPr>
            <w:tcW w:w="380" w:type="dxa"/>
            <w:vAlign w:val="bottom"/>
          </w:tcPr>
          <w:p>
            <w:pPr>
              <w:spacing w:after="0"/>
              <w:rPr>
                <w:sz w:val="15"/>
                <w:szCs w:val="15"/>
                <w:color w:val="auto"/>
              </w:rPr>
            </w:pPr>
          </w:p>
        </w:tc>
        <w:tc>
          <w:tcPr>
            <w:tcW w:w="7500" w:type="dxa"/>
            <w:vAlign w:val="bottom"/>
            <w:gridSpan w:val="3"/>
          </w:tcPr>
          <w:p>
            <w:pPr>
              <w:ind w:left="3240"/>
              <w:spacing w:after="0"/>
              <w:rPr>
                <w:sz w:val="20"/>
                <w:szCs w:val="20"/>
                <w:color w:val="auto"/>
              </w:rPr>
            </w:pPr>
            <w:r>
              <w:rPr>
                <w:rFonts w:ascii="Times New Roman" w:cs="Times New Roman" w:eastAsia="Times New Roman" w:hAnsi="Times New Roman"/>
                <w:sz w:val="14"/>
                <w:szCs w:val="14"/>
                <w:i w:val="1"/>
                <w:iCs w:val="1"/>
                <w:color w:val="auto"/>
              </w:rPr>
              <w:t>See accompanying notes to condensed consolidated financial statements.</w:t>
            </w:r>
          </w:p>
        </w:tc>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561"/>
        </w:trPr>
        <w:tc>
          <w:tcPr>
            <w:tcW w:w="38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380" w:type="dxa"/>
            <w:vAlign w:val="bottom"/>
          </w:tcPr>
          <w:p>
            <w:pPr>
              <w:spacing w:after="0"/>
              <w:rPr>
                <w:sz w:val="22"/>
                <w:szCs w:val="22"/>
                <w:color w:val="auto"/>
              </w:rPr>
            </w:pPr>
          </w:p>
        </w:tc>
        <w:tc>
          <w:tcPr>
            <w:tcW w:w="66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Pr>
          <w:p>
            <w:pPr>
              <w:spacing w:after="0"/>
              <w:rPr>
                <w:sz w:val="22"/>
                <w:szCs w:val="22"/>
                <w:color w:val="auto"/>
              </w:rPr>
            </w:pPr>
          </w:p>
        </w:tc>
      </w:tr>
      <w:tr>
        <w:trPr>
          <w:trHeight w:val="235"/>
        </w:trPr>
        <w:tc>
          <w:tcPr>
            <w:tcW w:w="380" w:type="dxa"/>
            <w:vAlign w:val="bottom"/>
          </w:tcPr>
          <w:p>
            <w:pPr>
              <w:spacing w:after="0"/>
              <w:rPr>
                <w:sz w:val="20"/>
                <w:szCs w:val="20"/>
                <w:color w:val="auto"/>
              </w:rPr>
            </w:pPr>
          </w:p>
        </w:tc>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Information:</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380" w:type="dxa"/>
            <w:vAlign w:val="bottom"/>
          </w:tcPr>
          <w:p>
            <w:pPr>
              <w:spacing w:after="0"/>
              <w:rPr>
                <w:sz w:val="20"/>
                <w:szCs w:val="20"/>
                <w:color w:val="auto"/>
              </w:rPr>
            </w:pPr>
          </w:p>
        </w:tc>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paid</w:t>
            </w:r>
          </w:p>
        </w:tc>
        <w:tc>
          <w:tcPr>
            <w:tcW w:w="90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1,024,911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ind w:right="69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1,891,542</w:t>
            </w:r>
          </w:p>
        </w:tc>
        <w:tc>
          <w:tcPr>
            <w:tcW w:w="20" w:type="dxa"/>
            <w:vAlign w:val="bottom"/>
          </w:tcPr>
          <w:p>
            <w:pPr>
              <w:spacing w:after="0"/>
              <w:rPr>
                <w:sz w:val="20"/>
                <w:szCs w:val="20"/>
                <w:color w:val="auto"/>
              </w:rPr>
            </w:pPr>
          </w:p>
        </w:tc>
      </w:tr>
      <w:tr>
        <w:trPr>
          <w:trHeight w:val="270"/>
        </w:trPr>
        <w:tc>
          <w:tcPr>
            <w:tcW w:w="380" w:type="dxa"/>
            <w:vAlign w:val="bottom"/>
          </w:tcPr>
          <w:p>
            <w:pPr>
              <w:spacing w:after="0"/>
              <w:rPr>
                <w:sz w:val="23"/>
                <w:szCs w:val="23"/>
                <w:color w:val="auto"/>
              </w:rPr>
            </w:pPr>
          </w:p>
        </w:tc>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 paid</w:t>
            </w:r>
          </w:p>
        </w:tc>
        <w:tc>
          <w:tcPr>
            <w:tcW w:w="90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14,726</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69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492,014</w:t>
            </w:r>
          </w:p>
        </w:tc>
        <w:tc>
          <w:tcPr>
            <w:tcW w:w="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-2019300</wp:posOffset>
            </wp:positionV>
            <wp:extent cx="44253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425315" cy="8890"/>
                    </a:xfrm>
                    <a:prstGeom prst="rect">
                      <a:avLst/>
                    </a:prstGeom>
                    <a:noFill/>
                  </pic:spPr>
                </pic:pic>
              </a:graphicData>
            </a:graphic>
          </wp:anchor>
        </w:drawing>
        <w:drawing>
          <wp:anchor simplePos="0" relativeHeight="251657728" behindDoc="1" locked="0" layoutInCell="0" allowOverlap="1">
            <wp:simplePos x="0" y="0"/>
            <wp:positionH relativeFrom="column">
              <wp:posOffset>236855</wp:posOffset>
            </wp:positionH>
            <wp:positionV relativeFrom="paragraph">
              <wp:posOffset>-149860</wp:posOffset>
            </wp:positionV>
            <wp:extent cx="699770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7700" cy="171450"/>
                    </a:xfrm>
                    <a:prstGeom prst="rect">
                      <a:avLst/>
                    </a:prstGeom>
                    <a:noFill/>
                  </pic:spPr>
                </pic:pic>
              </a:graphicData>
            </a:graphic>
          </wp:anchor>
        </w:drawing>
        <w:drawing>
          <wp:anchor simplePos="0" relativeHeight="251657728" behindDoc="1" locked="0" layoutInCell="0" allowOverlap="1">
            <wp:simplePos x="0" y="0"/>
            <wp:positionH relativeFrom="column">
              <wp:posOffset>236855</wp:posOffset>
            </wp:positionH>
            <wp:positionV relativeFrom="paragraph">
              <wp:posOffset>-492760</wp:posOffset>
            </wp:positionV>
            <wp:extent cx="43395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33959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condensed consolidated financial statements.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w:t>
      </w:r>
    </w:p>
    <w:p>
      <w:pPr>
        <w:spacing w:after="0" w:line="93"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balance references a related-party transaction. Refer to “Note 3—Related-Party Arrangements” for more detail.</w:t>
      </w:r>
    </w:p>
    <w:p>
      <w:pPr>
        <w:sectPr>
          <w:pgSz w:w="11900" w:h="16838" w:orient="portrait"/>
          <w:cols w:equalWidth="0" w:num="1">
            <w:col w:w="11420"/>
          </w:cols>
          <w:pgMar w:left="240" w:top="118" w:right="239" w:bottom="5"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9019"/>
          </w:cols>
          <w:pgMar w:left="1440" w:top="121" w:right="1440" w:bottom="1440" w:gutter="0" w:footer="0" w:header="0"/>
        </w:sectPr>
      </w:pPr>
    </w:p>
    <w:bookmarkStart w:id="7" w:name="page8"/>
    <w:bookmarkEnd w:id="7"/>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left="260" w:right="2420"/>
        <w:spacing w:after="0" w:line="278" w:lineRule="auto"/>
        <w:rPr>
          <w:sz w:val="20"/>
          <w:szCs w:val="20"/>
          <w:color w:val="auto"/>
        </w:rPr>
      </w:pPr>
      <w:r>
        <w:rPr>
          <w:rFonts w:ascii="Times New Roman" w:cs="Times New Roman" w:eastAsia="Times New Roman" w:hAnsi="Times New Roman"/>
          <w:sz w:val="18"/>
          <w:szCs w:val="18"/>
          <w:b w:val="1"/>
          <w:bCs w:val="1"/>
          <w:color w:val="auto"/>
        </w:rPr>
        <w:t>SUTTER ROCK CAPITAL CORP. AND SUBSIDIARIES CONDENSED CONSOLIDATED SCHEDULE OF INVESTMENTS (UNAUDITED) June 30, 2019</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gridSpan w:val="1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120" w:type="dxa"/>
            <w:vAlign w:val="bottom"/>
          </w:tcPr>
          <w:p>
            <w:pPr>
              <w:spacing w:after="0"/>
              <w:rPr>
                <w:sz w:val="13"/>
                <w:szCs w:val="13"/>
                <w:color w:val="auto"/>
              </w:rPr>
            </w:pP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Headquarters/</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Date of Initial</w:t>
            </w:r>
          </w:p>
        </w:tc>
        <w:tc>
          <w:tcPr>
            <w:tcW w:w="160" w:type="dxa"/>
            <w:vAlign w:val="bottom"/>
          </w:tcPr>
          <w:p>
            <w:pPr>
              <w:spacing w:after="0"/>
              <w:rPr>
                <w:sz w:val="13"/>
                <w:szCs w:val="13"/>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80" w:type="dxa"/>
            <w:vAlign w:val="bottom"/>
          </w:tcPr>
          <w:p>
            <w:pPr>
              <w:spacing w:after="0"/>
              <w:rPr>
                <w:sz w:val="13"/>
                <w:szCs w:val="13"/>
                <w:color w:val="auto"/>
              </w:rPr>
            </w:pPr>
          </w:p>
        </w:tc>
        <w:tc>
          <w:tcPr>
            <w:tcW w:w="9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3"/>
                <w:szCs w:val="13"/>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0" w:type="dxa"/>
            <w:vAlign w:val="bottom"/>
          </w:tcPr>
          <w:p>
            <w:pPr>
              <w:spacing w:after="0"/>
              <w:rPr>
                <w:sz w:val="1"/>
                <w:szCs w:val="1"/>
                <w:color w:val="auto"/>
              </w:rPr>
            </w:pPr>
          </w:p>
        </w:tc>
      </w:tr>
      <w:tr>
        <w:trPr>
          <w:trHeight w:val="195"/>
        </w:trPr>
        <w:tc>
          <w:tcPr>
            <w:tcW w:w="3100" w:type="dxa"/>
            <w:vAlign w:val="bottom"/>
            <w:gridSpan w:val="15"/>
            <w:vMerge w:val="continue"/>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6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9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69"/>
        </w:trPr>
        <w:tc>
          <w:tcPr>
            <w:tcW w:w="3100" w:type="dxa"/>
            <w:vAlign w:val="bottom"/>
            <w:tcBorders>
              <w:top w:val="single" w:sz="8" w:color="auto"/>
            </w:tcBorders>
            <w:gridSpan w:val="15"/>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NON-CONTROLLED/NON-AFFILIATE</w:t>
            </w:r>
          </w:p>
        </w:tc>
        <w:tc>
          <w:tcPr>
            <w:tcW w:w="120" w:type="dxa"/>
            <w:vAlign w:val="bottom"/>
            <w:tcBorders>
              <w:top w:val="single" w:sz="8" w:color="CCEEFF"/>
            </w:tcBorders>
            <w:shd w:val="clear" w:color="auto" w:fill="CCEEFF"/>
          </w:tcPr>
          <w:p>
            <w:pPr>
              <w:spacing w:after="0"/>
              <w:rPr>
                <w:sz w:val="23"/>
                <w:szCs w:val="23"/>
                <w:color w:val="auto"/>
              </w:rPr>
            </w:pPr>
          </w:p>
        </w:tc>
        <w:tc>
          <w:tcPr>
            <w:tcW w:w="24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100" w:type="dxa"/>
            <w:vAlign w:val="bottom"/>
            <w:gridSpan w:val="15"/>
          </w:tcPr>
          <w:p>
            <w:pPr>
              <w:ind w:left="40"/>
              <w:spacing w:after="0"/>
              <w:rPr>
                <w:sz w:val="20"/>
                <w:szCs w:val="20"/>
                <w:color w:val="auto"/>
              </w:rPr>
            </w:pPr>
            <w:r>
              <w:rPr>
                <w:rFonts w:ascii="Times New Roman" w:cs="Times New Roman" w:eastAsia="Times New Roman" w:hAnsi="Times New Roman"/>
                <w:sz w:val="14"/>
                <w:szCs w:val="14"/>
                <w:b w:val="1"/>
                <w:bCs w:val="1"/>
                <w:color w:val="auto"/>
              </w:rPr>
              <w:t>Palantir Technologies, Inc.</w:t>
            </w:r>
          </w:p>
        </w:tc>
        <w:tc>
          <w:tcPr>
            <w:tcW w:w="120" w:type="dxa"/>
            <w:vAlign w:val="bottom"/>
          </w:tcPr>
          <w:p>
            <w:pPr>
              <w:spacing w:after="0"/>
              <w:rPr>
                <w:sz w:val="19"/>
                <w:szCs w:val="19"/>
                <w:color w:val="auto"/>
              </w:rPr>
            </w:pP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Palo Alto, CA</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gridSpan w:val="15"/>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Common shares, Class A</w:t>
            </w:r>
          </w:p>
        </w:tc>
        <w:tc>
          <w:tcPr>
            <w:tcW w:w="120" w:type="dxa"/>
            <w:vAlign w:val="bottom"/>
            <w:shd w:val="clear" w:color="auto" w:fill="CCEEFF"/>
          </w:tcPr>
          <w:p>
            <w:pPr>
              <w:spacing w:after="0"/>
              <w:rPr>
                <w:sz w:val="23"/>
                <w:szCs w:val="23"/>
                <w:color w:val="auto"/>
              </w:rPr>
            </w:pPr>
          </w:p>
        </w:tc>
        <w:tc>
          <w:tcPr>
            <w:tcW w:w="2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Data Analysis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5/7/2012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5,773,690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16,189,935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30,658,294</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14.52%</w:t>
            </w:r>
          </w:p>
        </w:tc>
        <w:tc>
          <w:tcPr>
            <w:tcW w:w="0" w:type="dxa"/>
            <w:vAlign w:val="bottom"/>
          </w:tcPr>
          <w:p>
            <w:pPr>
              <w:spacing w:after="0"/>
              <w:rPr>
                <w:sz w:val="1"/>
                <w:szCs w:val="1"/>
                <w:color w:val="auto"/>
              </w:rPr>
            </w:pPr>
          </w:p>
        </w:tc>
      </w:tr>
      <w:tr>
        <w:trPr>
          <w:trHeight w:val="230"/>
        </w:trPr>
        <w:tc>
          <w:tcPr>
            <w:tcW w:w="3100" w:type="dxa"/>
            <w:vAlign w:val="bottom"/>
            <w:gridSpan w:val="15"/>
          </w:tcPr>
          <w:p>
            <w:pPr>
              <w:ind w:left="40"/>
              <w:spacing w:after="0"/>
              <w:rPr>
                <w:sz w:val="20"/>
                <w:szCs w:val="20"/>
                <w:color w:val="auto"/>
              </w:rPr>
            </w:pPr>
            <w:r>
              <w:rPr>
                <w:rFonts w:ascii="Times New Roman" w:cs="Times New Roman" w:eastAsia="Times New Roman" w:hAnsi="Times New Roman"/>
                <w:sz w:val="14"/>
                <w:szCs w:val="14"/>
                <w:b w:val="1"/>
                <w:bCs w:val="1"/>
                <w:color w:val="auto"/>
              </w:rPr>
              <w:t>Coursera, Inc.</w:t>
            </w:r>
          </w:p>
        </w:tc>
        <w:tc>
          <w:tcPr>
            <w:tcW w:w="120" w:type="dxa"/>
            <w:vAlign w:val="bottom"/>
          </w:tcPr>
          <w:p>
            <w:pPr>
              <w:spacing w:after="0"/>
              <w:rPr>
                <w:sz w:val="19"/>
                <w:szCs w:val="19"/>
                <w:color w:val="auto"/>
              </w:rPr>
            </w:pPr>
          </w:p>
        </w:tc>
        <w:tc>
          <w:tcPr>
            <w:tcW w:w="2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Mountain View, CA</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gridSpan w:val="15"/>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shares, Series B</w:t>
            </w:r>
          </w:p>
        </w:tc>
        <w:tc>
          <w:tcPr>
            <w:tcW w:w="120" w:type="dxa"/>
            <w:vAlign w:val="bottom"/>
            <w:shd w:val="clear" w:color="auto" w:fill="CCEEFF"/>
          </w:tcPr>
          <w:p>
            <w:pPr>
              <w:spacing w:after="0"/>
              <w:rPr>
                <w:sz w:val="23"/>
                <w:szCs w:val="23"/>
                <w:color w:val="auto"/>
              </w:rPr>
            </w:pPr>
          </w:p>
        </w:tc>
        <w:tc>
          <w:tcPr>
            <w:tcW w:w="25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Online Education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6/9/2013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2,961,399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14,519,519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30,634,115</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14.51%</w:t>
            </w:r>
          </w:p>
        </w:tc>
        <w:tc>
          <w:tcPr>
            <w:tcW w:w="0" w:type="dxa"/>
            <w:vAlign w:val="bottom"/>
          </w:tcPr>
          <w:p>
            <w:pPr>
              <w:spacing w:after="0"/>
              <w:rPr>
                <w:sz w:val="1"/>
                <w:szCs w:val="1"/>
                <w:color w:val="auto"/>
              </w:rPr>
            </w:pPr>
          </w:p>
        </w:tc>
      </w:tr>
      <w:tr>
        <w:trPr>
          <w:trHeight w:val="230"/>
        </w:trPr>
        <w:tc>
          <w:tcPr>
            <w:tcW w:w="3100" w:type="dxa"/>
            <w:vAlign w:val="bottom"/>
            <w:gridSpan w:val="15"/>
          </w:tcPr>
          <w:p>
            <w:pPr>
              <w:ind w:left="40"/>
              <w:spacing w:after="0"/>
              <w:rPr>
                <w:sz w:val="20"/>
                <w:szCs w:val="20"/>
                <w:color w:val="auto"/>
              </w:rPr>
            </w:pPr>
            <w:r>
              <w:rPr>
                <w:rFonts w:ascii="Times New Roman" w:cs="Times New Roman" w:eastAsia="Times New Roman" w:hAnsi="Times New Roman"/>
                <w:sz w:val="14"/>
                <w:szCs w:val="14"/>
                <w:b w:val="1"/>
                <w:bCs w:val="1"/>
                <w:color w:val="auto"/>
              </w:rPr>
              <w:t>Lyft, Inc.**</w:t>
            </w:r>
          </w:p>
        </w:tc>
        <w:tc>
          <w:tcPr>
            <w:tcW w:w="120" w:type="dxa"/>
            <w:vAlign w:val="bottom"/>
          </w:tcPr>
          <w:p>
            <w:pPr>
              <w:spacing w:after="0"/>
              <w:rPr>
                <w:sz w:val="19"/>
                <w:szCs w:val="19"/>
                <w:color w:val="auto"/>
              </w:rPr>
            </w:pPr>
          </w:p>
        </w:tc>
        <w:tc>
          <w:tcPr>
            <w:tcW w:w="2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San Francisco, CA</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100" w:type="dxa"/>
            <w:vAlign w:val="bottom"/>
            <w:gridSpan w:val="15"/>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Common shares, Class A</w:t>
            </w:r>
            <w:r>
              <w:rPr>
                <w:rFonts w:ascii="Times New Roman" w:cs="Times New Roman" w:eastAsia="Times New Roman" w:hAnsi="Times New Roman"/>
                <w:sz w:val="8"/>
                <w:szCs w:val="8"/>
                <w:color w:val="auto"/>
              </w:rPr>
              <w:t>(3)(7)</w:t>
            </w:r>
          </w:p>
        </w:tc>
        <w:tc>
          <w:tcPr>
            <w:tcW w:w="120" w:type="dxa"/>
            <w:vAlign w:val="bottom"/>
            <w:shd w:val="clear" w:color="auto" w:fill="CCEEFF"/>
          </w:tcPr>
          <w:p>
            <w:pPr>
              <w:spacing w:after="0"/>
              <w:rPr>
                <w:sz w:val="24"/>
                <w:szCs w:val="24"/>
                <w:color w:val="auto"/>
              </w:rPr>
            </w:pPr>
          </w:p>
        </w:tc>
        <w:tc>
          <w:tcPr>
            <w:tcW w:w="25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On-Demand Transportation Services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3/21/2014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304,829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4,296,894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19,028,798</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0" w:type="dxa"/>
            <w:vAlign w:val="bottom"/>
          </w:tcPr>
          <w:p>
            <w:pPr>
              <w:spacing w:after="0"/>
              <w:rPr>
                <w:sz w:val="1"/>
                <w:szCs w:val="1"/>
                <w:color w:val="auto"/>
              </w:rPr>
            </w:pPr>
          </w:p>
        </w:tc>
      </w:tr>
      <w:tr>
        <w:trPr>
          <w:trHeight w:val="230"/>
        </w:trPr>
        <w:tc>
          <w:tcPr>
            <w:tcW w:w="3100" w:type="dxa"/>
            <w:vAlign w:val="bottom"/>
            <w:gridSpan w:val="15"/>
          </w:tcPr>
          <w:p>
            <w:pPr>
              <w:ind w:left="40"/>
              <w:spacing w:after="0"/>
              <w:rPr>
                <w:sz w:val="20"/>
                <w:szCs w:val="20"/>
                <w:color w:val="auto"/>
              </w:rPr>
            </w:pPr>
            <w:r>
              <w:rPr>
                <w:rFonts w:ascii="Times New Roman" w:cs="Times New Roman" w:eastAsia="Times New Roman" w:hAnsi="Times New Roman"/>
                <w:sz w:val="14"/>
                <w:szCs w:val="14"/>
                <w:b w:val="1"/>
                <w:bCs w:val="1"/>
                <w:color w:val="auto"/>
              </w:rPr>
              <w:t>Course Hero, Inc.</w:t>
            </w:r>
          </w:p>
        </w:tc>
        <w:tc>
          <w:tcPr>
            <w:tcW w:w="120" w:type="dxa"/>
            <w:vAlign w:val="bottom"/>
          </w:tcPr>
          <w:p>
            <w:pPr>
              <w:spacing w:after="0"/>
              <w:rPr>
                <w:sz w:val="19"/>
                <w:szCs w:val="19"/>
                <w:color w:val="auto"/>
              </w:rPr>
            </w:pP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Redwood City, CA</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100" w:type="dxa"/>
            <w:vAlign w:val="bottom"/>
            <w:gridSpan w:val="15"/>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shares, Series A</w:t>
            </w:r>
          </w:p>
        </w:tc>
        <w:tc>
          <w:tcPr>
            <w:tcW w:w="120" w:type="dxa"/>
            <w:vAlign w:val="bottom"/>
            <w:shd w:val="clear" w:color="auto" w:fill="CCEEFF"/>
          </w:tcPr>
          <w:p>
            <w:pPr>
              <w:spacing w:after="0"/>
              <w:rPr>
                <w:sz w:val="24"/>
                <w:szCs w:val="24"/>
                <w:color w:val="auto"/>
              </w:rPr>
            </w:pPr>
          </w:p>
        </w:tc>
        <w:tc>
          <w:tcPr>
            <w:tcW w:w="25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Online Education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9/18/2014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2,145,509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5,000,001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18,769,599</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w:t>
            </w:r>
          </w:p>
        </w:tc>
        <w:tc>
          <w:tcPr>
            <w:tcW w:w="0" w:type="dxa"/>
            <w:vAlign w:val="bottom"/>
          </w:tcPr>
          <w:p>
            <w:pPr>
              <w:spacing w:after="0"/>
              <w:rPr>
                <w:sz w:val="1"/>
                <w:szCs w:val="1"/>
                <w:color w:val="auto"/>
              </w:rPr>
            </w:pPr>
          </w:p>
        </w:tc>
      </w:tr>
      <w:tr>
        <w:trPr>
          <w:trHeight w:val="216"/>
        </w:trPr>
        <w:tc>
          <w:tcPr>
            <w:tcW w:w="3100" w:type="dxa"/>
            <w:vAlign w:val="bottom"/>
            <w:gridSpan w:val="15"/>
          </w:tcPr>
          <w:p>
            <w:pPr>
              <w:ind w:left="40"/>
              <w:spacing w:after="0"/>
              <w:rPr>
                <w:sz w:val="20"/>
                <w:szCs w:val="20"/>
                <w:color w:val="auto"/>
              </w:rPr>
            </w:pPr>
            <w:r>
              <w:rPr>
                <w:rFonts w:ascii="Times New Roman" w:cs="Times New Roman" w:eastAsia="Times New Roman" w:hAnsi="Times New Roman"/>
                <w:sz w:val="14"/>
                <w:szCs w:val="14"/>
                <w:b w:val="1"/>
                <w:bCs w:val="1"/>
                <w:color w:val="auto"/>
              </w:rPr>
              <w:t>Nextdoor.com, Inc.</w:t>
            </w:r>
          </w:p>
        </w:tc>
        <w:tc>
          <w:tcPr>
            <w:tcW w:w="120" w:type="dxa"/>
            <w:vAlign w:val="bottom"/>
          </w:tcPr>
          <w:p>
            <w:pPr>
              <w:spacing w:after="0"/>
              <w:rPr>
                <w:sz w:val="18"/>
                <w:szCs w:val="18"/>
                <w:color w:val="auto"/>
              </w:rPr>
            </w:pPr>
          </w:p>
        </w:tc>
        <w:tc>
          <w:tcPr>
            <w:tcW w:w="2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San Francisco, CA</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100" w:type="dxa"/>
            <w:vAlign w:val="bottom"/>
            <w:gridSpan w:val="15"/>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Common shares</w:t>
            </w:r>
          </w:p>
        </w:tc>
        <w:tc>
          <w:tcPr>
            <w:tcW w:w="120" w:type="dxa"/>
            <w:vAlign w:val="bottom"/>
            <w:shd w:val="clear" w:color="auto" w:fill="CCEEFF"/>
          </w:tcPr>
          <w:p>
            <w:pPr>
              <w:spacing w:after="0"/>
              <w:rPr>
                <w:sz w:val="24"/>
                <w:szCs w:val="24"/>
                <w:color w:val="auto"/>
              </w:rPr>
            </w:pPr>
          </w:p>
        </w:tc>
        <w:tc>
          <w:tcPr>
            <w:tcW w:w="25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Social Networking</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9/27/2018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580,360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10,006,578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11,040,043</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0" w:type="dxa"/>
            <w:vAlign w:val="bottom"/>
          </w:tcPr>
          <w:p>
            <w:pPr>
              <w:spacing w:after="0"/>
              <w:rPr>
                <w:sz w:val="1"/>
                <w:szCs w:val="1"/>
                <w:color w:val="auto"/>
              </w:rPr>
            </w:pPr>
          </w:p>
        </w:tc>
      </w:tr>
      <w:tr>
        <w:trPr>
          <w:trHeight w:val="230"/>
        </w:trPr>
        <w:tc>
          <w:tcPr>
            <w:tcW w:w="3100" w:type="dxa"/>
            <w:vAlign w:val="bottom"/>
            <w:gridSpan w:val="15"/>
          </w:tcPr>
          <w:p>
            <w:pPr>
              <w:ind w:left="40"/>
              <w:spacing w:after="0"/>
              <w:rPr>
                <w:sz w:val="20"/>
                <w:szCs w:val="20"/>
                <w:color w:val="auto"/>
              </w:rPr>
            </w:pPr>
            <w:r>
              <w:rPr>
                <w:rFonts w:ascii="Times New Roman" w:cs="Times New Roman" w:eastAsia="Times New Roman" w:hAnsi="Times New Roman"/>
                <w:sz w:val="14"/>
                <w:szCs w:val="14"/>
                <w:b w:val="1"/>
                <w:bCs w:val="1"/>
                <w:color w:val="auto"/>
              </w:rPr>
              <w:t>Dropbox, Inc.**</w:t>
            </w:r>
          </w:p>
        </w:tc>
        <w:tc>
          <w:tcPr>
            <w:tcW w:w="120" w:type="dxa"/>
            <w:vAlign w:val="bottom"/>
          </w:tcPr>
          <w:p>
            <w:pPr>
              <w:spacing w:after="0"/>
              <w:rPr>
                <w:sz w:val="19"/>
                <w:szCs w:val="19"/>
                <w:color w:val="auto"/>
              </w:rPr>
            </w:pPr>
          </w:p>
        </w:tc>
        <w:tc>
          <w:tcPr>
            <w:tcW w:w="2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San Francisco, CA</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gridSpan w:val="15"/>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Common shares</w:t>
            </w:r>
            <w:r>
              <w:rPr>
                <w:rFonts w:ascii="Times New Roman" w:cs="Times New Roman" w:eastAsia="Times New Roman" w:hAnsi="Times New Roman"/>
                <w:sz w:val="8"/>
                <w:szCs w:val="8"/>
                <w:color w:val="auto"/>
              </w:rPr>
              <w:t>(3)(10)</w:t>
            </w:r>
          </w:p>
        </w:tc>
        <w:tc>
          <w:tcPr>
            <w:tcW w:w="120" w:type="dxa"/>
            <w:vAlign w:val="bottom"/>
            <w:shd w:val="clear" w:color="auto" w:fill="CCEEFF"/>
          </w:tcPr>
          <w:p>
            <w:pPr>
              <w:spacing w:after="0"/>
              <w:rPr>
                <w:sz w:val="23"/>
                <w:szCs w:val="23"/>
                <w:color w:val="auto"/>
              </w:rPr>
            </w:pPr>
          </w:p>
        </w:tc>
        <w:tc>
          <w:tcPr>
            <w:tcW w:w="25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Cloud Computing Services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11/15/2011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437,530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7,462,506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10,960,127</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0" w:type="dxa"/>
            <w:vAlign w:val="bottom"/>
          </w:tcPr>
          <w:p>
            <w:pPr>
              <w:spacing w:after="0"/>
              <w:rPr>
                <w:sz w:val="1"/>
                <w:szCs w:val="1"/>
                <w:color w:val="auto"/>
              </w:rPr>
            </w:pPr>
          </w:p>
        </w:tc>
      </w:tr>
      <w:tr>
        <w:trPr>
          <w:trHeight w:val="223"/>
        </w:trPr>
        <w:tc>
          <w:tcPr>
            <w:tcW w:w="3100" w:type="dxa"/>
            <w:vAlign w:val="bottom"/>
            <w:gridSpan w:val="15"/>
          </w:tcPr>
          <w:p>
            <w:pPr>
              <w:ind w:left="40"/>
              <w:spacing w:after="0"/>
              <w:rPr>
                <w:sz w:val="20"/>
                <w:szCs w:val="20"/>
                <w:color w:val="auto"/>
              </w:rPr>
            </w:pPr>
            <w:r>
              <w:rPr>
                <w:rFonts w:ascii="Times New Roman" w:cs="Times New Roman" w:eastAsia="Times New Roman" w:hAnsi="Times New Roman"/>
                <w:sz w:val="14"/>
                <w:szCs w:val="14"/>
                <w:b w:val="1"/>
                <w:bCs w:val="1"/>
                <w:color w:val="auto"/>
              </w:rPr>
              <w:t>Neutron Holdings, Inc. (d/b/a/ Lime)</w:t>
            </w:r>
          </w:p>
        </w:tc>
        <w:tc>
          <w:tcPr>
            <w:tcW w:w="120" w:type="dxa"/>
            <w:vAlign w:val="bottom"/>
          </w:tcPr>
          <w:p>
            <w:pPr>
              <w:spacing w:after="0"/>
              <w:rPr>
                <w:sz w:val="19"/>
                <w:szCs w:val="19"/>
                <w:color w:val="auto"/>
              </w:rPr>
            </w:pPr>
          </w:p>
        </w:tc>
        <w:tc>
          <w:tcPr>
            <w:tcW w:w="2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San Francisco, CA</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100" w:type="dxa"/>
            <w:vAlign w:val="bottom"/>
            <w:gridSpan w:val="15"/>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Shares, Series D</w:t>
            </w:r>
          </w:p>
        </w:tc>
        <w:tc>
          <w:tcPr>
            <w:tcW w:w="120" w:type="dxa"/>
            <w:vAlign w:val="bottom"/>
            <w:shd w:val="clear" w:color="auto" w:fill="CCEEFF"/>
          </w:tcPr>
          <w:p>
            <w:pPr>
              <w:spacing w:after="0"/>
              <w:rPr>
                <w:sz w:val="24"/>
                <w:szCs w:val="24"/>
                <w:color w:val="auto"/>
              </w:rPr>
            </w:pPr>
          </w:p>
        </w:tc>
        <w:tc>
          <w:tcPr>
            <w:tcW w:w="25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Micromobility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1/25/2019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41,237,113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10,006,800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10,000,000</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0" w:type="dxa"/>
            <w:vAlign w:val="bottom"/>
          </w:tcPr>
          <w:p>
            <w:pPr>
              <w:spacing w:after="0"/>
              <w:rPr>
                <w:sz w:val="1"/>
                <w:szCs w:val="1"/>
                <w:color w:val="auto"/>
              </w:rPr>
            </w:pPr>
          </w:p>
        </w:tc>
      </w:tr>
      <w:tr>
        <w:trPr>
          <w:trHeight w:val="230"/>
        </w:trPr>
        <w:tc>
          <w:tcPr>
            <w:tcW w:w="3100" w:type="dxa"/>
            <w:vAlign w:val="bottom"/>
            <w:gridSpan w:val="15"/>
          </w:tcPr>
          <w:p>
            <w:pPr>
              <w:ind w:left="40"/>
              <w:spacing w:after="0"/>
              <w:rPr>
                <w:sz w:val="20"/>
                <w:szCs w:val="20"/>
                <w:color w:val="auto"/>
              </w:rPr>
            </w:pPr>
            <w:r>
              <w:rPr>
                <w:rFonts w:ascii="Times New Roman" w:cs="Times New Roman" w:eastAsia="Times New Roman" w:hAnsi="Times New Roman"/>
                <w:sz w:val="14"/>
                <w:szCs w:val="14"/>
                <w:b w:val="1"/>
                <w:bCs w:val="1"/>
                <w:color w:val="auto"/>
              </w:rPr>
              <w:t>Enjoy Technology, Inc.</w:t>
            </w:r>
          </w:p>
        </w:tc>
        <w:tc>
          <w:tcPr>
            <w:tcW w:w="120" w:type="dxa"/>
            <w:vAlign w:val="bottom"/>
          </w:tcPr>
          <w:p>
            <w:pPr>
              <w:spacing w:after="0"/>
              <w:rPr>
                <w:sz w:val="19"/>
                <w:szCs w:val="19"/>
                <w:color w:val="auto"/>
              </w:rPr>
            </w:pP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Menlo Park, CA</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100" w:type="dxa"/>
            <w:vAlign w:val="bottom"/>
            <w:gridSpan w:val="15"/>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shares, Series B</w:t>
            </w:r>
          </w:p>
        </w:tc>
        <w:tc>
          <w:tcPr>
            <w:tcW w:w="120" w:type="dxa"/>
            <w:vAlign w:val="bottom"/>
            <w:shd w:val="clear" w:color="auto" w:fill="CCEEFF"/>
          </w:tcPr>
          <w:p>
            <w:pPr>
              <w:spacing w:after="0"/>
              <w:rPr>
                <w:sz w:val="24"/>
                <w:szCs w:val="24"/>
                <w:color w:val="auto"/>
              </w:rPr>
            </w:pPr>
          </w:p>
        </w:tc>
        <w:tc>
          <w:tcPr>
            <w:tcW w:w="2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On-Demand Commerce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7/29/2015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1,681,520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4,000,280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6,380,359</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0" w:type="dxa"/>
            <w:vAlign w:val="bottom"/>
          </w:tcPr>
          <w:p>
            <w:pPr>
              <w:spacing w:after="0"/>
              <w:rPr>
                <w:sz w:val="1"/>
                <w:szCs w:val="1"/>
                <w:color w:val="auto"/>
              </w:rPr>
            </w:pPr>
          </w:p>
        </w:tc>
      </w:tr>
      <w:tr>
        <w:trPr>
          <w:trHeight w:val="252"/>
        </w:trPr>
        <w:tc>
          <w:tcPr>
            <w:tcW w:w="3100" w:type="dxa"/>
            <w:vAlign w:val="bottom"/>
            <w:tcBorders>
              <w:bottom w:val="single" w:sz="8" w:color="CCEEFF"/>
            </w:tcBorders>
            <w:gridSpan w:val="15"/>
          </w:tcPr>
          <w:p>
            <w:pPr>
              <w:ind w:left="40"/>
              <w:spacing w:after="0"/>
              <w:rPr>
                <w:sz w:val="20"/>
                <w:szCs w:val="20"/>
                <w:color w:val="auto"/>
              </w:rPr>
            </w:pPr>
            <w:r>
              <w:rPr>
                <w:rFonts w:ascii="Times New Roman" w:cs="Times New Roman" w:eastAsia="Times New Roman" w:hAnsi="Times New Roman"/>
                <w:sz w:val="14"/>
                <w:szCs w:val="14"/>
                <w:color w:val="auto"/>
              </w:rPr>
              <w:t>Preferred shares, Series A</w:t>
            </w:r>
          </w:p>
        </w:tc>
        <w:tc>
          <w:tcPr>
            <w:tcW w:w="120" w:type="dxa"/>
            <w:vAlign w:val="bottom"/>
            <w:tcBorders>
              <w:bottom w:val="single" w:sz="8" w:color="CCEEFF"/>
            </w:tcBorders>
          </w:tcPr>
          <w:p>
            <w:pPr>
              <w:spacing w:after="0"/>
              <w:rPr>
                <w:sz w:val="21"/>
                <w:szCs w:val="21"/>
                <w:color w:val="auto"/>
              </w:rPr>
            </w:pPr>
          </w:p>
        </w:tc>
        <w:tc>
          <w:tcPr>
            <w:tcW w:w="24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10/16/2014</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rPr>
              <w:t>879,198</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1,002,440</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3,336,029</w:t>
            </w:r>
          </w:p>
        </w:tc>
        <w:tc>
          <w:tcPr>
            <w:tcW w:w="10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060" w:type="dxa"/>
            <w:vAlign w:val="bottom"/>
            <w:tcBorders>
              <w:bottom w:val="single" w:sz="8" w:color="CCEEFF"/>
            </w:tcBorders>
            <w:gridSpan w:val="14"/>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2400" w:type="dxa"/>
            <w:vAlign w:val="bottom"/>
            <w:tcBorders>
              <w:bottom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5,002,720</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9,716,388</w:t>
            </w:r>
          </w:p>
        </w:tc>
        <w:tc>
          <w:tcPr>
            <w:tcW w:w="100" w:type="dxa"/>
            <w:vAlign w:val="bottom"/>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0" w:type="dxa"/>
            <w:vAlign w:val="bottom"/>
          </w:tcPr>
          <w:p>
            <w:pPr>
              <w:spacing w:after="0"/>
              <w:rPr>
                <w:sz w:val="1"/>
                <w:szCs w:val="1"/>
                <w:color w:val="auto"/>
              </w:rPr>
            </w:pPr>
          </w:p>
        </w:tc>
      </w:tr>
      <w:tr>
        <w:trPr>
          <w:trHeight w:val="228"/>
        </w:trPr>
        <w:tc>
          <w:tcPr>
            <w:tcW w:w="3100" w:type="dxa"/>
            <w:vAlign w:val="bottom"/>
            <w:gridSpan w:val="15"/>
          </w:tcPr>
          <w:p>
            <w:pPr>
              <w:ind w:left="40"/>
              <w:spacing w:after="0"/>
              <w:rPr>
                <w:sz w:val="20"/>
                <w:szCs w:val="20"/>
                <w:color w:val="auto"/>
              </w:rPr>
            </w:pPr>
            <w:r>
              <w:rPr>
                <w:rFonts w:ascii="Times New Roman" w:cs="Times New Roman" w:eastAsia="Times New Roman" w:hAnsi="Times New Roman"/>
                <w:sz w:val="14"/>
                <w:szCs w:val="14"/>
                <w:b w:val="1"/>
                <w:bCs w:val="1"/>
                <w:color w:val="auto"/>
              </w:rPr>
              <w:t>Parchment, Inc.</w:t>
            </w:r>
          </w:p>
        </w:tc>
        <w:tc>
          <w:tcPr>
            <w:tcW w:w="120" w:type="dxa"/>
            <w:vAlign w:val="bottom"/>
          </w:tcPr>
          <w:p>
            <w:pPr>
              <w:spacing w:after="0"/>
              <w:rPr>
                <w:sz w:val="19"/>
                <w:szCs w:val="19"/>
                <w:color w:val="auto"/>
              </w:rPr>
            </w:pP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Scottsdale, AZ</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100" w:type="dxa"/>
            <w:vAlign w:val="bottom"/>
            <w:gridSpan w:val="15"/>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shares, Series D 8%</w:t>
            </w:r>
          </w:p>
        </w:tc>
        <w:tc>
          <w:tcPr>
            <w:tcW w:w="120" w:type="dxa"/>
            <w:vAlign w:val="bottom"/>
            <w:shd w:val="clear" w:color="auto" w:fill="CCEEFF"/>
          </w:tcPr>
          <w:p>
            <w:pPr>
              <w:spacing w:after="0"/>
              <w:rPr>
                <w:sz w:val="24"/>
                <w:szCs w:val="24"/>
                <w:color w:val="auto"/>
              </w:rPr>
            </w:pPr>
          </w:p>
        </w:tc>
        <w:tc>
          <w:tcPr>
            <w:tcW w:w="25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E-Transcript Exchange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10/1/2012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3,200,512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4,000,982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8,904,893</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0" w:type="dxa"/>
            <w:vAlign w:val="bottom"/>
          </w:tcPr>
          <w:p>
            <w:pPr>
              <w:spacing w:after="0"/>
              <w:rPr>
                <w:sz w:val="1"/>
                <w:szCs w:val="1"/>
                <w:color w:val="auto"/>
              </w:rPr>
            </w:pPr>
          </w:p>
        </w:tc>
      </w:tr>
      <w:tr>
        <w:trPr>
          <w:trHeight w:val="230"/>
        </w:trPr>
        <w:tc>
          <w:tcPr>
            <w:tcW w:w="3100" w:type="dxa"/>
            <w:vAlign w:val="bottom"/>
            <w:gridSpan w:val="15"/>
          </w:tcPr>
          <w:p>
            <w:pPr>
              <w:ind w:left="40"/>
              <w:spacing w:after="0"/>
              <w:rPr>
                <w:sz w:val="20"/>
                <w:szCs w:val="20"/>
                <w:color w:val="auto"/>
              </w:rPr>
            </w:pPr>
            <w:r>
              <w:rPr>
                <w:rFonts w:ascii="Times New Roman" w:cs="Times New Roman" w:eastAsia="Times New Roman" w:hAnsi="Times New Roman"/>
                <w:sz w:val="14"/>
                <w:szCs w:val="14"/>
                <w:b w:val="1"/>
                <w:bCs w:val="1"/>
                <w:color w:val="auto"/>
              </w:rPr>
              <w:t>SharesPost, Inc.</w:t>
            </w:r>
          </w:p>
        </w:tc>
        <w:tc>
          <w:tcPr>
            <w:tcW w:w="120" w:type="dxa"/>
            <w:vAlign w:val="bottom"/>
          </w:tcPr>
          <w:p>
            <w:pPr>
              <w:spacing w:after="0"/>
              <w:rPr>
                <w:sz w:val="19"/>
                <w:szCs w:val="19"/>
                <w:color w:val="auto"/>
              </w:rPr>
            </w:pPr>
          </w:p>
        </w:tc>
        <w:tc>
          <w:tcPr>
            <w:tcW w:w="2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San Francisco, CA</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100" w:type="dxa"/>
            <w:vAlign w:val="bottom"/>
            <w:gridSpan w:val="15"/>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shares, Series B</w:t>
            </w:r>
          </w:p>
        </w:tc>
        <w:tc>
          <w:tcPr>
            <w:tcW w:w="120" w:type="dxa"/>
            <w:vAlign w:val="bottom"/>
            <w:shd w:val="clear" w:color="auto" w:fill="CCEEFF"/>
          </w:tcPr>
          <w:p>
            <w:pPr>
              <w:spacing w:after="0"/>
              <w:rPr>
                <w:sz w:val="24"/>
                <w:szCs w:val="24"/>
                <w:color w:val="auto"/>
              </w:rPr>
            </w:pPr>
          </w:p>
        </w:tc>
        <w:tc>
          <w:tcPr>
            <w:tcW w:w="25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Online Marketplace Finance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7/19/2011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1,771,653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2,259,716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6,824,466</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0" w:type="dxa"/>
            <w:vAlign w:val="bottom"/>
          </w:tcPr>
          <w:p>
            <w:pPr>
              <w:spacing w:after="0"/>
              <w:rPr>
                <w:sz w:val="1"/>
                <w:szCs w:val="1"/>
                <w:color w:val="auto"/>
              </w:rPr>
            </w:pPr>
          </w:p>
        </w:tc>
      </w:tr>
      <w:tr>
        <w:trPr>
          <w:trHeight w:val="265"/>
        </w:trPr>
        <w:tc>
          <w:tcPr>
            <w:tcW w:w="3100" w:type="dxa"/>
            <w:vAlign w:val="bottom"/>
            <w:tcBorders>
              <w:bottom w:val="single" w:sz="8" w:color="CCEEFF"/>
            </w:tcBorders>
            <w:gridSpan w:val="15"/>
          </w:tcPr>
          <w:p>
            <w:pPr>
              <w:ind w:left="40"/>
              <w:spacing w:after="0"/>
              <w:rPr>
                <w:sz w:val="20"/>
                <w:szCs w:val="20"/>
                <w:color w:val="auto"/>
              </w:rPr>
            </w:pPr>
            <w:r>
              <w:rPr>
                <w:rFonts w:ascii="Times New Roman" w:cs="Times New Roman" w:eastAsia="Times New Roman" w:hAnsi="Times New Roman"/>
                <w:sz w:val="14"/>
                <w:szCs w:val="14"/>
                <w:color w:val="auto"/>
              </w:rPr>
              <w:t>Common shares</w:t>
            </w:r>
          </w:p>
        </w:tc>
        <w:tc>
          <w:tcPr>
            <w:tcW w:w="120" w:type="dxa"/>
            <w:vAlign w:val="bottom"/>
            <w:tcBorders>
              <w:bottom w:val="single" w:sz="8" w:color="CCEEFF"/>
            </w:tcBorders>
          </w:tcPr>
          <w:p>
            <w:pPr>
              <w:spacing w:after="0"/>
              <w:rPr>
                <w:sz w:val="23"/>
                <w:szCs w:val="23"/>
                <w:color w:val="auto"/>
              </w:rPr>
            </w:pPr>
          </w:p>
        </w:tc>
        <w:tc>
          <w:tcPr>
            <w:tcW w:w="24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1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7/20/2011</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840" w:type="dxa"/>
            <w:vAlign w:val="bottom"/>
            <w:tcBorders>
              <w:bottom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rPr>
              <w:t>770,934</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123,987</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982,093</w:t>
            </w:r>
          </w:p>
        </w:tc>
        <w:tc>
          <w:tcPr>
            <w:tcW w:w="100" w:type="dxa"/>
            <w:vAlign w:val="bottom"/>
            <w:tcBorders>
              <w:bottom w:val="single" w:sz="8" w:color="CCEEFF"/>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0.47%</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060" w:type="dxa"/>
            <w:vAlign w:val="bottom"/>
            <w:tcBorders>
              <w:bottom w:val="single" w:sz="8" w:color="CCEEFF"/>
            </w:tcBorders>
            <w:gridSpan w:val="14"/>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2400" w:type="dxa"/>
            <w:vAlign w:val="bottom"/>
            <w:tcBorders>
              <w:bottom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2,383,703</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7,806,559</w:t>
            </w:r>
          </w:p>
        </w:tc>
        <w:tc>
          <w:tcPr>
            <w:tcW w:w="100" w:type="dxa"/>
            <w:vAlign w:val="bottom"/>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0" w:type="dxa"/>
            <w:vAlign w:val="bottom"/>
          </w:tcPr>
          <w:p>
            <w:pPr>
              <w:spacing w:after="0"/>
              <w:rPr>
                <w:sz w:val="1"/>
                <w:szCs w:val="1"/>
                <w:color w:val="auto"/>
              </w:rPr>
            </w:pPr>
          </w:p>
        </w:tc>
      </w:tr>
      <w:tr>
        <w:trPr>
          <w:trHeight w:val="228"/>
        </w:trPr>
        <w:tc>
          <w:tcPr>
            <w:tcW w:w="3100" w:type="dxa"/>
            <w:vAlign w:val="bottom"/>
            <w:gridSpan w:val="15"/>
          </w:tcPr>
          <w:p>
            <w:pPr>
              <w:ind w:left="40"/>
              <w:spacing w:after="0"/>
              <w:rPr>
                <w:sz w:val="20"/>
                <w:szCs w:val="20"/>
                <w:color w:val="auto"/>
              </w:rPr>
            </w:pPr>
            <w:r>
              <w:rPr>
                <w:rFonts w:ascii="Times New Roman" w:cs="Times New Roman" w:eastAsia="Times New Roman" w:hAnsi="Times New Roman"/>
                <w:sz w:val="14"/>
                <w:szCs w:val="14"/>
                <w:b w:val="1"/>
                <w:bCs w:val="1"/>
                <w:color w:val="auto"/>
              </w:rPr>
              <w:t>Aspiration Partners, Inc.</w:t>
            </w:r>
          </w:p>
        </w:tc>
        <w:tc>
          <w:tcPr>
            <w:tcW w:w="120" w:type="dxa"/>
            <w:vAlign w:val="bottom"/>
          </w:tcPr>
          <w:p>
            <w:pPr>
              <w:spacing w:after="0"/>
              <w:rPr>
                <w:sz w:val="19"/>
                <w:szCs w:val="19"/>
                <w:color w:val="auto"/>
              </w:rPr>
            </w:pPr>
          </w:p>
        </w:tc>
        <w:tc>
          <w:tcPr>
            <w:tcW w:w="2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Marina Del Rey, CA</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100" w:type="dxa"/>
            <w:vAlign w:val="bottom"/>
            <w:gridSpan w:val="15"/>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shares, Series A</w:t>
            </w:r>
          </w:p>
        </w:tc>
        <w:tc>
          <w:tcPr>
            <w:tcW w:w="120" w:type="dxa"/>
            <w:vAlign w:val="bottom"/>
            <w:shd w:val="clear" w:color="auto" w:fill="CCEEFF"/>
          </w:tcPr>
          <w:p>
            <w:pPr>
              <w:spacing w:after="0"/>
              <w:rPr>
                <w:sz w:val="24"/>
                <w:szCs w:val="24"/>
                <w:color w:val="auto"/>
              </w:rPr>
            </w:pPr>
          </w:p>
        </w:tc>
        <w:tc>
          <w:tcPr>
            <w:tcW w:w="2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Financial Services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8/11/2015</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540,270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1,001,815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6,032,799</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0" w:type="dxa"/>
            <w:vAlign w:val="bottom"/>
          </w:tcPr>
          <w:p>
            <w:pPr>
              <w:spacing w:after="0"/>
              <w:rPr>
                <w:sz w:val="1"/>
                <w:szCs w:val="1"/>
                <w:color w:val="auto"/>
              </w:rPr>
            </w:pPr>
          </w:p>
        </w:tc>
      </w:tr>
      <w:tr>
        <w:trPr>
          <w:trHeight w:val="223"/>
        </w:trPr>
        <w:tc>
          <w:tcPr>
            <w:tcW w:w="3100" w:type="dxa"/>
            <w:vAlign w:val="bottom"/>
            <w:gridSpan w:val="15"/>
          </w:tcPr>
          <w:p>
            <w:pPr>
              <w:ind w:left="40"/>
              <w:spacing w:after="0"/>
              <w:rPr>
                <w:sz w:val="20"/>
                <w:szCs w:val="20"/>
                <w:color w:val="auto"/>
              </w:rPr>
            </w:pPr>
            <w:r>
              <w:rPr>
                <w:rFonts w:ascii="Times New Roman" w:cs="Times New Roman" w:eastAsia="Times New Roman" w:hAnsi="Times New Roman"/>
                <w:sz w:val="14"/>
                <w:szCs w:val="14"/>
                <w:b w:val="1"/>
                <w:bCs w:val="1"/>
                <w:color w:val="auto"/>
              </w:rPr>
              <w:t>A Place for Rover Inc. (f/k/a DogVacay, Inc.)</w:t>
            </w:r>
          </w:p>
        </w:tc>
        <w:tc>
          <w:tcPr>
            <w:tcW w:w="120" w:type="dxa"/>
            <w:vAlign w:val="bottom"/>
          </w:tcPr>
          <w:p>
            <w:pPr>
              <w:spacing w:after="0"/>
              <w:rPr>
                <w:sz w:val="19"/>
                <w:szCs w:val="19"/>
                <w:color w:val="auto"/>
              </w:rPr>
            </w:pPr>
          </w:p>
        </w:tc>
        <w:tc>
          <w:tcPr>
            <w:tcW w:w="2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9"/>
              </w:rPr>
              <w:t>Seattle, WA</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gridSpan w:val="15"/>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Common shares</w:t>
            </w:r>
          </w:p>
        </w:tc>
        <w:tc>
          <w:tcPr>
            <w:tcW w:w="120" w:type="dxa"/>
            <w:vAlign w:val="bottom"/>
            <w:shd w:val="clear" w:color="auto" w:fill="CCEEFF"/>
          </w:tcPr>
          <w:p>
            <w:pPr>
              <w:spacing w:after="0"/>
              <w:rPr>
                <w:sz w:val="23"/>
                <w:szCs w:val="23"/>
                <w:color w:val="auto"/>
              </w:rPr>
            </w:pPr>
          </w:p>
        </w:tc>
        <w:tc>
          <w:tcPr>
            <w:tcW w:w="2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Peer-to-Peer Pet Services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11/3/2014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707,991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2,506,119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2,473,496</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230"/>
        </w:trPr>
        <w:tc>
          <w:tcPr>
            <w:tcW w:w="3100" w:type="dxa"/>
            <w:vAlign w:val="bottom"/>
            <w:gridSpan w:val="15"/>
          </w:tcPr>
          <w:p>
            <w:pPr>
              <w:ind w:left="40"/>
              <w:spacing w:after="0"/>
              <w:rPr>
                <w:sz w:val="20"/>
                <w:szCs w:val="20"/>
                <w:color w:val="auto"/>
              </w:rPr>
            </w:pPr>
            <w:r>
              <w:rPr>
                <w:rFonts w:ascii="Times New Roman" w:cs="Times New Roman" w:eastAsia="Times New Roman" w:hAnsi="Times New Roman"/>
                <w:sz w:val="14"/>
                <w:szCs w:val="14"/>
                <w:b w:val="1"/>
                <w:bCs w:val="1"/>
                <w:color w:val="auto"/>
              </w:rPr>
              <w:t>Clever, Inc.</w:t>
            </w:r>
          </w:p>
        </w:tc>
        <w:tc>
          <w:tcPr>
            <w:tcW w:w="120" w:type="dxa"/>
            <w:vAlign w:val="bottom"/>
          </w:tcPr>
          <w:p>
            <w:pPr>
              <w:spacing w:after="0"/>
              <w:rPr>
                <w:sz w:val="19"/>
                <w:szCs w:val="19"/>
                <w:color w:val="auto"/>
              </w:rPr>
            </w:pPr>
          </w:p>
        </w:tc>
        <w:tc>
          <w:tcPr>
            <w:tcW w:w="2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San Francisco, CA</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3100" w:type="dxa"/>
            <w:vAlign w:val="bottom"/>
            <w:gridSpan w:val="15"/>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shares, Series B</w:t>
            </w:r>
          </w:p>
        </w:tc>
        <w:tc>
          <w:tcPr>
            <w:tcW w:w="120" w:type="dxa"/>
            <w:vAlign w:val="bottom"/>
            <w:shd w:val="clear" w:color="auto" w:fill="CCEEFF"/>
          </w:tcPr>
          <w:p>
            <w:pPr>
              <w:spacing w:after="0"/>
              <w:rPr>
                <w:sz w:val="24"/>
                <w:szCs w:val="24"/>
                <w:color w:val="auto"/>
              </w:rPr>
            </w:pPr>
          </w:p>
        </w:tc>
        <w:tc>
          <w:tcPr>
            <w:tcW w:w="2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Education Software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12/5/2014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1,799,047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2,000,601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2,000,001</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0.95%</w:t>
            </w:r>
          </w:p>
        </w:tc>
        <w:tc>
          <w:tcPr>
            <w:tcW w:w="0" w:type="dxa"/>
            <w:vAlign w:val="bottom"/>
          </w:tcPr>
          <w:p>
            <w:pPr>
              <w:spacing w:after="0"/>
              <w:rPr>
                <w:sz w:val="1"/>
                <w:szCs w:val="1"/>
                <w:color w:val="auto"/>
              </w:rPr>
            </w:pPr>
          </w:p>
        </w:tc>
      </w:tr>
      <w:tr>
        <w:trPr>
          <w:trHeight w:val="230"/>
        </w:trPr>
        <w:tc>
          <w:tcPr>
            <w:tcW w:w="3100" w:type="dxa"/>
            <w:vAlign w:val="bottom"/>
            <w:gridSpan w:val="15"/>
          </w:tcPr>
          <w:p>
            <w:pPr>
              <w:ind w:left="40"/>
              <w:spacing w:after="0"/>
              <w:rPr>
                <w:sz w:val="20"/>
                <w:szCs w:val="20"/>
                <w:color w:val="auto"/>
              </w:rPr>
            </w:pPr>
            <w:r>
              <w:rPr>
                <w:rFonts w:ascii="Times New Roman" w:cs="Times New Roman" w:eastAsia="Times New Roman" w:hAnsi="Times New Roman"/>
                <w:sz w:val="14"/>
                <w:szCs w:val="14"/>
                <w:b w:val="1"/>
                <w:bCs w:val="1"/>
                <w:color w:val="auto"/>
              </w:rPr>
              <w:t>Tynker (f/k/a Neuron Fuel, Inc.)</w:t>
            </w:r>
          </w:p>
        </w:tc>
        <w:tc>
          <w:tcPr>
            <w:tcW w:w="120" w:type="dxa"/>
            <w:vAlign w:val="bottom"/>
          </w:tcPr>
          <w:p>
            <w:pPr>
              <w:spacing w:after="0"/>
              <w:rPr>
                <w:sz w:val="19"/>
                <w:szCs w:val="19"/>
                <w:color w:val="auto"/>
              </w:rPr>
            </w:pPr>
          </w:p>
        </w:tc>
        <w:tc>
          <w:tcPr>
            <w:tcW w:w="2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Mountain View, CA</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gridSpan w:val="15"/>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shares, Series A 8%</w:t>
            </w:r>
          </w:p>
        </w:tc>
        <w:tc>
          <w:tcPr>
            <w:tcW w:w="120" w:type="dxa"/>
            <w:vAlign w:val="bottom"/>
            <w:shd w:val="clear" w:color="auto" w:fill="CCEEFF"/>
          </w:tcPr>
          <w:p>
            <w:pPr>
              <w:spacing w:after="0"/>
              <w:rPr>
                <w:sz w:val="23"/>
                <w:szCs w:val="23"/>
                <w:color w:val="auto"/>
              </w:rPr>
            </w:pPr>
          </w:p>
        </w:tc>
        <w:tc>
          <w:tcPr>
            <w:tcW w:w="25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Computer Software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8/8/2012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534,162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309,310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789,491</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0" w:type="dxa"/>
            <w:vAlign w:val="bottom"/>
          </w:tcPr>
          <w:p>
            <w:pPr>
              <w:spacing w:after="0"/>
              <w:rPr>
                <w:sz w:val="1"/>
                <w:szCs w:val="1"/>
                <w:color w:val="auto"/>
              </w:rPr>
            </w:pPr>
          </w:p>
        </w:tc>
      </w:tr>
      <w:tr>
        <w:trPr>
          <w:trHeight w:val="230"/>
        </w:trPr>
        <w:tc>
          <w:tcPr>
            <w:tcW w:w="3100" w:type="dxa"/>
            <w:vAlign w:val="bottom"/>
            <w:gridSpan w:val="15"/>
          </w:tcPr>
          <w:p>
            <w:pPr>
              <w:ind w:left="40"/>
              <w:spacing w:after="0"/>
              <w:rPr>
                <w:sz w:val="20"/>
                <w:szCs w:val="20"/>
                <w:color w:val="auto"/>
              </w:rPr>
            </w:pPr>
            <w:r>
              <w:rPr>
                <w:rFonts w:ascii="Times New Roman" w:cs="Times New Roman" w:eastAsia="Times New Roman" w:hAnsi="Times New Roman"/>
                <w:sz w:val="14"/>
                <w:szCs w:val="14"/>
                <w:b w:val="1"/>
                <w:bCs w:val="1"/>
                <w:color w:val="auto"/>
              </w:rPr>
              <w:t>4C Insights (f/k/a The Echo Systems Corp.)</w:t>
            </w:r>
          </w:p>
        </w:tc>
        <w:tc>
          <w:tcPr>
            <w:tcW w:w="120" w:type="dxa"/>
            <w:vAlign w:val="bottom"/>
          </w:tcPr>
          <w:p>
            <w:pPr>
              <w:spacing w:after="0"/>
              <w:rPr>
                <w:sz w:val="19"/>
                <w:szCs w:val="19"/>
                <w:color w:val="auto"/>
              </w:rPr>
            </w:pPr>
          </w:p>
        </w:tc>
        <w:tc>
          <w:tcPr>
            <w:tcW w:w="2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Chicago, IL</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gridSpan w:val="15"/>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Common shares</w:t>
            </w:r>
          </w:p>
        </w:tc>
        <w:tc>
          <w:tcPr>
            <w:tcW w:w="120" w:type="dxa"/>
            <w:vAlign w:val="bottom"/>
            <w:shd w:val="clear" w:color="auto" w:fill="CCEEFF"/>
          </w:tcPr>
          <w:p>
            <w:pPr>
              <w:spacing w:after="0"/>
              <w:rPr>
                <w:sz w:val="23"/>
                <w:szCs w:val="23"/>
                <w:color w:val="auto"/>
              </w:rPr>
            </w:pPr>
          </w:p>
        </w:tc>
        <w:tc>
          <w:tcPr>
            <w:tcW w:w="25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Social Data Platform</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3/30/2012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436,219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1,436,404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201,356</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0" w:type="dxa"/>
            <w:vAlign w:val="bottom"/>
          </w:tcPr>
          <w:p>
            <w:pPr>
              <w:spacing w:after="0"/>
              <w:rPr>
                <w:sz w:val="1"/>
                <w:szCs w:val="1"/>
                <w:color w:val="auto"/>
              </w:rPr>
            </w:pPr>
          </w:p>
        </w:tc>
      </w:tr>
      <w:tr>
        <w:trPr>
          <w:trHeight w:val="230"/>
        </w:trPr>
        <w:tc>
          <w:tcPr>
            <w:tcW w:w="3100" w:type="dxa"/>
            <w:vAlign w:val="bottom"/>
            <w:gridSpan w:val="15"/>
          </w:tcPr>
          <w:p>
            <w:pPr>
              <w:ind w:left="40"/>
              <w:spacing w:after="0"/>
              <w:rPr>
                <w:sz w:val="20"/>
                <w:szCs w:val="20"/>
                <w:color w:val="auto"/>
              </w:rPr>
            </w:pPr>
            <w:r>
              <w:rPr>
                <w:rFonts w:ascii="Times New Roman" w:cs="Times New Roman" w:eastAsia="Times New Roman" w:hAnsi="Times New Roman"/>
                <w:sz w:val="14"/>
                <w:szCs w:val="14"/>
                <w:b w:val="1"/>
                <w:bCs w:val="1"/>
                <w:color w:val="auto"/>
              </w:rPr>
              <w:t>Fullbridge, Inc.</w:t>
            </w:r>
          </w:p>
        </w:tc>
        <w:tc>
          <w:tcPr>
            <w:tcW w:w="120" w:type="dxa"/>
            <w:vAlign w:val="bottom"/>
          </w:tcPr>
          <w:p>
            <w:pPr>
              <w:spacing w:after="0"/>
              <w:rPr>
                <w:sz w:val="19"/>
                <w:szCs w:val="19"/>
                <w:color w:val="auto"/>
              </w:rPr>
            </w:pP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Cambridge, MA</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gridSpan w:val="15"/>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Common shares</w:t>
            </w:r>
          </w:p>
        </w:tc>
        <w:tc>
          <w:tcPr>
            <w:tcW w:w="120" w:type="dxa"/>
            <w:vAlign w:val="bottom"/>
            <w:shd w:val="clear" w:color="auto" w:fill="CCEEFF"/>
          </w:tcPr>
          <w:p>
            <w:pPr>
              <w:spacing w:after="0"/>
              <w:rPr>
                <w:sz w:val="23"/>
                <w:szCs w:val="23"/>
                <w:color w:val="auto"/>
              </w:rPr>
            </w:pPr>
          </w:p>
        </w:tc>
        <w:tc>
          <w:tcPr>
            <w:tcW w:w="2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Business Education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5/13/2012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517,917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6,150,506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3100" w:type="dxa"/>
            <w:vAlign w:val="bottom"/>
            <w:tcBorders>
              <w:bottom w:val="single" w:sz="8" w:color="CCEEFF"/>
            </w:tcBorders>
            <w:gridSpan w:val="15"/>
          </w:tcPr>
          <w:p>
            <w:pPr>
              <w:ind w:left="40"/>
              <w:spacing w:after="0"/>
              <w:rPr>
                <w:sz w:val="20"/>
                <w:szCs w:val="20"/>
                <w:color w:val="auto"/>
              </w:rPr>
            </w:pPr>
            <w:r>
              <w:rPr>
                <w:rFonts w:ascii="Times New Roman" w:cs="Times New Roman" w:eastAsia="Times New Roman" w:hAnsi="Times New Roman"/>
                <w:sz w:val="14"/>
                <w:szCs w:val="14"/>
                <w:color w:val="auto"/>
              </w:rPr>
              <w:t>Promissory note 1.47%, Due 11/9/2021</w:t>
            </w:r>
            <w:r>
              <w:rPr>
                <w:rFonts w:ascii="Times New Roman" w:cs="Times New Roman" w:eastAsia="Times New Roman" w:hAnsi="Times New Roman"/>
                <w:sz w:val="8"/>
                <w:szCs w:val="8"/>
                <w:color w:val="auto"/>
              </w:rPr>
              <w:t>(4)</w:t>
            </w:r>
          </w:p>
        </w:tc>
        <w:tc>
          <w:tcPr>
            <w:tcW w:w="120" w:type="dxa"/>
            <w:vAlign w:val="bottom"/>
            <w:tcBorders>
              <w:bottom w:val="single" w:sz="8" w:color="CCEEFF"/>
            </w:tcBorders>
          </w:tcPr>
          <w:p>
            <w:pPr>
              <w:spacing w:after="0"/>
              <w:rPr>
                <w:sz w:val="23"/>
                <w:szCs w:val="23"/>
                <w:color w:val="auto"/>
              </w:rPr>
            </w:pPr>
          </w:p>
        </w:tc>
        <w:tc>
          <w:tcPr>
            <w:tcW w:w="24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1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3/3/2016</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rPr>
              <w:t>2,270,458</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2,270,858</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4"/>
        </w:trPr>
        <w:tc>
          <w:tcPr>
            <w:tcW w:w="40" w:type="dxa"/>
            <w:vAlign w:val="bottom"/>
            <w:shd w:val="clear" w:color="auto" w:fill="CCEEFF"/>
          </w:tcPr>
          <w:p>
            <w:pPr>
              <w:spacing w:after="0"/>
              <w:rPr>
                <w:sz w:val="22"/>
                <w:szCs w:val="22"/>
                <w:color w:val="auto"/>
              </w:rPr>
            </w:pPr>
          </w:p>
        </w:tc>
        <w:tc>
          <w:tcPr>
            <w:tcW w:w="3060" w:type="dxa"/>
            <w:vAlign w:val="bottom"/>
            <w:gridSpan w:val="14"/>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shd w:val="clear" w:color="auto" w:fill="CCEEFF"/>
          </w:tcPr>
          <w:p>
            <w:pPr>
              <w:spacing w:after="0"/>
              <w:rPr>
                <w:sz w:val="22"/>
                <w:szCs w:val="22"/>
                <w:color w:val="auto"/>
              </w:rPr>
            </w:pPr>
          </w:p>
        </w:tc>
        <w:tc>
          <w:tcPr>
            <w:tcW w:w="2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8,421,364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48"/>
        </w:trPr>
        <w:tc>
          <w:tcPr>
            <w:tcW w:w="40" w:type="dxa"/>
            <w:vAlign w:val="bottom"/>
            <w:tcBorders>
              <w:top w:val="single" w:sz="8" w:color="CCEEFF"/>
            </w:tcBorders>
          </w:tcPr>
          <w:p>
            <w:pPr>
              <w:spacing w:after="0"/>
              <w:rPr>
                <w:sz w:val="24"/>
                <w:szCs w:val="24"/>
                <w:color w:val="auto"/>
              </w:rPr>
            </w:pPr>
          </w:p>
        </w:tc>
        <w:tc>
          <w:tcPr>
            <w:tcW w:w="3060" w:type="dxa"/>
            <w:vAlign w:val="bottom"/>
            <w:tcBorders>
              <w:top w:val="single" w:sz="8" w:color="CCEEFF"/>
            </w:tcBorders>
            <w:gridSpan w:val="14"/>
          </w:tcPr>
          <w:p>
            <w:pPr>
              <w:ind w:left="140"/>
              <w:spacing w:after="0"/>
              <w:rPr>
                <w:sz w:val="20"/>
                <w:szCs w:val="20"/>
                <w:color w:val="auto"/>
              </w:rPr>
            </w:pPr>
            <w:r>
              <w:rPr>
                <w:rFonts w:ascii="Times New Roman" w:cs="Times New Roman" w:eastAsia="Times New Roman" w:hAnsi="Times New Roman"/>
                <w:sz w:val="14"/>
                <w:szCs w:val="14"/>
                <w:b w:val="1"/>
                <w:bCs w:val="1"/>
                <w:color w:val="auto"/>
              </w:rPr>
              <w:t>Total Non-controlled/Non-affiliate</w:t>
            </w:r>
          </w:p>
        </w:tc>
        <w:tc>
          <w:tcPr>
            <w:tcW w:w="120" w:type="dxa"/>
            <w:vAlign w:val="bottom"/>
            <w:tcBorders>
              <w:top w:val="single" w:sz="8" w:color="CCEEFF"/>
            </w:tcBorders>
          </w:tcPr>
          <w:p>
            <w:pPr>
              <w:spacing w:after="0"/>
              <w:rPr>
                <w:sz w:val="24"/>
                <w:szCs w:val="24"/>
                <w:color w:val="auto"/>
              </w:rPr>
            </w:pPr>
          </w:p>
        </w:tc>
        <w:tc>
          <w:tcPr>
            <w:tcW w:w="2400" w:type="dxa"/>
            <w:vAlign w:val="bottom"/>
            <w:tcBorders>
              <w:top w:val="single" w:sz="8" w:color="CCEEFF"/>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top w:val="single" w:sz="8" w:color="CCEEFF"/>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94,545,251</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169,015,959</w:t>
            </w:r>
          </w:p>
        </w:tc>
        <w:tc>
          <w:tcPr>
            <w:tcW w:w="100" w:type="dxa"/>
            <w:vAlign w:val="bottom"/>
          </w:tcPr>
          <w:p>
            <w:pPr>
              <w:spacing w:after="0"/>
              <w:rPr>
                <w:sz w:val="24"/>
                <w:szCs w:val="2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80.05%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-473075</wp:posOffset>
            </wp:positionV>
            <wp:extent cx="43567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3567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-2926080</wp:posOffset>
            </wp:positionV>
            <wp:extent cx="43567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3567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-3989070</wp:posOffset>
            </wp:positionV>
            <wp:extent cx="43567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356735"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condensed consolidated financial statements.</w:t>
      </w:r>
    </w:p>
    <w:p>
      <w:pPr>
        <w:sectPr>
          <w:pgSz w:w="11900" w:h="16838" w:orient="portrait"/>
          <w:cols w:equalWidth="0" w:num="1">
            <w:col w:w="11420"/>
          </w:cols>
          <w:pgMar w:left="240" w:top="118" w:right="239" w:bottom="1440" w:gutter="0" w:footer="0" w:header="0"/>
        </w:sect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18" w:right="239" w:bottom="1440" w:gutter="0" w:footer="0" w:header="0"/>
          <w:type w:val="continuous"/>
        </w:sectPr>
      </w:pPr>
    </w:p>
    <w:bookmarkStart w:id="8" w:name="page9"/>
    <w:bookmarkEnd w:id="8"/>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left="360" w:right="1860"/>
        <w:spacing w:after="0" w:line="278" w:lineRule="auto"/>
        <w:rPr>
          <w:sz w:val="20"/>
          <w:szCs w:val="20"/>
          <w:color w:val="auto"/>
        </w:rPr>
      </w:pPr>
      <w:r>
        <w:rPr>
          <w:rFonts w:ascii="Times New Roman" w:cs="Times New Roman" w:eastAsia="Times New Roman" w:hAnsi="Times New Roman"/>
          <w:sz w:val="18"/>
          <w:szCs w:val="18"/>
          <w:b w:val="1"/>
          <w:bCs w:val="1"/>
          <w:color w:val="auto"/>
        </w:rPr>
        <w:t>SUTTER ROCK CAPITAL CORP. AND SUBSIDIARIES CONDENSED CONSOLIDATED SCHEDULE OF INVESTMENTS (UNAUDITED) - continued June 30, 2019</w:t>
      </w:r>
    </w:p>
    <w:p>
      <w:pPr>
        <w:spacing w:after="0" w:line="316"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4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120" w:type="dxa"/>
            <w:vAlign w:val="bottom"/>
          </w:tcPr>
          <w:p>
            <w:pPr>
              <w:spacing w:after="0"/>
              <w:rPr>
                <w:sz w:val="13"/>
                <w:szCs w:val="13"/>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Headquarters/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Date of Initial</w:t>
            </w:r>
          </w:p>
        </w:tc>
        <w:tc>
          <w:tcPr>
            <w:tcW w:w="160" w:type="dxa"/>
            <w:vAlign w:val="bottom"/>
          </w:tcPr>
          <w:p>
            <w:pPr>
              <w:spacing w:after="0"/>
              <w:rPr>
                <w:sz w:val="13"/>
                <w:szCs w:val="13"/>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3"/>
                <w:szCs w:val="13"/>
                <w:color w:val="auto"/>
              </w:rPr>
            </w:pPr>
          </w:p>
        </w:tc>
        <w:tc>
          <w:tcPr>
            <w:tcW w:w="10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3"/>
                <w:szCs w:val="13"/>
                <w:color w:val="auto"/>
              </w:rPr>
            </w:pP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240" w:type="dxa"/>
            <w:vAlign w:val="bottom"/>
            <w:gridSpan w:val="6"/>
            <w:vMerge w:val="continue"/>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9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69"/>
        </w:trPr>
        <w:tc>
          <w:tcPr>
            <w:tcW w:w="20" w:type="dxa"/>
            <w:vAlign w:val="bottom"/>
            <w:tcBorders>
              <w:top w:val="single" w:sz="8" w:color="auto"/>
            </w:tcBorders>
            <w:shd w:val="clear" w:color="auto" w:fill="CCEEFF"/>
          </w:tcPr>
          <w:p>
            <w:pPr>
              <w:spacing w:after="0"/>
              <w:rPr>
                <w:sz w:val="23"/>
                <w:szCs w:val="23"/>
                <w:color w:val="auto"/>
              </w:rPr>
            </w:pPr>
          </w:p>
        </w:tc>
        <w:tc>
          <w:tcPr>
            <w:tcW w:w="3240" w:type="dxa"/>
            <w:vAlign w:val="bottom"/>
            <w:tcBorders>
              <w:top w:val="single" w:sz="8" w:color="auto"/>
            </w:tcBorders>
            <w:gridSpan w:val="6"/>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NON-CONTROLLED/AFFILIATE</w:t>
            </w:r>
            <w:r>
              <w:rPr>
                <w:rFonts w:ascii="Times New Roman" w:cs="Times New Roman" w:eastAsia="Times New Roman" w:hAnsi="Times New Roman"/>
                <w:sz w:val="8"/>
                <w:szCs w:val="8"/>
                <w:color w:val="auto"/>
              </w:rPr>
              <w:t>(1)</w:t>
            </w:r>
          </w:p>
        </w:tc>
        <w:tc>
          <w:tcPr>
            <w:tcW w:w="120" w:type="dxa"/>
            <w:vAlign w:val="bottom"/>
            <w:tcBorders>
              <w:top w:val="single" w:sz="8" w:color="CCEEFF"/>
            </w:tcBorders>
            <w:shd w:val="clear" w:color="auto" w:fill="CCEEFF"/>
          </w:tcPr>
          <w:p>
            <w:pPr>
              <w:spacing w:after="0"/>
              <w:rPr>
                <w:sz w:val="23"/>
                <w:szCs w:val="23"/>
                <w:color w:val="auto"/>
              </w:rPr>
            </w:pPr>
          </w:p>
        </w:tc>
        <w:tc>
          <w:tcPr>
            <w:tcW w:w="2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Ozy Media, Inc.</w:t>
            </w:r>
          </w:p>
        </w:tc>
        <w:tc>
          <w:tcPr>
            <w:tcW w:w="120" w:type="dxa"/>
            <w:vAlign w:val="bottom"/>
          </w:tcPr>
          <w:p>
            <w:pPr>
              <w:spacing w:after="0"/>
              <w:rPr>
                <w:sz w:val="19"/>
                <w:szCs w:val="19"/>
                <w:color w:val="auto"/>
              </w:rPr>
            </w:pP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Mountain View, CA</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32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Convertible Promissory Note 5% Due 12/31/2018***</w:t>
            </w:r>
          </w:p>
        </w:tc>
        <w:tc>
          <w:tcPr>
            <w:tcW w:w="120" w:type="dxa"/>
            <w:vAlign w:val="bottom"/>
            <w:shd w:val="clear" w:color="auto" w:fill="CCEEFF"/>
          </w:tcPr>
          <w:p>
            <w:pPr>
              <w:spacing w:after="0"/>
              <w:rPr>
                <w:sz w:val="14"/>
                <w:szCs w:val="14"/>
                <w:color w:val="auto"/>
              </w:rPr>
            </w:pPr>
          </w:p>
        </w:tc>
        <w:tc>
          <w:tcPr>
            <w:tcW w:w="21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Digital Media Platform</w:t>
            </w:r>
          </w:p>
        </w:tc>
        <w:tc>
          <w:tcPr>
            <w:tcW w:w="11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8/31/2016</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2,102,384</w:t>
            </w:r>
          </w:p>
        </w:tc>
        <w:tc>
          <w:tcPr>
            <w:tcW w:w="12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2,102,384</w:t>
            </w:r>
          </w:p>
        </w:tc>
        <w:tc>
          <w:tcPr>
            <w:tcW w:w="12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630,715</w:t>
            </w:r>
          </w:p>
        </w:tc>
        <w:tc>
          <w:tcPr>
            <w:tcW w:w="1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0.30%</w:t>
            </w:r>
          </w:p>
        </w:tc>
        <w:tc>
          <w:tcPr>
            <w:tcW w:w="0" w:type="dxa"/>
            <w:vAlign w:val="bottom"/>
          </w:tcPr>
          <w:p>
            <w:pPr>
              <w:spacing w:after="0"/>
              <w:rPr>
                <w:sz w:val="1"/>
                <w:szCs w:val="1"/>
                <w:color w:val="auto"/>
              </w:rPr>
            </w:pPr>
          </w:p>
        </w:tc>
      </w:tr>
      <w:tr>
        <w:trPr>
          <w:trHeight w:val="144"/>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120" w:type="dxa"/>
            <w:vAlign w:val="bottom"/>
            <w:gridSpan w:val="2"/>
            <w:vMerge w:val="continue"/>
            <w:shd w:val="clear" w:color="auto" w:fill="CCEEFF"/>
          </w:tcPr>
          <w:p>
            <w:pPr>
              <w:spacing w:after="0"/>
              <w:rPr>
                <w:sz w:val="12"/>
                <w:szCs w:val="12"/>
                <w:color w:val="auto"/>
              </w:rPr>
            </w:pPr>
          </w:p>
        </w:tc>
        <w:tc>
          <w:tcPr>
            <w:tcW w:w="11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vMerge w:val="continue"/>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240" w:type="dxa"/>
            <w:vAlign w:val="bottom"/>
            <w:gridSpan w:val="6"/>
          </w:tcPr>
          <w:p>
            <w:pPr>
              <w:spacing w:after="0" w:line="153" w:lineRule="exact"/>
              <w:rPr>
                <w:sz w:val="20"/>
                <w:szCs w:val="20"/>
                <w:color w:val="auto"/>
              </w:rPr>
            </w:pPr>
            <w:r>
              <w:rPr>
                <w:rFonts w:ascii="Times New Roman" w:cs="Times New Roman" w:eastAsia="Times New Roman" w:hAnsi="Times New Roman"/>
                <w:sz w:val="14"/>
                <w:szCs w:val="14"/>
                <w:color w:val="auto"/>
              </w:rPr>
              <w:t>Common Warrants, Strike Price $0.01, Expiration Date</w:t>
            </w:r>
          </w:p>
        </w:tc>
        <w:tc>
          <w:tcPr>
            <w:tcW w:w="1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4/9/2018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295,565</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30,647</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4/9/2028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20" w:type="dxa"/>
            <w:vAlign w:val="bottom"/>
            <w:shd w:val="clear" w:color="auto" w:fill="CCEEFF"/>
          </w:tcPr>
          <w:p>
            <w:pPr>
              <w:spacing w:after="0"/>
              <w:rPr>
                <w:sz w:val="23"/>
                <w:szCs w:val="23"/>
                <w:color w:val="auto"/>
              </w:rPr>
            </w:pPr>
          </w:p>
        </w:tc>
        <w:tc>
          <w:tcPr>
            <w:tcW w:w="32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Series B 6%</w:t>
            </w:r>
          </w:p>
        </w:tc>
        <w:tc>
          <w:tcPr>
            <w:tcW w:w="120" w:type="dxa"/>
            <w:vAlign w:val="bottom"/>
            <w:shd w:val="clear" w:color="auto" w:fill="CCEEFF"/>
          </w:tcPr>
          <w:p>
            <w:pPr>
              <w:spacing w:after="0"/>
              <w:rPr>
                <w:sz w:val="23"/>
                <w:szCs w:val="23"/>
                <w:color w:val="auto"/>
              </w:rPr>
            </w:pPr>
          </w:p>
        </w:tc>
        <w:tc>
          <w:tcPr>
            <w:tcW w:w="2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10/3/2014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922,509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4,999,999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2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Preferred shares, Series A 6%</w:t>
            </w:r>
          </w:p>
        </w:tc>
        <w:tc>
          <w:tcPr>
            <w:tcW w:w="12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12/11/2013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1,090,909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3,000,200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84"/>
        </w:trPr>
        <w:tc>
          <w:tcPr>
            <w:tcW w:w="20" w:type="dxa"/>
            <w:vAlign w:val="bottom"/>
            <w:shd w:val="clear" w:color="auto" w:fill="CCEEFF"/>
          </w:tcPr>
          <w:p>
            <w:pPr>
              <w:spacing w:after="0"/>
              <w:rPr>
                <w:sz w:val="24"/>
                <w:szCs w:val="24"/>
                <w:color w:val="auto"/>
              </w:rPr>
            </w:pPr>
          </w:p>
        </w:tc>
        <w:tc>
          <w:tcPr>
            <w:tcW w:w="32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Series Seed 6%</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11/2/2012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500,000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500,000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3240" w:type="dxa"/>
            <w:vAlign w:val="bottom"/>
            <w:tcBorders>
              <w:bottom w:val="single" w:sz="8" w:color="CCEEFF"/>
            </w:tcBorders>
            <w:gridSpan w:val="6"/>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CCEEFF"/>
            </w:tcBorders>
          </w:tcPr>
          <w:p>
            <w:pPr>
              <w:spacing w:after="0"/>
              <w:rPr>
                <w:sz w:val="22"/>
                <w:szCs w:val="22"/>
                <w:color w:val="auto"/>
              </w:rPr>
            </w:pPr>
          </w:p>
        </w:tc>
        <w:tc>
          <w:tcPr>
            <w:tcW w:w="20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10,633,230</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630,715</w:t>
            </w:r>
          </w:p>
        </w:tc>
        <w:tc>
          <w:tcPr>
            <w:tcW w:w="100" w:type="dxa"/>
            <w:vAlign w:val="bottom"/>
            <w:tcBorders>
              <w:bottom w:val="single" w:sz="8" w:color="CCEEFF"/>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0.30%</w:t>
            </w:r>
          </w:p>
        </w:tc>
        <w:tc>
          <w:tcPr>
            <w:tcW w:w="0" w:type="dxa"/>
            <w:vAlign w:val="bottom"/>
          </w:tcPr>
          <w:p>
            <w:pPr>
              <w:spacing w:after="0"/>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EdSurge, Inc.</w:t>
            </w:r>
          </w:p>
        </w:tc>
        <w:tc>
          <w:tcPr>
            <w:tcW w:w="2380" w:type="dxa"/>
            <w:vAlign w:val="bottom"/>
            <w:tcBorders>
              <w:bottom w:val="single" w:sz="8" w:color="CCEEFF"/>
            </w:tcBorders>
            <w:gridSpan w:val="5"/>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Burlingame, CA</w:t>
            </w: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2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Preferred shares, Series A-1</w:t>
            </w:r>
          </w:p>
        </w:tc>
        <w:tc>
          <w:tcPr>
            <w:tcW w:w="120" w:type="dxa"/>
            <w:vAlign w:val="bottom"/>
          </w:tcPr>
          <w:p>
            <w:pPr>
              <w:spacing w:after="0"/>
              <w:rPr>
                <w:sz w:val="23"/>
                <w:szCs w:val="23"/>
                <w:color w:val="auto"/>
              </w:rPr>
            </w:pP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Education Media Platform</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11/12/2015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378,788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501,360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250,000</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2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Series A</w:t>
            </w:r>
          </w:p>
        </w:tc>
        <w:tc>
          <w:tcPr>
            <w:tcW w:w="120" w:type="dxa"/>
            <w:vAlign w:val="bottom"/>
            <w:shd w:val="clear" w:color="auto" w:fill="CCEEFF"/>
          </w:tcPr>
          <w:p>
            <w:pPr>
              <w:spacing w:after="0"/>
              <w:rPr>
                <w:sz w:val="23"/>
                <w:szCs w:val="23"/>
                <w:color w:val="auto"/>
              </w:rPr>
            </w:pPr>
          </w:p>
        </w:tc>
        <w:tc>
          <w:tcPr>
            <w:tcW w:w="2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2/28/2014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494,365</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500,801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269,634</w:t>
            </w:r>
          </w:p>
        </w:tc>
        <w:tc>
          <w:tcPr>
            <w:tcW w:w="10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3240" w:type="dxa"/>
            <w:vAlign w:val="bottom"/>
            <w:tcBorders>
              <w:bottom w:val="single" w:sz="8" w:color="CCEEFF"/>
            </w:tcBorders>
            <w:gridSpan w:val="6"/>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CCEEFF"/>
            </w:tcBorders>
          </w:tcPr>
          <w:p>
            <w:pPr>
              <w:spacing w:after="0"/>
              <w:rPr>
                <w:sz w:val="22"/>
                <w:szCs w:val="22"/>
                <w:color w:val="auto"/>
              </w:rPr>
            </w:pPr>
          </w:p>
        </w:tc>
        <w:tc>
          <w:tcPr>
            <w:tcW w:w="20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1,002,161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519,634</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0" w:type="dxa"/>
            <w:vAlign w:val="bottom"/>
          </w:tcPr>
          <w:p>
            <w:pPr>
              <w:spacing w:after="0"/>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gridSpan w:val="5"/>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CUX, Inc. (d/b/a CorpU)</w:t>
            </w: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Philadelphia, PA</w:t>
            </w: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240" w:type="dxa"/>
            <w:vAlign w:val="bottom"/>
            <w:gridSpan w:val="6"/>
          </w:tcPr>
          <w:p>
            <w:pPr>
              <w:spacing w:after="0" w:line="153" w:lineRule="exact"/>
              <w:rPr>
                <w:sz w:val="20"/>
                <w:szCs w:val="20"/>
                <w:color w:val="auto"/>
              </w:rPr>
            </w:pPr>
            <w:r>
              <w:rPr>
                <w:rFonts w:ascii="Times New Roman" w:cs="Times New Roman" w:eastAsia="Times New Roman" w:hAnsi="Times New Roman"/>
                <w:sz w:val="14"/>
                <w:szCs w:val="14"/>
                <w:color w:val="auto"/>
              </w:rPr>
              <w:t>Senior Subordinated Convertible Promissory Note</w:t>
            </w:r>
          </w:p>
        </w:tc>
        <w:tc>
          <w:tcPr>
            <w:tcW w:w="120" w:type="dxa"/>
            <w:vAlign w:val="bottom"/>
          </w:tcPr>
          <w:p>
            <w:pPr>
              <w:spacing w:after="0"/>
              <w:rPr>
                <w:sz w:val="13"/>
                <w:szCs w:val="13"/>
                <w:color w:val="auto"/>
              </w:rPr>
            </w:pPr>
          </w:p>
        </w:tc>
        <w:tc>
          <w:tcPr>
            <w:tcW w:w="21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Corporate Education</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11/26/2014</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1,360,489</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1,361,969</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250,000</w:t>
            </w:r>
          </w:p>
        </w:tc>
        <w:tc>
          <w:tcPr>
            <w:tcW w:w="10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2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10% Due 2/14/2020***</w:t>
            </w:r>
            <w:r>
              <w:rPr>
                <w:rFonts w:ascii="Times New Roman" w:cs="Times New Roman" w:eastAsia="Times New Roman" w:hAnsi="Times New Roman"/>
                <w:sz w:val="8"/>
                <w:szCs w:val="8"/>
                <w:color w:val="auto"/>
              </w:rPr>
              <w:t>(6)</w:t>
            </w:r>
          </w:p>
        </w:tc>
        <w:tc>
          <w:tcPr>
            <w:tcW w:w="120" w:type="dxa"/>
            <w:vAlign w:val="bottom"/>
          </w:tcPr>
          <w:p>
            <w:pPr>
              <w:spacing w:after="0"/>
              <w:rPr>
                <w:sz w:val="16"/>
                <w:szCs w:val="16"/>
                <w:color w:val="auto"/>
              </w:rPr>
            </w:pPr>
          </w:p>
        </w:tc>
        <w:tc>
          <w:tcPr>
            <w:tcW w:w="2120" w:type="dxa"/>
            <w:vAlign w:val="bottom"/>
            <w:gridSpan w:val="2"/>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20" w:type="dxa"/>
            <w:vAlign w:val="bottom"/>
            <w:shd w:val="clear" w:color="auto" w:fill="CCEEFF"/>
          </w:tcPr>
          <w:p>
            <w:pPr>
              <w:spacing w:after="0"/>
              <w:rPr>
                <w:sz w:val="23"/>
                <w:szCs w:val="23"/>
                <w:color w:val="auto"/>
              </w:rPr>
            </w:pPr>
          </w:p>
        </w:tc>
        <w:tc>
          <w:tcPr>
            <w:tcW w:w="32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Convertible preferred shares, Series D 6%</w:t>
            </w:r>
          </w:p>
        </w:tc>
        <w:tc>
          <w:tcPr>
            <w:tcW w:w="120" w:type="dxa"/>
            <w:vAlign w:val="bottom"/>
            <w:shd w:val="clear" w:color="auto" w:fill="CCEEFF"/>
          </w:tcPr>
          <w:p>
            <w:pPr>
              <w:spacing w:after="0"/>
              <w:rPr>
                <w:sz w:val="23"/>
                <w:szCs w:val="23"/>
                <w:color w:val="auto"/>
              </w:rPr>
            </w:pPr>
          </w:p>
        </w:tc>
        <w:tc>
          <w:tcPr>
            <w:tcW w:w="2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5/31/2013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169,033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778,607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2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Convertible preferred shares, Series C 8%</w:t>
            </w:r>
          </w:p>
        </w:tc>
        <w:tc>
          <w:tcPr>
            <w:tcW w:w="12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3/29/2012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615,763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2,006,077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20" w:type="dxa"/>
            <w:vAlign w:val="bottom"/>
            <w:shd w:val="clear" w:color="auto" w:fill="CCEEFF"/>
          </w:tcPr>
          <w:p>
            <w:pPr>
              <w:spacing w:after="0"/>
              <w:rPr>
                <w:sz w:val="13"/>
                <w:szCs w:val="13"/>
                <w:color w:val="auto"/>
              </w:rPr>
            </w:pPr>
          </w:p>
        </w:tc>
        <w:tc>
          <w:tcPr>
            <w:tcW w:w="3240" w:type="dxa"/>
            <w:vAlign w:val="bottom"/>
            <w:gridSpan w:val="6"/>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Preferred Warrants Series D, Strike Price $4.59,</w:t>
            </w:r>
          </w:p>
        </w:tc>
        <w:tc>
          <w:tcPr>
            <w:tcW w:w="1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5/31/2013</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16,903</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32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Expiration Date 2/14/2020</w:t>
            </w:r>
          </w:p>
        </w:tc>
        <w:tc>
          <w:tcPr>
            <w:tcW w:w="12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3240" w:type="dxa"/>
            <w:vAlign w:val="bottom"/>
            <w:tcBorders>
              <w:bottom w:val="single" w:sz="8" w:color="CCEEFF"/>
            </w:tcBorders>
            <w:gridSpan w:val="6"/>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CCEEFF"/>
            </w:tcBorders>
          </w:tcPr>
          <w:p>
            <w:pPr>
              <w:spacing w:after="0"/>
              <w:rPr>
                <w:sz w:val="22"/>
                <w:szCs w:val="22"/>
                <w:color w:val="auto"/>
              </w:rPr>
            </w:pPr>
          </w:p>
        </w:tc>
        <w:tc>
          <w:tcPr>
            <w:tcW w:w="20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4,146,653</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250,000</w:t>
            </w:r>
          </w:p>
        </w:tc>
        <w:tc>
          <w:tcPr>
            <w:tcW w:w="100" w:type="dxa"/>
            <w:vAlign w:val="bottom"/>
            <w:tcBorders>
              <w:bottom w:val="single" w:sz="8" w:color="CCEEFF"/>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32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Maven Research, Inc.</w:t>
            </w:r>
          </w:p>
        </w:tc>
        <w:tc>
          <w:tcPr>
            <w:tcW w:w="12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San Francisco, CA</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20" w:type="dxa"/>
            <w:vAlign w:val="bottom"/>
          </w:tcPr>
          <w:p>
            <w:pPr>
              <w:spacing w:after="0"/>
              <w:rPr>
                <w:sz w:val="23"/>
                <w:szCs w:val="23"/>
                <w:color w:val="auto"/>
              </w:rPr>
            </w:pPr>
          </w:p>
        </w:tc>
        <w:tc>
          <w:tcPr>
            <w:tcW w:w="32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Preferred shares, Series C</w:t>
            </w:r>
          </w:p>
        </w:tc>
        <w:tc>
          <w:tcPr>
            <w:tcW w:w="120" w:type="dxa"/>
            <w:vAlign w:val="bottom"/>
          </w:tcPr>
          <w:p>
            <w:pPr>
              <w:spacing w:after="0"/>
              <w:rPr>
                <w:sz w:val="23"/>
                <w:szCs w:val="23"/>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Knowledge Networks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7/2/2012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318,979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2,000,447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24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Series B</w:t>
            </w:r>
          </w:p>
        </w:tc>
        <w:tc>
          <w:tcPr>
            <w:tcW w:w="120" w:type="dxa"/>
            <w:vAlign w:val="bottom"/>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2/28/2012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49,505</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217,206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240" w:type="dxa"/>
            <w:vAlign w:val="bottom"/>
            <w:gridSpan w:val="6"/>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2,217,653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9"/>
        </w:trPr>
        <w:tc>
          <w:tcPr>
            <w:tcW w:w="20" w:type="dxa"/>
            <w:vAlign w:val="bottom"/>
            <w:tcBorders>
              <w:top w:val="single" w:sz="8" w:color="CCEEFF"/>
            </w:tcBorders>
            <w:shd w:val="clear" w:color="auto" w:fill="CCEEFF"/>
          </w:tcPr>
          <w:p>
            <w:pPr>
              <w:spacing w:after="0"/>
              <w:rPr>
                <w:sz w:val="21"/>
                <w:szCs w:val="21"/>
                <w:color w:val="auto"/>
              </w:rPr>
            </w:pPr>
          </w:p>
        </w:tc>
        <w:tc>
          <w:tcPr>
            <w:tcW w:w="3240" w:type="dxa"/>
            <w:vAlign w:val="bottom"/>
            <w:tcBorders>
              <w:top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Curious.com, Inc.</w:t>
            </w:r>
          </w:p>
        </w:tc>
        <w:tc>
          <w:tcPr>
            <w:tcW w:w="120" w:type="dxa"/>
            <w:vAlign w:val="bottom"/>
            <w:tcBorders>
              <w:top w:val="single" w:sz="8" w:color="CCEEFF"/>
            </w:tcBorders>
            <w:shd w:val="clear" w:color="auto" w:fill="CCEEFF"/>
          </w:tcPr>
          <w:p>
            <w:pPr>
              <w:spacing w:after="0"/>
              <w:rPr>
                <w:sz w:val="21"/>
                <w:szCs w:val="21"/>
                <w:color w:val="auto"/>
              </w:rPr>
            </w:pPr>
          </w:p>
        </w:tc>
        <w:tc>
          <w:tcPr>
            <w:tcW w:w="2120" w:type="dxa"/>
            <w:vAlign w:val="bottom"/>
            <w:tcBorders>
              <w:top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Menlo Park, CA</w:t>
            </w:r>
          </w:p>
        </w:tc>
        <w:tc>
          <w:tcPr>
            <w:tcW w:w="1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8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Common shares</w:t>
            </w:r>
          </w:p>
        </w:tc>
        <w:tc>
          <w:tcPr>
            <w:tcW w:w="2140" w:type="dxa"/>
            <w:vAlign w:val="bottom"/>
            <w:tcBorders>
              <w:top w:val="single" w:sz="8" w:color="CCEEFF"/>
            </w:tcBorders>
            <w:gridSpan w:val="3"/>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120" w:type="dxa"/>
            <w:vAlign w:val="bottom"/>
            <w:tcBorders>
              <w:top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Online Education</w:t>
            </w:r>
          </w:p>
        </w:tc>
        <w:tc>
          <w:tcPr>
            <w:tcW w:w="112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11/22/2013</w:t>
            </w:r>
          </w:p>
        </w:tc>
        <w:tc>
          <w:tcPr>
            <w:tcW w:w="1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rPr>
              <w:t>1,135,944</w:t>
            </w:r>
          </w:p>
        </w:tc>
        <w:tc>
          <w:tcPr>
            <w:tcW w:w="1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rPr>
              <w:t>12,000,006</w:t>
            </w:r>
          </w:p>
        </w:tc>
        <w:tc>
          <w:tcPr>
            <w:tcW w:w="1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89"/>
        </w:trPr>
        <w:tc>
          <w:tcPr>
            <w:tcW w:w="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24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Total Non-controlled/Affiliate</w:t>
            </w:r>
          </w:p>
        </w:tc>
        <w:tc>
          <w:tcPr>
            <w:tcW w:w="12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29,999,703</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1,400,349</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0.67%</w:t>
            </w:r>
          </w:p>
        </w:tc>
        <w:tc>
          <w:tcPr>
            <w:tcW w:w="0" w:type="dxa"/>
            <w:vAlign w:val="bottom"/>
          </w:tcPr>
          <w:p>
            <w:pPr>
              <w:spacing w:after="0"/>
              <w:rPr>
                <w:sz w:val="1"/>
                <w:szCs w:val="1"/>
                <w:color w:val="auto"/>
              </w:rPr>
            </w:pPr>
          </w:p>
        </w:tc>
      </w:tr>
      <w:tr>
        <w:trPr>
          <w:trHeight w:val="289"/>
        </w:trPr>
        <w:tc>
          <w:tcPr>
            <w:tcW w:w="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2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CONTROLLED</w:t>
            </w:r>
            <w:r>
              <w:rPr>
                <w:rFonts w:ascii="Times New Roman" w:cs="Times New Roman" w:eastAsia="Times New Roman" w:hAnsi="Times New Roman"/>
                <w:sz w:val="8"/>
                <w:szCs w:val="8"/>
                <w:color w:val="auto"/>
              </w:rPr>
              <w:t>(2)</w:t>
            </w:r>
          </w:p>
        </w:tc>
        <w:tc>
          <w:tcPr>
            <w:tcW w:w="12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20" w:type="dxa"/>
            <w:vAlign w:val="bottom"/>
            <w:shd w:val="clear" w:color="auto" w:fill="CCEEFF"/>
          </w:tcPr>
          <w:p>
            <w:pPr>
              <w:spacing w:after="0"/>
              <w:rPr>
                <w:sz w:val="21"/>
                <w:szCs w:val="21"/>
                <w:color w:val="auto"/>
              </w:rPr>
            </w:pPr>
          </w:p>
        </w:tc>
        <w:tc>
          <w:tcPr>
            <w:tcW w:w="32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StormWind, LLC</w:t>
            </w:r>
            <w:r>
              <w:rPr>
                <w:rFonts w:ascii="Times New Roman" w:cs="Times New Roman" w:eastAsia="Times New Roman" w:hAnsi="Times New Roman"/>
                <w:sz w:val="8"/>
                <w:szCs w:val="8"/>
                <w:color w:val="auto"/>
              </w:rPr>
              <w:t>(5)</w:t>
            </w:r>
          </w:p>
        </w:tc>
        <w:tc>
          <w:tcPr>
            <w:tcW w:w="120" w:type="dxa"/>
            <w:vAlign w:val="bottom"/>
            <w:shd w:val="clear" w:color="auto" w:fill="CCEEFF"/>
          </w:tcPr>
          <w:p>
            <w:pPr>
              <w:spacing w:after="0"/>
              <w:rPr>
                <w:sz w:val="21"/>
                <w:szCs w:val="21"/>
                <w:color w:val="auto"/>
              </w:rPr>
            </w:pPr>
          </w:p>
        </w:tc>
        <w:tc>
          <w:tcPr>
            <w:tcW w:w="2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Scottsdale, AZ</w:t>
            </w: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20" w:type="dxa"/>
            <w:vAlign w:val="bottom"/>
          </w:tcPr>
          <w:p>
            <w:pPr>
              <w:spacing w:after="0"/>
              <w:rPr>
                <w:sz w:val="23"/>
                <w:szCs w:val="23"/>
                <w:color w:val="auto"/>
              </w:rPr>
            </w:pPr>
          </w:p>
        </w:tc>
        <w:tc>
          <w:tcPr>
            <w:tcW w:w="32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Preferred shares, Series C 8%</w:t>
            </w:r>
          </w:p>
        </w:tc>
        <w:tc>
          <w:tcPr>
            <w:tcW w:w="120" w:type="dxa"/>
            <w:vAlign w:val="bottom"/>
          </w:tcPr>
          <w:p>
            <w:pPr>
              <w:spacing w:after="0"/>
              <w:rPr>
                <w:sz w:val="23"/>
                <w:szCs w:val="23"/>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Interactive Learning</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1/7/2014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2,779,134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4,000,787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4,593,188</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0" w:type="dxa"/>
            <w:vAlign w:val="bottom"/>
          </w:tcPr>
          <w:p>
            <w:pPr>
              <w:spacing w:after="0"/>
              <w:rPr>
                <w:sz w:val="1"/>
                <w:szCs w:val="1"/>
                <w:color w:val="auto"/>
              </w:rPr>
            </w:pPr>
          </w:p>
        </w:tc>
      </w:tr>
      <w:tr>
        <w:trPr>
          <w:trHeight w:val="275"/>
        </w:trPr>
        <w:tc>
          <w:tcPr>
            <w:tcW w:w="20" w:type="dxa"/>
            <w:vAlign w:val="bottom"/>
            <w:shd w:val="clear" w:color="auto" w:fill="CCEEFF"/>
          </w:tcPr>
          <w:p>
            <w:pPr>
              <w:spacing w:after="0"/>
              <w:rPr>
                <w:sz w:val="23"/>
                <w:szCs w:val="23"/>
                <w:color w:val="auto"/>
              </w:rPr>
            </w:pPr>
          </w:p>
        </w:tc>
        <w:tc>
          <w:tcPr>
            <w:tcW w:w="32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Series B 8%</w:t>
            </w:r>
          </w:p>
        </w:tc>
        <w:tc>
          <w:tcPr>
            <w:tcW w:w="120" w:type="dxa"/>
            <w:vAlign w:val="bottom"/>
            <w:shd w:val="clear" w:color="auto" w:fill="CCEEFF"/>
          </w:tcPr>
          <w:p>
            <w:pPr>
              <w:spacing w:after="0"/>
              <w:rPr>
                <w:sz w:val="23"/>
                <w:szCs w:val="23"/>
                <w:color w:val="auto"/>
              </w:rPr>
            </w:pPr>
          </w:p>
        </w:tc>
        <w:tc>
          <w:tcPr>
            <w:tcW w:w="2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12/16/2011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3,279,629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2,019,687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2,699,990</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265"/>
        </w:trPr>
        <w:tc>
          <w:tcPr>
            <w:tcW w:w="20" w:type="dxa"/>
            <w:vAlign w:val="bottom"/>
            <w:tcBorders>
              <w:bottom w:val="single" w:sz="8" w:color="CCEEFF"/>
            </w:tcBorders>
          </w:tcPr>
          <w:p>
            <w:pPr>
              <w:spacing w:after="0"/>
              <w:rPr>
                <w:sz w:val="23"/>
                <w:szCs w:val="23"/>
                <w:color w:val="auto"/>
              </w:rPr>
            </w:pPr>
          </w:p>
        </w:tc>
        <w:tc>
          <w:tcPr>
            <w:tcW w:w="3240" w:type="dxa"/>
            <w:vAlign w:val="bottom"/>
            <w:tcBorders>
              <w:bottom w:val="single" w:sz="8" w:color="CCEEFF"/>
            </w:tcBorders>
            <w:gridSpan w:val="6"/>
          </w:tcPr>
          <w:p>
            <w:pPr>
              <w:spacing w:after="0"/>
              <w:rPr>
                <w:sz w:val="20"/>
                <w:szCs w:val="20"/>
                <w:color w:val="auto"/>
              </w:rPr>
            </w:pPr>
            <w:r>
              <w:rPr>
                <w:rFonts w:ascii="Times New Roman" w:cs="Times New Roman" w:eastAsia="Times New Roman" w:hAnsi="Times New Roman"/>
                <w:sz w:val="14"/>
                <w:szCs w:val="14"/>
                <w:color w:val="auto"/>
              </w:rPr>
              <w:t>Preferred shares, Series A 8%</w:t>
            </w:r>
          </w:p>
        </w:tc>
        <w:tc>
          <w:tcPr>
            <w:tcW w:w="120" w:type="dxa"/>
            <w:vAlign w:val="bottom"/>
            <w:tcBorders>
              <w:bottom w:val="single" w:sz="8" w:color="CCEEFF"/>
            </w:tcBorders>
          </w:tcPr>
          <w:p>
            <w:pPr>
              <w:spacing w:after="0"/>
              <w:rPr>
                <w:sz w:val="23"/>
                <w:szCs w:val="23"/>
                <w:color w:val="auto"/>
              </w:rPr>
            </w:pPr>
          </w:p>
        </w:tc>
        <w:tc>
          <w:tcPr>
            <w:tcW w:w="20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1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2/25/2014</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840" w:type="dxa"/>
            <w:vAlign w:val="bottom"/>
            <w:tcBorders>
              <w:bottom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rPr>
              <w:t>366,666</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110,000</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78,258</w:t>
            </w:r>
          </w:p>
        </w:tc>
        <w:tc>
          <w:tcPr>
            <w:tcW w:w="100" w:type="dxa"/>
            <w:vAlign w:val="bottom"/>
            <w:tcBorders>
              <w:bottom w:val="single" w:sz="8" w:color="CCEEFF"/>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0" w:type="dxa"/>
            <w:vAlign w:val="bottom"/>
          </w:tcPr>
          <w:p>
            <w:pPr>
              <w:spacing w:after="0"/>
              <w:rPr>
                <w:sz w:val="1"/>
                <w:szCs w:val="1"/>
                <w:color w:val="auto"/>
              </w:rPr>
            </w:pPr>
          </w:p>
        </w:tc>
      </w:tr>
      <w:tr>
        <w:trPr>
          <w:trHeight w:val="264"/>
        </w:trPr>
        <w:tc>
          <w:tcPr>
            <w:tcW w:w="20" w:type="dxa"/>
            <w:vAlign w:val="bottom"/>
            <w:shd w:val="clear" w:color="auto" w:fill="CCEEFF"/>
          </w:tcPr>
          <w:p>
            <w:pPr>
              <w:spacing w:after="0"/>
              <w:rPr>
                <w:sz w:val="22"/>
                <w:szCs w:val="22"/>
                <w:color w:val="auto"/>
              </w:rPr>
            </w:pPr>
          </w:p>
        </w:tc>
        <w:tc>
          <w:tcPr>
            <w:tcW w:w="3240" w:type="dxa"/>
            <w:vAlign w:val="bottom"/>
            <w:gridSpan w:val="6"/>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shd w:val="clear" w:color="auto" w:fill="CCEEFF"/>
          </w:tcPr>
          <w:p>
            <w:pPr>
              <w:spacing w:after="0"/>
              <w:rPr>
                <w:sz w:val="22"/>
                <w:szCs w:val="22"/>
                <w:color w:val="auto"/>
              </w:rPr>
            </w:pPr>
          </w:p>
        </w:tc>
        <w:tc>
          <w:tcPr>
            <w:tcW w:w="2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6,130,474</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7,371,436</w:t>
            </w:r>
          </w:p>
        </w:tc>
        <w:tc>
          <w:tcPr>
            <w:tcW w:w="100" w:type="dxa"/>
            <w:vAlign w:val="bottom"/>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-187960</wp:posOffset>
            </wp:positionV>
            <wp:extent cx="49053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05375" cy="8890"/>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-882650</wp:posOffset>
            </wp:positionV>
            <wp:extent cx="49053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05375" cy="8890"/>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-1937385</wp:posOffset>
            </wp:positionV>
            <wp:extent cx="42710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271010" cy="8890"/>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-4853305</wp:posOffset>
            </wp:positionV>
            <wp:extent cx="34220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1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i w:val="1"/>
          <w:iCs w:val="1"/>
          <w:color w:val="auto"/>
        </w:rPr>
        <w:t>See accompanying notes to condensed consolidated financial statements.</w:t>
      </w:r>
    </w:p>
    <w:p>
      <w:pPr>
        <w:spacing w:after="0" w:line="2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20"/>
          </w:cols>
          <w:pgMar w:left="240" w:top="118" w:right="339" w:bottom="1440" w:gutter="0" w:footer="0" w:header="0"/>
        </w:sectPr>
      </w:pPr>
    </w:p>
    <w:bookmarkStart w:id="9" w:name="page10"/>
    <w:bookmarkEnd w:id="9"/>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left="260" w:right="1960"/>
        <w:spacing w:after="0" w:line="278" w:lineRule="auto"/>
        <w:rPr>
          <w:sz w:val="20"/>
          <w:szCs w:val="20"/>
          <w:color w:val="auto"/>
        </w:rPr>
      </w:pPr>
      <w:r>
        <w:rPr>
          <w:rFonts w:ascii="Times New Roman" w:cs="Times New Roman" w:eastAsia="Times New Roman" w:hAnsi="Times New Roman"/>
          <w:sz w:val="18"/>
          <w:szCs w:val="18"/>
          <w:b w:val="1"/>
          <w:bCs w:val="1"/>
          <w:color w:val="auto"/>
        </w:rPr>
        <w:t>SUTTER ROCK CAPITAL CORP. AND SUBSIDIARIES CONDENSED CONSOLIDATED SCHEDULE OF INVESTMENTS (UNAUDITED) - continued June 30, 2019</w:t>
      </w:r>
    </w:p>
    <w:p>
      <w:pPr>
        <w:spacing w:after="0" w:line="316"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3040" w:type="dxa"/>
            <w:vAlign w:val="bottom"/>
            <w:gridSpan w:val="6"/>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120" w:type="dxa"/>
            <w:vAlign w:val="bottom"/>
            <w:vMerge w:val="restart"/>
          </w:tcPr>
          <w:p>
            <w:pPr>
              <w:spacing w:after="0"/>
              <w:rPr>
                <w:sz w:val="13"/>
                <w:szCs w:val="13"/>
                <w:color w:val="auto"/>
              </w:rPr>
            </w:pPr>
          </w:p>
        </w:tc>
        <w:tc>
          <w:tcPr>
            <w:tcW w:w="2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Headquarters/</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Initial</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3"/>
                <w:szCs w:val="13"/>
                <w:color w:val="auto"/>
              </w:rPr>
            </w:pPr>
          </w:p>
        </w:tc>
        <w:tc>
          <w:tcPr>
            <w:tcW w:w="92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3"/>
                <w:szCs w:val="13"/>
                <w:color w:val="auto"/>
              </w:rPr>
            </w:pPr>
          </w:p>
        </w:tc>
        <w:tc>
          <w:tcPr>
            <w:tcW w:w="96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0" w:type="dxa"/>
            <w:vAlign w:val="bottom"/>
          </w:tcPr>
          <w:p>
            <w:pPr>
              <w:spacing w:after="0"/>
              <w:rPr>
                <w:sz w:val="1"/>
                <w:szCs w:val="1"/>
                <w:color w:val="auto"/>
              </w:rPr>
            </w:pPr>
          </w:p>
        </w:tc>
      </w:tr>
      <w:tr>
        <w:trPr>
          <w:trHeight w:val="195"/>
        </w:trPr>
        <w:tc>
          <w:tcPr>
            <w:tcW w:w="3040" w:type="dxa"/>
            <w:vAlign w:val="bottom"/>
            <w:tcBorders>
              <w:bottom w:val="single" w:sz="8" w:color="auto"/>
            </w:tcBorders>
            <w:gridSpan w:val="6"/>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49"/>
        </w:trPr>
        <w:tc>
          <w:tcPr>
            <w:tcW w:w="20" w:type="dxa"/>
            <w:vAlign w:val="bottom"/>
            <w:shd w:val="clear" w:color="auto" w:fill="CCEEFF"/>
          </w:tcPr>
          <w:p>
            <w:pPr>
              <w:spacing w:after="0"/>
              <w:rPr>
                <w:sz w:val="21"/>
                <w:szCs w:val="21"/>
                <w:color w:val="auto"/>
              </w:rPr>
            </w:pPr>
          </w:p>
        </w:tc>
        <w:tc>
          <w:tcPr>
            <w:tcW w:w="31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NestGSV, Inc. (d/b/a GSV Labs, Inc.)</w:t>
            </w:r>
          </w:p>
        </w:tc>
        <w:tc>
          <w:tcPr>
            <w:tcW w:w="21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San Mateo, CA</w:t>
            </w: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Borders>
              <w:top w:val="single" w:sz="8" w:color="CCEEFF"/>
            </w:tcBorders>
          </w:tcPr>
          <w:p>
            <w:pPr>
              <w:spacing w:after="0"/>
              <w:rPr>
                <w:sz w:val="13"/>
                <w:szCs w:val="13"/>
                <w:color w:val="auto"/>
              </w:rPr>
            </w:pPr>
          </w:p>
        </w:tc>
        <w:tc>
          <w:tcPr>
            <w:tcW w:w="2280" w:type="dxa"/>
            <w:vAlign w:val="bottom"/>
            <w:tcBorders>
              <w:top w:val="single" w:sz="8" w:color="auto"/>
            </w:tcBorders>
            <w:gridSpan w:val="3"/>
          </w:tcPr>
          <w:p>
            <w:pPr>
              <w:spacing w:after="0" w:line="153" w:lineRule="exact"/>
              <w:rPr>
                <w:sz w:val="20"/>
                <w:szCs w:val="20"/>
                <w:color w:val="auto"/>
              </w:rPr>
            </w:pPr>
            <w:r>
              <w:rPr>
                <w:rFonts w:ascii="Times New Roman" w:cs="Times New Roman" w:eastAsia="Times New Roman" w:hAnsi="Times New Roman"/>
                <w:sz w:val="14"/>
                <w:szCs w:val="14"/>
                <w:color w:val="auto"/>
              </w:rPr>
              <w:t>Convertible Promissory Note 12% Due</w:t>
            </w:r>
          </w:p>
        </w:tc>
        <w:tc>
          <w:tcPr>
            <w:tcW w:w="860" w:type="dxa"/>
            <w:vAlign w:val="bottom"/>
            <w:tcBorders>
              <w:top w:val="single" w:sz="8" w:color="CCEEFF"/>
            </w:tcBorders>
            <w:gridSpan w:val="3"/>
          </w:tcPr>
          <w:p>
            <w:pPr>
              <w:spacing w:after="0"/>
              <w:rPr>
                <w:sz w:val="13"/>
                <w:szCs w:val="13"/>
                <w:color w:val="auto"/>
              </w:rPr>
            </w:pPr>
          </w:p>
        </w:tc>
        <w:tc>
          <w:tcPr>
            <w:tcW w:w="2140" w:type="dxa"/>
            <w:vAlign w:val="bottom"/>
            <w:tcBorders>
              <w:top w:val="single" w:sz="8" w:color="CCEEFF"/>
            </w:tcBorders>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Global Innovation Platform</w:t>
            </w:r>
          </w:p>
        </w:tc>
        <w:tc>
          <w:tcPr>
            <w:tcW w:w="1220" w:type="dxa"/>
            <w:vAlign w:val="bottom"/>
            <w:tcBorders>
              <w:top w:val="single" w:sz="8" w:color="CCEEFF"/>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2/17/2016</w:t>
            </w:r>
          </w:p>
        </w:tc>
        <w:tc>
          <w:tcPr>
            <w:tcW w:w="240" w:type="dxa"/>
            <w:vAlign w:val="bottom"/>
            <w:tcBorders>
              <w:top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CCEEFF"/>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936,525</w:t>
            </w:r>
          </w:p>
        </w:tc>
        <w:tc>
          <w:tcPr>
            <w:tcW w:w="100" w:type="dxa"/>
            <w:vAlign w:val="bottom"/>
            <w:tcBorders>
              <w:top w:val="single" w:sz="8" w:color="CCEEFF"/>
            </w:tcBorders>
          </w:tcPr>
          <w:p>
            <w:pPr>
              <w:spacing w:after="0"/>
              <w:rPr>
                <w:sz w:val="13"/>
                <w:szCs w:val="13"/>
                <w:color w:val="auto"/>
              </w:rPr>
            </w:pPr>
          </w:p>
        </w:tc>
        <w:tc>
          <w:tcPr>
            <w:tcW w:w="180" w:type="dxa"/>
            <w:vAlign w:val="bottom"/>
            <w:tcBorders>
              <w:top w:val="single" w:sz="8" w:color="CCEEFF"/>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CCEEFF"/>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953,869</w:t>
            </w:r>
          </w:p>
        </w:tc>
        <w:tc>
          <w:tcPr>
            <w:tcW w:w="120" w:type="dxa"/>
            <w:vAlign w:val="bottom"/>
            <w:tcBorders>
              <w:top w:val="single" w:sz="8" w:color="CCEEFF"/>
            </w:tcBorders>
          </w:tcPr>
          <w:p>
            <w:pPr>
              <w:spacing w:after="0"/>
              <w:rPr>
                <w:sz w:val="13"/>
                <w:szCs w:val="13"/>
                <w:color w:val="auto"/>
              </w:rPr>
            </w:pPr>
          </w:p>
        </w:tc>
        <w:tc>
          <w:tcPr>
            <w:tcW w:w="180" w:type="dxa"/>
            <w:vAlign w:val="bottom"/>
            <w:tcBorders>
              <w:top w:val="single" w:sz="8" w:color="CCEEFF"/>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CCEEFF"/>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462,864</w:t>
            </w:r>
          </w:p>
        </w:tc>
        <w:tc>
          <w:tcPr>
            <w:tcW w:w="100" w:type="dxa"/>
            <w:vAlign w:val="bottom"/>
            <w:tcBorders>
              <w:top w:val="single" w:sz="8" w:color="CCEEFF"/>
            </w:tcBorders>
          </w:tcPr>
          <w:p>
            <w:pPr>
              <w:spacing w:after="0"/>
              <w:rPr>
                <w:sz w:val="13"/>
                <w:szCs w:val="13"/>
                <w:color w:val="auto"/>
              </w:rPr>
            </w:pPr>
          </w:p>
        </w:tc>
        <w:tc>
          <w:tcPr>
            <w:tcW w:w="96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0.22%</w:t>
            </w:r>
          </w:p>
        </w:tc>
        <w:tc>
          <w:tcPr>
            <w:tcW w:w="0" w:type="dxa"/>
            <w:vAlign w:val="bottom"/>
          </w:tcPr>
          <w:p>
            <w:pPr>
              <w:spacing w:after="0"/>
              <w:rPr>
                <w:sz w:val="1"/>
                <w:szCs w:val="1"/>
                <w:color w:val="auto"/>
              </w:rPr>
            </w:pPr>
          </w:p>
        </w:tc>
      </w:tr>
      <w:tr>
        <w:trPr>
          <w:trHeight w:val="193"/>
        </w:trPr>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12/31/2019***</w:t>
            </w: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2"/>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316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shares, Series A-4</w:t>
            </w:r>
          </w:p>
        </w:tc>
        <w:tc>
          <w:tcPr>
            <w:tcW w:w="2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10/6/2014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3,720,424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4,904,498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2,212,644</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265"/>
        </w:trPr>
        <w:tc>
          <w:tcPr>
            <w:tcW w:w="3160" w:type="dxa"/>
            <w:vAlign w:val="bottom"/>
            <w:gridSpan w:val="7"/>
          </w:tcPr>
          <w:p>
            <w:pPr>
              <w:ind w:left="20"/>
              <w:spacing w:after="0"/>
              <w:rPr>
                <w:sz w:val="20"/>
                <w:szCs w:val="20"/>
                <w:color w:val="auto"/>
              </w:rPr>
            </w:pPr>
            <w:r>
              <w:rPr>
                <w:rFonts w:ascii="Times New Roman" w:cs="Times New Roman" w:eastAsia="Times New Roman" w:hAnsi="Times New Roman"/>
                <w:sz w:val="14"/>
                <w:szCs w:val="14"/>
                <w:color w:val="auto"/>
              </w:rPr>
              <w:t>Preferred shares, Series A-3</w:t>
            </w:r>
          </w:p>
        </w:tc>
        <w:tc>
          <w:tcPr>
            <w:tcW w:w="2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4/4/2014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1,561,625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2,005,730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928,743</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0.44%</w:t>
            </w:r>
          </w:p>
        </w:tc>
        <w:tc>
          <w:tcPr>
            <w:tcW w:w="0" w:type="dxa"/>
            <w:vAlign w:val="bottom"/>
          </w:tcPr>
          <w:p>
            <w:pPr>
              <w:spacing w:after="0"/>
              <w:rPr>
                <w:sz w:val="1"/>
                <w:szCs w:val="1"/>
                <w:color w:val="auto"/>
              </w:rPr>
            </w:pPr>
          </w:p>
        </w:tc>
      </w:tr>
      <w:tr>
        <w:trPr>
          <w:trHeight w:val="275"/>
        </w:trPr>
        <w:tc>
          <w:tcPr>
            <w:tcW w:w="316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shares, Series A-2</w:t>
            </w:r>
          </w:p>
        </w:tc>
        <w:tc>
          <w:tcPr>
            <w:tcW w:w="2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7/15/2013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450,001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605,500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267,629</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0" w:type="dxa"/>
            <w:vAlign w:val="bottom"/>
          </w:tcPr>
          <w:p>
            <w:pPr>
              <w:spacing w:after="0"/>
              <w:rPr>
                <w:sz w:val="1"/>
                <w:szCs w:val="1"/>
                <w:color w:val="auto"/>
              </w:rPr>
            </w:pPr>
          </w:p>
        </w:tc>
      </w:tr>
      <w:tr>
        <w:trPr>
          <w:trHeight w:val="265"/>
        </w:trPr>
        <w:tc>
          <w:tcPr>
            <w:tcW w:w="3160" w:type="dxa"/>
            <w:vAlign w:val="bottom"/>
            <w:gridSpan w:val="7"/>
          </w:tcPr>
          <w:p>
            <w:pPr>
              <w:ind w:left="20"/>
              <w:spacing w:after="0"/>
              <w:rPr>
                <w:sz w:val="20"/>
                <w:szCs w:val="20"/>
                <w:color w:val="auto"/>
              </w:rPr>
            </w:pPr>
            <w:r>
              <w:rPr>
                <w:rFonts w:ascii="Times New Roman" w:cs="Times New Roman" w:eastAsia="Times New Roman" w:hAnsi="Times New Roman"/>
                <w:sz w:val="14"/>
                <w:szCs w:val="14"/>
                <w:color w:val="auto"/>
              </w:rPr>
              <w:t>Preferred shares, Series A-1</w:t>
            </w:r>
          </w:p>
        </w:tc>
        <w:tc>
          <w:tcPr>
            <w:tcW w:w="2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5/25/2012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1,000,000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1,021,778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594,729</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0.28%</w:t>
            </w:r>
          </w:p>
        </w:tc>
        <w:tc>
          <w:tcPr>
            <w:tcW w:w="0" w:type="dxa"/>
            <w:vAlign w:val="bottom"/>
          </w:tcPr>
          <w:p>
            <w:pPr>
              <w:spacing w:after="0"/>
              <w:rPr>
                <w:sz w:val="1"/>
                <w:szCs w:val="1"/>
                <w:color w:val="auto"/>
              </w:rPr>
            </w:pPr>
          </w:p>
        </w:tc>
      </w:tr>
      <w:tr>
        <w:trPr>
          <w:trHeight w:val="275"/>
        </w:trPr>
        <w:tc>
          <w:tcPr>
            <w:tcW w:w="316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shares</w:t>
            </w:r>
          </w:p>
        </w:tc>
        <w:tc>
          <w:tcPr>
            <w:tcW w:w="2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7/1/2014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200,000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118,946</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0" w:type="dxa"/>
            <w:vAlign w:val="bottom"/>
          </w:tcPr>
          <w:p>
            <w:pPr>
              <w:spacing w:after="0"/>
              <w:rPr>
                <w:sz w:val="1"/>
                <w:szCs w:val="1"/>
                <w:color w:val="auto"/>
              </w:rPr>
            </w:pPr>
          </w:p>
        </w:tc>
      </w:tr>
      <w:tr>
        <w:trPr>
          <w:trHeight w:val="153"/>
        </w:trPr>
        <w:tc>
          <w:tcPr>
            <w:tcW w:w="3160" w:type="dxa"/>
            <w:vAlign w:val="bottom"/>
            <w:gridSpan w:val="7"/>
          </w:tcPr>
          <w:p>
            <w:pPr>
              <w:ind w:left="20"/>
              <w:spacing w:after="0" w:line="153" w:lineRule="exact"/>
              <w:rPr>
                <w:sz w:val="20"/>
                <w:szCs w:val="20"/>
                <w:color w:val="auto"/>
              </w:rPr>
            </w:pPr>
            <w:r>
              <w:rPr>
                <w:rFonts w:ascii="Times New Roman" w:cs="Times New Roman" w:eastAsia="Times New Roman" w:hAnsi="Times New Roman"/>
                <w:sz w:val="14"/>
                <w:szCs w:val="14"/>
                <w:color w:val="auto"/>
              </w:rPr>
              <w:t>Preferred Warrants Series A-3, Strike Price $1.33,</w:t>
            </w:r>
          </w:p>
        </w:tc>
        <w:tc>
          <w:tcPr>
            <w:tcW w:w="2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4/4/2014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187,500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10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20,625</w:t>
            </w:r>
          </w:p>
        </w:tc>
        <w:tc>
          <w:tcPr>
            <w:tcW w:w="10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0" w:type="dxa"/>
            <w:vAlign w:val="bottom"/>
          </w:tcPr>
          <w:p>
            <w:pPr>
              <w:spacing w:after="0"/>
              <w:rPr>
                <w:sz w:val="1"/>
                <w:szCs w:val="1"/>
                <w:color w:val="auto"/>
              </w:rPr>
            </w:pPr>
          </w:p>
        </w:tc>
      </w:tr>
      <w:tr>
        <w:trPr>
          <w:trHeight w:val="193"/>
        </w:trPr>
        <w:tc>
          <w:tcPr>
            <w:tcW w:w="3160" w:type="dxa"/>
            <w:vAlign w:val="bottom"/>
            <w:gridSpan w:val="7"/>
          </w:tcPr>
          <w:p>
            <w:pPr>
              <w:ind w:left="20"/>
              <w:spacing w:after="0"/>
              <w:rPr>
                <w:sz w:val="20"/>
                <w:szCs w:val="20"/>
                <w:color w:val="auto"/>
              </w:rPr>
            </w:pPr>
            <w:r>
              <w:rPr>
                <w:rFonts w:ascii="Times New Roman" w:cs="Times New Roman" w:eastAsia="Times New Roman" w:hAnsi="Times New Roman"/>
                <w:sz w:val="14"/>
                <w:szCs w:val="14"/>
                <w:color w:val="auto"/>
              </w:rPr>
              <w:t>Expiration Date 4/4/2021</w:t>
            </w: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160" w:type="dxa"/>
            <w:vAlign w:val="bottom"/>
            <w:gridSpan w:val="7"/>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Preferred Warrants Series A-4, Strike Price $1.33,</w:t>
            </w:r>
          </w:p>
        </w:tc>
        <w:tc>
          <w:tcPr>
            <w:tcW w:w="2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10/6/2014</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135,000</w:t>
            </w: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0" w:type="dxa"/>
            <w:vAlign w:val="bottom"/>
          </w:tcPr>
          <w:p>
            <w:pPr>
              <w:spacing w:after="0"/>
              <w:rPr>
                <w:sz w:val="1"/>
                <w:szCs w:val="1"/>
                <w:color w:val="auto"/>
              </w:rPr>
            </w:pPr>
          </w:p>
        </w:tc>
      </w:tr>
      <w:tr>
        <w:trPr>
          <w:trHeight w:val="198"/>
        </w:trPr>
        <w:tc>
          <w:tcPr>
            <w:tcW w:w="316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Expiration Date 10/6/2021</w:t>
            </w:r>
          </w:p>
        </w:tc>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160" w:type="dxa"/>
            <w:vAlign w:val="bottom"/>
            <w:gridSpan w:val="7"/>
          </w:tcPr>
          <w:p>
            <w:pPr>
              <w:ind w:left="20"/>
              <w:spacing w:after="0" w:line="153" w:lineRule="exact"/>
              <w:rPr>
                <w:sz w:val="20"/>
                <w:szCs w:val="20"/>
                <w:color w:val="auto"/>
              </w:rPr>
            </w:pPr>
            <w:r>
              <w:rPr>
                <w:rFonts w:ascii="Times New Roman" w:cs="Times New Roman" w:eastAsia="Times New Roman" w:hAnsi="Times New Roman"/>
                <w:sz w:val="14"/>
                <w:szCs w:val="14"/>
                <w:color w:val="auto"/>
              </w:rPr>
              <w:t>Preferred Warrants Series A-4, Strike Price $1.33,</w:t>
            </w:r>
          </w:p>
        </w:tc>
        <w:tc>
          <w:tcPr>
            <w:tcW w:w="2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7/8/2016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250,000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74,380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65,000</w:t>
            </w:r>
          </w:p>
        </w:tc>
        <w:tc>
          <w:tcPr>
            <w:tcW w:w="10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0" w:type="dxa"/>
            <w:vAlign w:val="bottom"/>
          </w:tcPr>
          <w:p>
            <w:pPr>
              <w:spacing w:after="0"/>
              <w:rPr>
                <w:sz w:val="1"/>
                <w:szCs w:val="1"/>
                <w:color w:val="auto"/>
              </w:rPr>
            </w:pPr>
          </w:p>
        </w:tc>
      </w:tr>
      <w:tr>
        <w:trPr>
          <w:trHeight w:val="193"/>
        </w:trPr>
        <w:tc>
          <w:tcPr>
            <w:tcW w:w="3160" w:type="dxa"/>
            <w:vAlign w:val="bottom"/>
            <w:gridSpan w:val="7"/>
          </w:tcPr>
          <w:p>
            <w:pPr>
              <w:ind w:left="20"/>
              <w:spacing w:after="0"/>
              <w:rPr>
                <w:sz w:val="20"/>
                <w:szCs w:val="20"/>
                <w:color w:val="auto"/>
              </w:rPr>
            </w:pPr>
            <w:r>
              <w:rPr>
                <w:rFonts w:ascii="Times New Roman" w:cs="Times New Roman" w:eastAsia="Times New Roman" w:hAnsi="Times New Roman"/>
                <w:sz w:val="14"/>
                <w:szCs w:val="14"/>
                <w:color w:val="auto"/>
              </w:rPr>
              <w:t>Expiration Date 7/18/2021</w:t>
            </w: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160" w:type="dxa"/>
            <w:vAlign w:val="bottom"/>
            <w:gridSpan w:val="7"/>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Preferred Warrants Series B, Strike Price $2.31,</w:t>
            </w:r>
          </w:p>
        </w:tc>
        <w:tc>
          <w:tcPr>
            <w:tcW w:w="2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11/29/2016</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29,275</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316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Expiration Date 11/29/2021</w:t>
            </w:r>
          </w:p>
        </w:tc>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160" w:type="dxa"/>
            <w:vAlign w:val="bottom"/>
            <w:gridSpan w:val="7"/>
          </w:tcPr>
          <w:p>
            <w:pPr>
              <w:ind w:left="20"/>
              <w:spacing w:after="0" w:line="153" w:lineRule="exact"/>
              <w:rPr>
                <w:sz w:val="20"/>
                <w:szCs w:val="20"/>
                <w:color w:val="auto"/>
              </w:rPr>
            </w:pPr>
            <w:r>
              <w:rPr>
                <w:rFonts w:ascii="Times New Roman" w:cs="Times New Roman" w:eastAsia="Times New Roman" w:hAnsi="Times New Roman"/>
                <w:sz w:val="14"/>
                <w:szCs w:val="14"/>
                <w:color w:val="auto"/>
              </w:rPr>
              <w:t>Preferred Warrant Series B–Strike Price $2.31,</w:t>
            </w:r>
          </w:p>
        </w:tc>
        <w:tc>
          <w:tcPr>
            <w:tcW w:w="2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5/29/2017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125,000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70,379</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160" w:type="dxa"/>
            <w:vAlign w:val="bottom"/>
            <w:gridSpan w:val="7"/>
          </w:tcPr>
          <w:p>
            <w:pPr>
              <w:ind w:left="20"/>
              <w:spacing w:after="0"/>
              <w:rPr>
                <w:sz w:val="20"/>
                <w:szCs w:val="20"/>
                <w:color w:val="auto"/>
              </w:rPr>
            </w:pPr>
            <w:r>
              <w:rPr>
                <w:rFonts w:ascii="Times New Roman" w:cs="Times New Roman" w:eastAsia="Times New Roman" w:hAnsi="Times New Roman"/>
                <w:sz w:val="14"/>
                <w:szCs w:val="14"/>
                <w:color w:val="auto"/>
              </w:rPr>
              <w:t>Expiration Date 5/29/2022</w:t>
            </w: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160" w:type="dxa"/>
            <w:vAlign w:val="bottom"/>
            <w:gridSpan w:val="7"/>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Preferred Warrant Series B–Strike Price $2.31,</w:t>
            </w:r>
          </w:p>
        </w:tc>
        <w:tc>
          <w:tcPr>
            <w:tcW w:w="2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12/31/2018</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250,000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5,080</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16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Expiration Date 12/31/2023</w:t>
            </w:r>
          </w:p>
        </w:tc>
        <w:tc>
          <w:tcPr>
            <w:tcW w:w="2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3140" w:type="dxa"/>
            <w:vAlign w:val="bottom"/>
            <w:tcBorders>
              <w:bottom w:val="single" w:sz="8" w:color="CCEEFF"/>
            </w:tcBorders>
            <w:gridSpan w:val="6"/>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20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9,671,489</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4,811,180</w:t>
            </w: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0" w:type="dxa"/>
            <w:vAlign w:val="bottom"/>
          </w:tcPr>
          <w:p>
            <w:pPr>
              <w:spacing w:after="0"/>
              <w:rPr>
                <w:sz w:val="1"/>
                <w:szCs w:val="1"/>
                <w:color w:val="auto"/>
              </w:rPr>
            </w:pPr>
          </w:p>
        </w:tc>
      </w:tr>
      <w:tr>
        <w:trPr>
          <w:trHeight w:val="147"/>
        </w:trPr>
        <w:tc>
          <w:tcPr>
            <w:tcW w:w="3160" w:type="dxa"/>
            <w:vAlign w:val="bottom"/>
            <w:gridSpan w:val="7"/>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b w:val="1"/>
                <w:bCs w:val="1"/>
                <w:color w:val="auto"/>
              </w:rPr>
              <w:t>SPBRX, INC. (f/k/a GSV Sustainability</w:t>
            </w:r>
          </w:p>
        </w:tc>
        <w:tc>
          <w:tcPr>
            <w:tcW w:w="214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Woodside, CA</w:t>
            </w: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Partners, Inc.)</w:t>
            </w:r>
          </w:p>
        </w:tc>
        <w:tc>
          <w:tcPr>
            <w:tcW w:w="1520" w:type="dxa"/>
            <w:vAlign w:val="bottom"/>
            <w:tcBorders>
              <w:top w:val="single" w:sz="8" w:color="auto"/>
              <w:bottom w:val="single" w:sz="8" w:color="CCEEFF"/>
            </w:tcBorders>
            <w:gridSpan w:val="2"/>
            <w:shd w:val="clear" w:color="auto" w:fill="CCEEFF"/>
          </w:tcPr>
          <w:p>
            <w:pPr>
              <w:spacing w:after="0"/>
              <w:rPr>
                <w:sz w:val="12"/>
                <w:szCs w:val="12"/>
                <w:color w:val="auto"/>
              </w:rPr>
            </w:pPr>
          </w:p>
        </w:tc>
        <w:tc>
          <w:tcPr>
            <w:tcW w:w="72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2140" w:type="dxa"/>
            <w:vAlign w:val="bottom"/>
            <w:tcBorders>
              <w:top w:val="single" w:sz="8" w:color="CCEEFF"/>
              <w:bottom w:val="single" w:sz="8" w:color="CCEEFF"/>
            </w:tcBorders>
            <w:gridSpan w:val="2"/>
            <w:vMerge w:val="continue"/>
            <w:shd w:val="clear" w:color="auto" w:fill="CCEEFF"/>
          </w:tcPr>
          <w:p>
            <w:pPr>
              <w:spacing w:after="0"/>
              <w:rPr>
                <w:sz w:val="12"/>
                <w:szCs w:val="12"/>
                <w:color w:val="auto"/>
              </w:rPr>
            </w:pPr>
          </w:p>
        </w:tc>
        <w:tc>
          <w:tcPr>
            <w:tcW w:w="12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9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96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3160" w:type="dxa"/>
            <w:vAlign w:val="bottom"/>
            <w:gridSpan w:val="7"/>
          </w:tcPr>
          <w:p>
            <w:pPr>
              <w:ind w:left="20"/>
              <w:spacing w:after="0"/>
              <w:rPr>
                <w:sz w:val="20"/>
                <w:szCs w:val="20"/>
                <w:color w:val="auto"/>
              </w:rPr>
            </w:pPr>
            <w:r>
              <w:rPr>
                <w:rFonts w:ascii="Times New Roman" w:cs="Times New Roman" w:eastAsia="Times New Roman" w:hAnsi="Times New Roman"/>
                <w:sz w:val="14"/>
                <w:szCs w:val="14"/>
                <w:color w:val="auto"/>
              </w:rPr>
              <w:t>Preferred shares, Class A***</w:t>
            </w:r>
            <w:r>
              <w:rPr>
                <w:rFonts w:ascii="Times New Roman" w:cs="Times New Roman" w:eastAsia="Times New Roman" w:hAnsi="Times New Roman"/>
                <w:sz w:val="8"/>
                <w:szCs w:val="8"/>
                <w:color w:val="auto"/>
              </w:rPr>
              <w:t>(9)</w:t>
            </w:r>
          </w:p>
        </w:tc>
        <w:tc>
          <w:tcPr>
            <w:tcW w:w="2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Clean Technology</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4/15/2014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14,300,000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7,151,412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816,198</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0.39%</w:t>
            </w:r>
          </w:p>
        </w:tc>
        <w:tc>
          <w:tcPr>
            <w:tcW w:w="0" w:type="dxa"/>
            <w:vAlign w:val="bottom"/>
          </w:tcPr>
          <w:p>
            <w:pPr>
              <w:spacing w:after="0"/>
              <w:rPr>
                <w:sz w:val="1"/>
                <w:szCs w:val="1"/>
                <w:color w:val="auto"/>
              </w:rPr>
            </w:pPr>
          </w:p>
        </w:tc>
      </w:tr>
      <w:tr>
        <w:trPr>
          <w:trHeight w:val="270"/>
        </w:trPr>
        <w:tc>
          <w:tcPr>
            <w:tcW w:w="316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shares</w:t>
            </w:r>
          </w:p>
        </w:tc>
        <w:tc>
          <w:tcPr>
            <w:tcW w:w="2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4/15/2014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3140" w:type="dxa"/>
            <w:vAlign w:val="bottom"/>
            <w:tcBorders>
              <w:bottom w:val="single" w:sz="8" w:color="CCEEFF"/>
            </w:tcBorders>
            <w:gridSpan w:val="6"/>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20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7,161,412</w:t>
            </w: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816,198</w:t>
            </w:r>
          </w:p>
        </w:tc>
        <w:tc>
          <w:tcPr>
            <w:tcW w:w="100" w:type="dxa"/>
            <w:vAlign w:val="bottom"/>
            <w:tcBorders>
              <w:bottom w:val="single" w:sz="8" w:color="CCEEFF"/>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0.39%</w:t>
            </w:r>
          </w:p>
        </w:tc>
        <w:tc>
          <w:tcPr>
            <w:tcW w:w="0" w:type="dxa"/>
            <w:vAlign w:val="bottom"/>
          </w:tcPr>
          <w:p>
            <w:pPr>
              <w:spacing w:after="0"/>
              <w:rPr>
                <w:sz w:val="1"/>
                <w:szCs w:val="1"/>
                <w:color w:val="auto"/>
              </w:rPr>
            </w:pPr>
          </w:p>
        </w:tc>
      </w:tr>
      <w:tr>
        <w:trPr>
          <w:trHeight w:val="282"/>
        </w:trPr>
        <w:tc>
          <w:tcPr>
            <w:tcW w:w="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14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Total Controlled</w:t>
            </w:r>
          </w:p>
        </w:tc>
        <w:tc>
          <w:tcPr>
            <w:tcW w:w="2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22,963,375</w:t>
            </w:r>
          </w:p>
        </w:tc>
        <w:tc>
          <w:tcPr>
            <w:tcW w:w="120" w:type="dxa"/>
            <w:vAlign w:val="bottom"/>
          </w:tcPr>
          <w:p>
            <w:pPr>
              <w:spacing w:after="0"/>
              <w:rPr>
                <w:sz w:val="23"/>
                <w:szCs w:val="23"/>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12,998,814</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6.16%</w:t>
            </w:r>
          </w:p>
        </w:tc>
        <w:tc>
          <w:tcPr>
            <w:tcW w:w="0" w:type="dxa"/>
            <w:vAlign w:val="bottom"/>
          </w:tcPr>
          <w:p>
            <w:pPr>
              <w:spacing w:after="0"/>
              <w:rPr>
                <w:sz w:val="1"/>
                <w:szCs w:val="1"/>
                <w:color w:val="auto"/>
              </w:rPr>
            </w:pPr>
          </w:p>
        </w:tc>
      </w:tr>
      <w:tr>
        <w:trPr>
          <w:trHeight w:val="302"/>
        </w:trPr>
        <w:tc>
          <w:tcPr>
            <w:tcW w:w="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4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Total Portfolio Investments</w:t>
            </w:r>
          </w:p>
        </w:tc>
        <w:tc>
          <w:tcPr>
            <w:tcW w:w="2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147,508,329</w:t>
            </w:r>
          </w:p>
        </w:tc>
        <w:tc>
          <w:tcPr>
            <w:tcW w:w="120" w:type="dxa"/>
            <w:vAlign w:val="bottom"/>
          </w:tcPr>
          <w:p>
            <w:pPr>
              <w:spacing w:after="0"/>
              <w:rPr>
                <w:sz w:val="21"/>
                <w:szCs w:val="21"/>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183,415,122</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86.88%</w:t>
            </w:r>
          </w:p>
        </w:tc>
        <w:tc>
          <w:tcPr>
            <w:tcW w:w="0" w:type="dxa"/>
            <w:vAlign w:val="bottom"/>
          </w:tcPr>
          <w:p>
            <w:pPr>
              <w:spacing w:after="0"/>
              <w:rPr>
                <w:sz w:val="1"/>
                <w:szCs w:val="1"/>
                <w:color w:val="auto"/>
              </w:rPr>
            </w:pPr>
          </w:p>
        </w:tc>
      </w:tr>
      <w:tr>
        <w:trPr>
          <w:trHeight w:val="289"/>
        </w:trPr>
        <w:tc>
          <w:tcPr>
            <w:tcW w:w="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16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U.S. Treasury</w:t>
            </w: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16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Treasury bill, 0%, due 7/2/2019***</w:t>
            </w:r>
            <w:r>
              <w:rPr>
                <w:rFonts w:ascii="Times New Roman" w:cs="Times New Roman" w:eastAsia="Times New Roman" w:hAnsi="Times New Roman"/>
                <w:sz w:val="8"/>
                <w:szCs w:val="8"/>
                <w:color w:val="auto"/>
              </w:rPr>
              <w:t>(3)</w:t>
            </w:r>
          </w:p>
        </w:tc>
        <w:tc>
          <w:tcPr>
            <w:tcW w:w="2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6/27/2019</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100,000,000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99,979,000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99,995,000</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47.36%</w:t>
            </w:r>
          </w:p>
        </w:tc>
        <w:tc>
          <w:tcPr>
            <w:tcW w:w="0" w:type="dxa"/>
            <w:vAlign w:val="bottom"/>
          </w:tcPr>
          <w:p>
            <w:pPr>
              <w:spacing w:after="0"/>
              <w:rPr>
                <w:sz w:val="1"/>
                <w:szCs w:val="1"/>
                <w:color w:val="auto"/>
              </w:rPr>
            </w:pPr>
          </w:p>
        </w:tc>
      </w:tr>
      <w:tr>
        <w:trPr>
          <w:trHeight w:val="284"/>
        </w:trPr>
        <w:tc>
          <w:tcPr>
            <w:tcW w:w="2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160" w:type="dxa"/>
            <w:vAlign w:val="bottom"/>
            <w:tcBorders>
              <w:bottom w:val="single" w:sz="8" w:color="CCEEFF"/>
            </w:tcBorders>
            <w:gridSpan w:val="7"/>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INVESTMENTS</w:t>
            </w:r>
          </w:p>
        </w:tc>
        <w:tc>
          <w:tcPr>
            <w:tcW w:w="2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247,487,329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283,410,122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134.24%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-1268730</wp:posOffset>
            </wp:positionV>
            <wp:extent cx="19297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condensed consolidated financial statements.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w:t>
      </w:r>
    </w:p>
    <w:p>
      <w:pPr>
        <w:jc w:val="both"/>
        <w:ind w:left="500" w:hanging="492"/>
        <w:spacing w:after="0" w:line="273"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All portfolio investments are non-control/non-affiliated and non-income-producing, unless otherwise identified. Equity investments are subject to lock-up restrictions upon their initial public offering (“IPO”). Preferred dividends are generally only payable when declared and paid by the portfolio company's board of directors. The Company’s directors, officers, employees and staff, as applicable, may serve on the board of directors of the Company’s portfolio investments. (Refer to “Note 3— Related-Party Arrangements”). All portfolio investments are considered Level 3 and valued using significant unobservable inputs, unless otherwise noted. (Refer to “Note 4—Investments at Fair Value”). All of the Company's portfolio investments are restricted as to resale, unless otherwise noted, and were valued at fair value as</w:t>
      </w:r>
    </w:p>
    <w:p>
      <w:pPr>
        <w:spacing w:after="0" w:line="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determined in good faith by the Company’s Board of Directors. (Refer to "Note 2—Significant Accounting Policies—</w:t>
      </w:r>
      <w:r>
        <w:rPr>
          <w:rFonts w:ascii="Times New Roman" w:cs="Times New Roman" w:eastAsia="Times New Roman" w:hAnsi="Times New Roman"/>
          <w:sz w:val="16"/>
          <w:szCs w:val="16"/>
          <w:i w:val="1"/>
          <w:iCs w:val="1"/>
          <w:color w:val="auto"/>
        </w:rPr>
        <w:t>Investments at Fair Value</w:t>
      </w:r>
      <w:r>
        <w:rPr>
          <w:rFonts w:ascii="Times New Roman" w:cs="Times New Roman" w:eastAsia="Times New Roman" w:hAnsi="Times New Roman"/>
          <w:sz w:val="16"/>
          <w:szCs w:val="16"/>
          <w:color w:val="auto"/>
        </w:rPr>
        <w:t>").</w:t>
      </w:r>
    </w:p>
    <w:p>
      <w:pPr>
        <w:spacing w:after="0" w:line="28" w:lineRule="exact"/>
        <w:rPr>
          <w:sz w:val="20"/>
          <w:szCs w:val="20"/>
          <w:color w:val="auto"/>
        </w:rPr>
      </w:pPr>
    </w:p>
    <w:p>
      <w:pPr>
        <w:ind w:left="500" w:hanging="492"/>
        <w:spacing w:after="0" w:line="253" w:lineRule="auto"/>
        <w:tabs>
          <w:tab w:leader="none" w:pos="5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assets that Sutter Rock Capital Corp. believes do not represent “qualifying assets” under Section 55(a) of the Investment Company Act of 1940, as amended (the “1940 Act”). Of the Company’s total investments as of June 30, 2019, 10.58% of its total investments are non-qualifying assets.</w:t>
      </w:r>
    </w:p>
    <w:p>
      <w:pPr>
        <w:ind w:left="500" w:hanging="492"/>
        <w:spacing w:after="0"/>
        <w:tabs>
          <w:tab w:leader="none" w:pos="5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is income-producing.</w:t>
      </w:r>
    </w:p>
    <w:p>
      <w:pPr>
        <w:spacing w:after="0" w:line="176" w:lineRule="exact"/>
        <w:rPr>
          <w:sz w:val="20"/>
          <w:szCs w:val="20"/>
          <w:color w:val="auto"/>
        </w:rPr>
      </w:pPr>
    </w:p>
    <w:p>
      <w:pPr>
        <w:jc w:val="both"/>
        <w:ind w:left="500" w:hanging="492"/>
        <w:spacing w:after="0" w:line="258" w:lineRule="auto"/>
        <w:tabs>
          <w:tab w:leader="none" w:pos="5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“Affiliate Investments” are investments in those companies that are “Affiliated Companies” of Sutter Rock Capital Corp., as defined in the 1940 Act. In general, a company is deemed to be an “Affiliate” of Sutter Rock Capital Corp. if Sutter Rock Capital Corp. owns 5% or more of the voting securities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securities with the right to elect directors) of such company. For the Schedule of Investments In, and Advances To, Affiliates, as required by SEC Regulation S-X, Rule 12-14, refer to “Note 4—Investments at Fair Value”.</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8" w:right="239" w:bottom="1440" w:gutter="0" w:footer="0" w:header="0"/>
          <w:type w:val="continuous"/>
        </w:sectPr>
      </w:pPr>
    </w:p>
    <w:bookmarkStart w:id="10" w:name="page11"/>
    <w:bookmarkEnd w:id="10"/>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left="260" w:right="1960"/>
        <w:spacing w:after="0" w:line="278" w:lineRule="auto"/>
        <w:rPr>
          <w:sz w:val="20"/>
          <w:szCs w:val="20"/>
          <w:color w:val="auto"/>
        </w:rPr>
      </w:pPr>
      <w:r>
        <w:rPr>
          <w:rFonts w:ascii="Times New Roman" w:cs="Times New Roman" w:eastAsia="Times New Roman" w:hAnsi="Times New Roman"/>
          <w:sz w:val="18"/>
          <w:szCs w:val="18"/>
          <w:b w:val="1"/>
          <w:bCs w:val="1"/>
          <w:color w:val="auto"/>
        </w:rPr>
        <w:t>SUTTER ROCK CAPITAL CORP. AND SUBSIDIARIES CONDENSED CONSOLIDATED SCHEDULE OF INVESTMENTS (UNAUDITED) - continued June 30, 2019</w:t>
      </w:r>
    </w:p>
    <w:p>
      <w:pPr>
        <w:spacing w:after="0" w:line="393" w:lineRule="exact"/>
        <w:rPr>
          <w:sz w:val="20"/>
          <w:szCs w:val="20"/>
          <w:color w:val="auto"/>
        </w:rPr>
      </w:pPr>
    </w:p>
    <w:p>
      <w:pPr>
        <w:jc w:val="both"/>
        <w:ind w:left="500" w:hanging="492"/>
        <w:spacing w:after="0" w:line="258" w:lineRule="auto"/>
        <w:tabs>
          <w:tab w:leader="none" w:pos="5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“Control Investments” are investments in those companies that are “Controlled Companies” of Sutter Rock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 such portfolio company. For the Schedule of Investments In, and Advances To, Affiliates, as required by SEC Regulation S-X, Rule 12-14, refer to “Note 4—Investments at Fair Value”.</w:t>
      </w:r>
    </w:p>
    <w:p>
      <w:pPr>
        <w:spacing w:after="0" w:line="154"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Denotes an investment considered Level 1 or Level 2 and valued using observable inputs.</w:t>
      </w:r>
    </w:p>
    <w:p>
      <w:pPr>
        <w:spacing w:after="0" w:line="194"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June 30, 2019, the investments noted had been placed on non-accrual status.</w:t>
      </w:r>
    </w:p>
    <w:p>
      <w:pPr>
        <w:spacing w:after="0" w:line="194"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Sutter Rock Capital Corp.’s investments in StormWind, LLC are held through Sutter Rock Capital Corp.'s wholly owned subsidiary, GSVC SW Holdings, Inc.</w:t>
      </w:r>
    </w:p>
    <w:p>
      <w:pPr>
        <w:spacing w:after="0" w:line="194" w:lineRule="exact"/>
        <w:rPr>
          <w:rFonts w:ascii="Times New Roman" w:cs="Times New Roman" w:eastAsia="Times New Roman" w:hAnsi="Times New Roman"/>
          <w:sz w:val="16"/>
          <w:szCs w:val="16"/>
          <w:color w:val="auto"/>
        </w:rPr>
      </w:pPr>
    </w:p>
    <w:p>
      <w:pPr>
        <w:ind w:left="500" w:right="20" w:hanging="492"/>
        <w:spacing w:after="0" w:line="281" w:lineRule="auto"/>
        <w:tabs>
          <w:tab w:leader="none" w:pos="5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will accrue daily on the unpaid principal balance of the note. Interest began compounding annually on November 26, 2015. Accrued interest is not payable until the earlier of (a) the closing of a subsequent equity offering by CUX, Inc. (d/b/a CorpU), or (b) the maturity of the note.</w:t>
      </w:r>
    </w:p>
    <w:p>
      <w:pPr>
        <w:spacing w:after="0" w:line="136" w:lineRule="exact"/>
        <w:rPr>
          <w:rFonts w:ascii="Times New Roman" w:cs="Times New Roman" w:eastAsia="Times New Roman" w:hAnsi="Times New Roman"/>
          <w:sz w:val="16"/>
          <w:szCs w:val="16"/>
          <w:color w:val="auto"/>
        </w:rPr>
      </w:pPr>
    </w:p>
    <w:p>
      <w:pPr>
        <w:jc w:val="both"/>
        <w:ind w:left="500" w:hanging="492"/>
        <w:spacing w:after="0" w:line="258" w:lineRule="auto"/>
        <w:tabs>
          <w:tab w:leader="none" w:pos="5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March 29, 2019, Lyft, Inc. priced its initial public offering for 32,500,000 Class A common shares at a price of $72.00 per share. Sutter Rock Capital Corp.'s 176,266 Series D preferred shares and 128,563 Series E preferred shares of Lyft, Inc. automatically converted to Class A common shares immediately prior to the close of the offering and are subject to a lock-up provision. At June 30, 2019, Sutter Rock Capital Corp. valued is common shares of Lyft, Inc. based on its June 30, 2019 closing price, less a 5% liquidity discount due to the lock-up provision.</w:t>
      </w:r>
    </w:p>
    <w:p>
      <w:pPr>
        <w:spacing w:after="0" w:line="181"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Subsequent to December 31, 2018, Ozy Media Inc.'s obligations under its financing arrangements with the Company became past due.</w:t>
      </w:r>
    </w:p>
    <w:p>
      <w:pPr>
        <w:spacing w:after="0" w:line="194" w:lineRule="exact"/>
        <w:rPr>
          <w:rFonts w:ascii="Times New Roman" w:cs="Times New Roman" w:eastAsia="Times New Roman" w:hAnsi="Times New Roman"/>
          <w:sz w:val="16"/>
          <w:szCs w:val="16"/>
          <w:color w:val="auto"/>
        </w:rPr>
      </w:pPr>
    </w:p>
    <w:p>
      <w:pPr>
        <w:jc w:val="both"/>
        <w:ind w:left="500" w:hanging="492"/>
        <w:spacing w:after="0" w:line="258" w:lineRule="auto"/>
        <w:tabs>
          <w:tab w:leader="none" w:pos="5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SPBRX, INC. (f/k/a GSV Sustainability Partners, Inc.) preferred shares held by Sutter Rock Capital Corp. do not entitle Sutter Rock Capital Corp. to a preferred dividend rate. During the six months ended June 30, 2019, SPBRX, INC. declared, and Sutter Rock Capital Corp. received, an aggregate of $200,000 in cash distributions. Sutter Rock Capital Corp. does not anticipate that SPBRX, INC. will pay distributions on a quarterly or regular basis or become a predictable distributor of distributions.</w:t>
      </w:r>
    </w:p>
    <w:p>
      <w:pPr>
        <w:spacing w:after="0" w:line="154" w:lineRule="exact"/>
        <w:rPr>
          <w:rFonts w:ascii="Times New Roman" w:cs="Times New Roman" w:eastAsia="Times New Roman" w:hAnsi="Times New Roman"/>
          <w:sz w:val="16"/>
          <w:szCs w:val="16"/>
          <w:color w:val="auto"/>
        </w:rPr>
      </w:pPr>
    </w:p>
    <w:p>
      <w:pPr>
        <w:ind w:left="500" w:hanging="492"/>
        <w:spacing w:after="0" w:line="281" w:lineRule="auto"/>
        <w:tabs>
          <w:tab w:leader="none" w:pos="5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March 23, 2018, Dropbox, Inc. priced its IPO. The lock-up agreement for Sutter Rock Capital Corp.'s common shares expired on August 23, 2018. At June 30, 2019, Sutter Rock Capital Corp. valued its common shares of Dropbox, Inc. based on its June 30, 2019 closing price.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SCHEDULE OF INVESTMENTS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gridSpan w:val="18"/>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120" w:type="dxa"/>
            <w:vAlign w:val="bottom"/>
          </w:tcPr>
          <w:p>
            <w:pPr>
              <w:spacing w:after="0"/>
              <w:rPr>
                <w:sz w:val="13"/>
                <w:szCs w:val="13"/>
                <w:color w:val="auto"/>
              </w:rPr>
            </w:pP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Headquarters/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Date of Initial</w:t>
            </w:r>
          </w:p>
        </w:tc>
        <w:tc>
          <w:tcPr>
            <w:tcW w:w="180" w:type="dxa"/>
            <w:vAlign w:val="bottom"/>
          </w:tcPr>
          <w:p>
            <w:pPr>
              <w:spacing w:after="0"/>
              <w:rPr>
                <w:sz w:val="13"/>
                <w:szCs w:val="13"/>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60" w:type="dxa"/>
            <w:vAlign w:val="bottom"/>
          </w:tcPr>
          <w:p>
            <w:pPr>
              <w:spacing w:after="0"/>
              <w:rPr>
                <w:sz w:val="13"/>
                <w:szCs w:val="13"/>
                <w:color w:val="auto"/>
              </w:rPr>
            </w:pPr>
          </w:p>
        </w:tc>
        <w:tc>
          <w:tcPr>
            <w:tcW w:w="9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3"/>
                <w:szCs w:val="13"/>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0" w:type="dxa"/>
            <w:vAlign w:val="bottom"/>
          </w:tcPr>
          <w:p>
            <w:pPr>
              <w:spacing w:after="0"/>
              <w:rPr>
                <w:sz w:val="1"/>
                <w:szCs w:val="1"/>
                <w:color w:val="auto"/>
              </w:rPr>
            </w:pPr>
          </w:p>
        </w:tc>
      </w:tr>
      <w:tr>
        <w:trPr>
          <w:trHeight w:val="195"/>
        </w:trPr>
        <w:tc>
          <w:tcPr>
            <w:tcW w:w="2980" w:type="dxa"/>
            <w:vAlign w:val="bottom"/>
            <w:gridSpan w:val="18"/>
            <w:vMerge w:val="continue"/>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8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8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69"/>
        </w:trPr>
        <w:tc>
          <w:tcPr>
            <w:tcW w:w="2980" w:type="dxa"/>
            <w:vAlign w:val="bottom"/>
            <w:tcBorders>
              <w:top w:val="single" w:sz="8" w:color="auto"/>
            </w:tcBorders>
            <w:gridSpan w:val="18"/>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NON-CONTROLLED/NON-AFFILIATE</w:t>
            </w:r>
          </w:p>
        </w:tc>
        <w:tc>
          <w:tcPr>
            <w:tcW w:w="120" w:type="dxa"/>
            <w:vAlign w:val="bottom"/>
            <w:tcBorders>
              <w:top w:val="single" w:sz="8" w:color="CCEEFF"/>
            </w:tcBorders>
            <w:shd w:val="clear" w:color="auto" w:fill="CCEEFF"/>
          </w:tcPr>
          <w:p>
            <w:pPr>
              <w:spacing w:after="0"/>
              <w:rPr>
                <w:sz w:val="23"/>
                <w:szCs w:val="23"/>
                <w:color w:val="auto"/>
              </w:rPr>
            </w:pPr>
          </w:p>
        </w:tc>
        <w:tc>
          <w:tcPr>
            <w:tcW w:w="23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980" w:type="dxa"/>
            <w:vAlign w:val="bottom"/>
            <w:gridSpan w:val="18"/>
          </w:tcPr>
          <w:p>
            <w:pPr>
              <w:ind w:left="40"/>
              <w:spacing w:after="0"/>
              <w:rPr>
                <w:sz w:val="20"/>
                <w:szCs w:val="20"/>
                <w:color w:val="auto"/>
              </w:rPr>
            </w:pPr>
            <w:r>
              <w:rPr>
                <w:rFonts w:ascii="Times New Roman" w:cs="Times New Roman" w:eastAsia="Times New Roman" w:hAnsi="Times New Roman"/>
                <w:sz w:val="14"/>
                <w:szCs w:val="14"/>
                <w:b w:val="1"/>
                <w:bCs w:val="1"/>
                <w:color w:val="auto"/>
              </w:rPr>
              <w:t>Palantir Technologies, Inc.</w:t>
            </w:r>
          </w:p>
        </w:tc>
        <w:tc>
          <w:tcPr>
            <w:tcW w:w="120" w:type="dxa"/>
            <w:vAlign w:val="bottom"/>
          </w:tcPr>
          <w:p>
            <w:pPr>
              <w:spacing w:after="0"/>
              <w:rPr>
                <w:sz w:val="19"/>
                <w:szCs w:val="19"/>
                <w:color w:val="auto"/>
              </w:rPr>
            </w:pP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Palo Alto,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gridSpan w:val="18"/>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Common shares, Class A</w:t>
            </w:r>
          </w:p>
        </w:tc>
        <w:tc>
          <w:tcPr>
            <w:tcW w:w="120" w:type="dxa"/>
            <w:vAlign w:val="bottom"/>
            <w:shd w:val="clear" w:color="auto" w:fill="CCEEFF"/>
          </w:tcPr>
          <w:p>
            <w:pPr>
              <w:spacing w:after="0"/>
              <w:rPr>
                <w:sz w:val="23"/>
                <w:szCs w:val="23"/>
                <w:color w:val="auto"/>
              </w:rPr>
            </w:pPr>
          </w:p>
        </w:tc>
        <w:tc>
          <w:tcPr>
            <w:tcW w:w="24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Data Analysis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5/7/2012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5,773,690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16,189,935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34,053,394</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17.43%</w:t>
            </w:r>
          </w:p>
        </w:tc>
        <w:tc>
          <w:tcPr>
            <w:tcW w:w="0" w:type="dxa"/>
            <w:vAlign w:val="bottom"/>
          </w:tcPr>
          <w:p>
            <w:pPr>
              <w:spacing w:after="0"/>
              <w:rPr>
                <w:sz w:val="1"/>
                <w:szCs w:val="1"/>
                <w:color w:val="auto"/>
              </w:rPr>
            </w:pPr>
          </w:p>
        </w:tc>
      </w:tr>
      <w:tr>
        <w:trPr>
          <w:trHeight w:val="230"/>
        </w:trPr>
        <w:tc>
          <w:tcPr>
            <w:tcW w:w="2980" w:type="dxa"/>
            <w:vAlign w:val="bottom"/>
            <w:gridSpan w:val="18"/>
          </w:tcPr>
          <w:p>
            <w:pPr>
              <w:ind w:left="40"/>
              <w:spacing w:after="0"/>
              <w:rPr>
                <w:sz w:val="20"/>
                <w:szCs w:val="20"/>
                <w:color w:val="auto"/>
              </w:rPr>
            </w:pPr>
            <w:r>
              <w:rPr>
                <w:rFonts w:ascii="Times New Roman" w:cs="Times New Roman" w:eastAsia="Times New Roman" w:hAnsi="Times New Roman"/>
                <w:sz w:val="14"/>
                <w:szCs w:val="14"/>
                <w:b w:val="1"/>
                <w:bCs w:val="1"/>
                <w:color w:val="auto"/>
              </w:rPr>
              <w:t>Spotify Technology S.A.</w:t>
            </w: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Stockholm, Sweden</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gridSpan w:val="18"/>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Common shares</w:t>
            </w:r>
            <w:r>
              <w:rPr>
                <w:rFonts w:ascii="Times New Roman" w:cs="Times New Roman" w:eastAsia="Times New Roman" w:hAnsi="Times New Roman"/>
                <w:sz w:val="8"/>
                <w:szCs w:val="8"/>
                <w:color w:val="auto"/>
              </w:rPr>
              <w:t>(3)(7)</w:t>
            </w:r>
          </w:p>
        </w:tc>
        <w:tc>
          <w:tcPr>
            <w:tcW w:w="120" w:type="dxa"/>
            <w:vAlign w:val="bottom"/>
            <w:shd w:val="clear" w:color="auto" w:fill="CCEEFF"/>
          </w:tcPr>
          <w:p>
            <w:pPr>
              <w:spacing w:after="0"/>
              <w:rPr>
                <w:sz w:val="23"/>
                <w:szCs w:val="23"/>
                <w:color w:val="auto"/>
              </w:rPr>
            </w:pPr>
          </w:p>
        </w:tc>
        <w:tc>
          <w:tcPr>
            <w:tcW w:w="24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On-Demand Music Streaming</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8/6/2012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235,360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10,002,084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26,713,360</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13.67%</w:t>
            </w:r>
          </w:p>
        </w:tc>
        <w:tc>
          <w:tcPr>
            <w:tcW w:w="0" w:type="dxa"/>
            <w:vAlign w:val="bottom"/>
          </w:tcPr>
          <w:p>
            <w:pPr>
              <w:spacing w:after="0"/>
              <w:rPr>
                <w:sz w:val="1"/>
                <w:szCs w:val="1"/>
                <w:color w:val="auto"/>
              </w:rPr>
            </w:pPr>
          </w:p>
        </w:tc>
      </w:tr>
      <w:tr>
        <w:trPr>
          <w:trHeight w:val="230"/>
        </w:trPr>
        <w:tc>
          <w:tcPr>
            <w:tcW w:w="2980" w:type="dxa"/>
            <w:vAlign w:val="bottom"/>
            <w:gridSpan w:val="18"/>
          </w:tcPr>
          <w:p>
            <w:pPr>
              <w:ind w:left="40"/>
              <w:spacing w:after="0"/>
              <w:rPr>
                <w:sz w:val="20"/>
                <w:szCs w:val="20"/>
                <w:color w:val="auto"/>
              </w:rPr>
            </w:pPr>
            <w:r>
              <w:rPr>
                <w:rFonts w:ascii="Times New Roman" w:cs="Times New Roman" w:eastAsia="Times New Roman" w:hAnsi="Times New Roman"/>
                <w:sz w:val="14"/>
                <w:szCs w:val="14"/>
                <w:b w:val="1"/>
                <w:bCs w:val="1"/>
                <w:color w:val="auto"/>
              </w:rPr>
              <w:t>Coursera, Inc.</w:t>
            </w:r>
          </w:p>
        </w:tc>
        <w:tc>
          <w:tcPr>
            <w:tcW w:w="120" w:type="dxa"/>
            <w:vAlign w:val="bottom"/>
          </w:tcPr>
          <w:p>
            <w:pPr>
              <w:spacing w:after="0"/>
              <w:rPr>
                <w:sz w:val="19"/>
                <w:szCs w:val="19"/>
                <w:color w:val="auto"/>
              </w:rPr>
            </w:pPr>
          </w:p>
        </w:tc>
        <w:tc>
          <w:tcPr>
            <w:tcW w:w="2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Mountain View,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gridSpan w:val="18"/>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shares, Series B</w:t>
            </w:r>
          </w:p>
        </w:tc>
        <w:tc>
          <w:tcPr>
            <w:tcW w:w="120" w:type="dxa"/>
            <w:vAlign w:val="bottom"/>
            <w:shd w:val="clear" w:color="auto" w:fill="CCEEFF"/>
          </w:tcPr>
          <w:p>
            <w:pPr>
              <w:spacing w:after="0"/>
              <w:rPr>
                <w:sz w:val="23"/>
                <w:szCs w:val="23"/>
                <w:color w:val="auto"/>
              </w:rPr>
            </w:pPr>
          </w:p>
        </w:tc>
        <w:tc>
          <w:tcPr>
            <w:tcW w:w="24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Online Education</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6/9/2013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2,961,399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14,519,519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23,111,889</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w:t>
            </w:r>
          </w:p>
        </w:tc>
        <w:tc>
          <w:tcPr>
            <w:tcW w:w="0" w:type="dxa"/>
            <w:vAlign w:val="bottom"/>
          </w:tcPr>
          <w:p>
            <w:pPr>
              <w:spacing w:after="0"/>
              <w:rPr>
                <w:sz w:val="1"/>
                <w:szCs w:val="1"/>
                <w:color w:val="auto"/>
              </w:rPr>
            </w:pPr>
          </w:p>
        </w:tc>
      </w:tr>
      <w:tr>
        <w:trPr>
          <w:trHeight w:val="230"/>
        </w:trPr>
        <w:tc>
          <w:tcPr>
            <w:tcW w:w="2980" w:type="dxa"/>
            <w:vAlign w:val="bottom"/>
            <w:gridSpan w:val="18"/>
          </w:tcPr>
          <w:p>
            <w:pPr>
              <w:ind w:left="40"/>
              <w:spacing w:after="0"/>
              <w:rPr>
                <w:sz w:val="20"/>
                <w:szCs w:val="20"/>
                <w:color w:val="auto"/>
              </w:rPr>
            </w:pPr>
            <w:r>
              <w:rPr>
                <w:rFonts w:ascii="Times New Roman" w:cs="Times New Roman" w:eastAsia="Times New Roman" w:hAnsi="Times New Roman"/>
                <w:sz w:val="14"/>
                <w:szCs w:val="14"/>
                <w:b w:val="1"/>
                <w:bCs w:val="1"/>
                <w:color w:val="auto"/>
              </w:rPr>
              <w:t>Dropbox, Inc.</w:t>
            </w: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San Francisco,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gridSpan w:val="18"/>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Common shares</w:t>
            </w:r>
            <w:r>
              <w:rPr>
                <w:rFonts w:ascii="Times New Roman" w:cs="Times New Roman" w:eastAsia="Times New Roman" w:hAnsi="Times New Roman"/>
                <w:sz w:val="8"/>
                <w:szCs w:val="8"/>
                <w:color w:val="auto"/>
              </w:rPr>
              <w:t>(3)(8)</w:t>
            </w:r>
          </w:p>
        </w:tc>
        <w:tc>
          <w:tcPr>
            <w:tcW w:w="120" w:type="dxa"/>
            <w:vAlign w:val="bottom"/>
            <w:shd w:val="clear" w:color="auto" w:fill="CCEEFF"/>
          </w:tcPr>
          <w:p>
            <w:pPr>
              <w:spacing w:after="0"/>
              <w:rPr>
                <w:sz w:val="23"/>
                <w:szCs w:val="23"/>
                <w:color w:val="auto"/>
              </w:rPr>
            </w:pPr>
          </w:p>
        </w:tc>
        <w:tc>
          <w:tcPr>
            <w:tcW w:w="24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rPr>
              <w:t>Cloud Computing Services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11/15/2011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874,990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13,656,926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17,876,046</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w:t>
            </w:r>
          </w:p>
        </w:tc>
        <w:tc>
          <w:tcPr>
            <w:tcW w:w="0" w:type="dxa"/>
            <w:vAlign w:val="bottom"/>
          </w:tcPr>
          <w:p>
            <w:pPr>
              <w:spacing w:after="0"/>
              <w:rPr>
                <w:sz w:val="1"/>
                <w:szCs w:val="1"/>
                <w:color w:val="auto"/>
              </w:rPr>
            </w:pPr>
          </w:p>
        </w:tc>
      </w:tr>
      <w:tr>
        <w:trPr>
          <w:trHeight w:val="230"/>
        </w:trPr>
        <w:tc>
          <w:tcPr>
            <w:tcW w:w="2980" w:type="dxa"/>
            <w:vAlign w:val="bottom"/>
            <w:gridSpan w:val="18"/>
          </w:tcPr>
          <w:p>
            <w:pPr>
              <w:ind w:left="40"/>
              <w:spacing w:after="0"/>
              <w:rPr>
                <w:sz w:val="20"/>
                <w:szCs w:val="20"/>
                <w:color w:val="auto"/>
              </w:rPr>
            </w:pPr>
            <w:r>
              <w:rPr>
                <w:rFonts w:ascii="Times New Roman" w:cs="Times New Roman" w:eastAsia="Times New Roman" w:hAnsi="Times New Roman"/>
                <w:sz w:val="14"/>
                <w:szCs w:val="14"/>
                <w:b w:val="1"/>
                <w:bCs w:val="1"/>
                <w:color w:val="auto"/>
              </w:rPr>
              <w:t>Lyft, Inc.</w:t>
            </w:r>
          </w:p>
        </w:tc>
        <w:tc>
          <w:tcPr>
            <w:tcW w:w="120" w:type="dxa"/>
            <w:vAlign w:val="bottom"/>
          </w:tcPr>
          <w:p>
            <w:pPr>
              <w:spacing w:after="0"/>
              <w:rPr>
                <w:sz w:val="19"/>
                <w:szCs w:val="19"/>
                <w:color w:val="auto"/>
              </w:rPr>
            </w:pP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San Francisco,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gridSpan w:val="18"/>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shares, Series E</w:t>
            </w:r>
          </w:p>
        </w:tc>
        <w:tc>
          <w:tcPr>
            <w:tcW w:w="120" w:type="dxa"/>
            <w:vAlign w:val="bottom"/>
            <w:shd w:val="clear" w:color="auto" w:fill="CCEEFF"/>
          </w:tcPr>
          <w:p>
            <w:pPr>
              <w:spacing w:after="0"/>
              <w:rPr>
                <w:sz w:val="23"/>
                <w:szCs w:val="23"/>
                <w:color w:val="auto"/>
              </w:rPr>
            </w:pPr>
          </w:p>
        </w:tc>
        <w:tc>
          <w:tcPr>
            <w:tcW w:w="24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On-Demand Transportation</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3/11/2015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128,563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2,503,585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6,583,483</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0" w:type="dxa"/>
            <w:vAlign w:val="bottom"/>
          </w:tcPr>
          <w:p>
            <w:pPr>
              <w:spacing w:after="0"/>
              <w:rPr>
                <w:sz w:val="1"/>
                <w:szCs w:val="1"/>
                <w:color w:val="auto"/>
              </w:rPr>
            </w:pPr>
          </w:p>
        </w:tc>
      </w:tr>
      <w:tr>
        <w:trPr>
          <w:trHeight w:val="265"/>
        </w:trPr>
        <w:tc>
          <w:tcPr>
            <w:tcW w:w="2980" w:type="dxa"/>
            <w:vAlign w:val="bottom"/>
            <w:tcBorders>
              <w:bottom w:val="single" w:sz="8" w:color="CCEEFF"/>
            </w:tcBorders>
            <w:gridSpan w:val="18"/>
          </w:tcPr>
          <w:p>
            <w:pPr>
              <w:ind w:left="40"/>
              <w:spacing w:after="0"/>
              <w:rPr>
                <w:sz w:val="20"/>
                <w:szCs w:val="20"/>
                <w:color w:val="auto"/>
              </w:rPr>
            </w:pPr>
            <w:r>
              <w:rPr>
                <w:rFonts w:ascii="Times New Roman" w:cs="Times New Roman" w:eastAsia="Times New Roman" w:hAnsi="Times New Roman"/>
                <w:sz w:val="14"/>
                <w:szCs w:val="14"/>
                <w:color w:val="auto"/>
              </w:rPr>
              <w:t>Preferred shares, Series D</w:t>
            </w:r>
          </w:p>
        </w:tc>
        <w:tc>
          <w:tcPr>
            <w:tcW w:w="120" w:type="dxa"/>
            <w:vAlign w:val="bottom"/>
            <w:tcBorders>
              <w:bottom w:val="single" w:sz="8" w:color="CCEEFF"/>
            </w:tcBorders>
          </w:tcPr>
          <w:p>
            <w:pPr>
              <w:spacing w:after="0"/>
              <w:rPr>
                <w:sz w:val="23"/>
                <w:szCs w:val="23"/>
                <w:color w:val="auto"/>
              </w:rPr>
            </w:pPr>
          </w:p>
        </w:tc>
        <w:tc>
          <w:tcPr>
            <w:tcW w:w="23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3/21/2014</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940" w:type="dxa"/>
            <w:vAlign w:val="bottom"/>
            <w:tcBorders>
              <w:bottom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rPr>
              <w:t>176,266</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1,792,749</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9,026,269</w:t>
            </w:r>
          </w:p>
        </w:tc>
        <w:tc>
          <w:tcPr>
            <w:tcW w:w="100" w:type="dxa"/>
            <w:vAlign w:val="bottom"/>
            <w:tcBorders>
              <w:bottom w:val="single" w:sz="8" w:color="CCEEFF"/>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2940" w:type="dxa"/>
            <w:vAlign w:val="bottom"/>
            <w:tcBorders>
              <w:bottom w:val="single" w:sz="8" w:color="CCEEFF"/>
            </w:tcBorders>
            <w:gridSpan w:val="17"/>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2300" w:type="dxa"/>
            <w:vAlign w:val="bottom"/>
            <w:tcBorders>
              <w:bottom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4,296,334</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15,609,752</w:t>
            </w:r>
          </w:p>
        </w:tc>
        <w:tc>
          <w:tcPr>
            <w:tcW w:w="100" w:type="dxa"/>
            <w:vAlign w:val="bottom"/>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w:t>
            </w:r>
          </w:p>
        </w:tc>
        <w:tc>
          <w:tcPr>
            <w:tcW w:w="0" w:type="dxa"/>
            <w:vAlign w:val="bottom"/>
          </w:tcPr>
          <w:p>
            <w:pPr>
              <w:spacing w:after="0"/>
              <w:rPr>
                <w:sz w:val="1"/>
                <w:szCs w:val="1"/>
                <w:color w:val="auto"/>
              </w:rPr>
            </w:pPr>
          </w:p>
        </w:tc>
      </w:tr>
      <w:tr>
        <w:trPr>
          <w:trHeight w:val="228"/>
        </w:trPr>
        <w:tc>
          <w:tcPr>
            <w:tcW w:w="2980" w:type="dxa"/>
            <w:vAlign w:val="bottom"/>
            <w:gridSpan w:val="18"/>
          </w:tcPr>
          <w:p>
            <w:pPr>
              <w:ind w:left="40"/>
              <w:spacing w:after="0"/>
              <w:rPr>
                <w:sz w:val="20"/>
                <w:szCs w:val="20"/>
                <w:color w:val="auto"/>
              </w:rPr>
            </w:pPr>
            <w:r>
              <w:rPr>
                <w:rFonts w:ascii="Times New Roman" w:cs="Times New Roman" w:eastAsia="Times New Roman" w:hAnsi="Times New Roman"/>
                <w:sz w:val="14"/>
                <w:szCs w:val="14"/>
                <w:b w:val="1"/>
                <w:bCs w:val="1"/>
                <w:color w:val="auto"/>
              </w:rPr>
              <w:t>Course Hero, Inc.</w:t>
            </w:r>
          </w:p>
        </w:tc>
        <w:tc>
          <w:tcPr>
            <w:tcW w:w="120" w:type="dxa"/>
            <w:vAlign w:val="bottom"/>
          </w:tcPr>
          <w:p>
            <w:pPr>
              <w:spacing w:after="0"/>
              <w:rPr>
                <w:sz w:val="19"/>
                <w:szCs w:val="19"/>
                <w:color w:val="auto"/>
              </w:rPr>
            </w:pP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Redwood City,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gridSpan w:val="18"/>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shares, Series A</w:t>
            </w:r>
          </w:p>
        </w:tc>
        <w:tc>
          <w:tcPr>
            <w:tcW w:w="120" w:type="dxa"/>
            <w:vAlign w:val="bottom"/>
            <w:shd w:val="clear" w:color="auto" w:fill="CCEEFF"/>
          </w:tcPr>
          <w:p>
            <w:pPr>
              <w:spacing w:after="0"/>
              <w:rPr>
                <w:sz w:val="23"/>
                <w:szCs w:val="23"/>
                <w:color w:val="auto"/>
              </w:rPr>
            </w:pPr>
          </w:p>
        </w:tc>
        <w:tc>
          <w:tcPr>
            <w:tcW w:w="24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Online Education</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9/18/2014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2,145,509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5,000,001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14,106,625</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0" w:type="dxa"/>
            <w:vAlign w:val="bottom"/>
          </w:tcPr>
          <w:p>
            <w:pPr>
              <w:spacing w:after="0"/>
              <w:rPr>
                <w:sz w:val="1"/>
                <w:szCs w:val="1"/>
                <w:color w:val="auto"/>
              </w:rPr>
            </w:pPr>
          </w:p>
        </w:tc>
      </w:tr>
      <w:tr>
        <w:trPr>
          <w:trHeight w:val="230"/>
        </w:trPr>
        <w:tc>
          <w:tcPr>
            <w:tcW w:w="2980" w:type="dxa"/>
            <w:vAlign w:val="bottom"/>
            <w:gridSpan w:val="18"/>
          </w:tcPr>
          <w:p>
            <w:pPr>
              <w:ind w:left="40"/>
              <w:spacing w:after="0"/>
              <w:rPr>
                <w:sz w:val="20"/>
                <w:szCs w:val="20"/>
                <w:color w:val="auto"/>
              </w:rPr>
            </w:pPr>
            <w:r>
              <w:rPr>
                <w:rFonts w:ascii="Times New Roman" w:cs="Times New Roman" w:eastAsia="Times New Roman" w:hAnsi="Times New Roman"/>
                <w:sz w:val="14"/>
                <w:szCs w:val="14"/>
                <w:b w:val="1"/>
                <w:bCs w:val="1"/>
                <w:color w:val="auto"/>
              </w:rPr>
              <w:t>Nextdoor.com, Inc.</w:t>
            </w:r>
          </w:p>
        </w:tc>
        <w:tc>
          <w:tcPr>
            <w:tcW w:w="120" w:type="dxa"/>
            <w:vAlign w:val="bottom"/>
          </w:tcPr>
          <w:p>
            <w:pPr>
              <w:spacing w:after="0"/>
              <w:rPr>
                <w:sz w:val="19"/>
                <w:szCs w:val="19"/>
                <w:color w:val="auto"/>
              </w:rPr>
            </w:pP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San Francisco,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980" w:type="dxa"/>
            <w:vAlign w:val="bottom"/>
            <w:gridSpan w:val="18"/>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Common shares</w:t>
            </w:r>
          </w:p>
        </w:tc>
        <w:tc>
          <w:tcPr>
            <w:tcW w:w="120" w:type="dxa"/>
            <w:vAlign w:val="bottom"/>
            <w:shd w:val="clear" w:color="auto" w:fill="CCEEFF"/>
          </w:tcPr>
          <w:p>
            <w:pPr>
              <w:spacing w:after="0"/>
              <w:rPr>
                <w:sz w:val="24"/>
                <w:szCs w:val="24"/>
                <w:color w:val="auto"/>
              </w:rPr>
            </w:pPr>
          </w:p>
        </w:tc>
        <w:tc>
          <w:tcPr>
            <w:tcW w:w="24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Social Networking</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9/27/2018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580,360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10,006,578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10,097,442</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0" w:type="dxa"/>
            <w:vAlign w:val="bottom"/>
          </w:tcPr>
          <w:p>
            <w:pPr>
              <w:spacing w:after="0"/>
              <w:rPr>
                <w:sz w:val="1"/>
                <w:szCs w:val="1"/>
                <w:color w:val="auto"/>
              </w:rPr>
            </w:pPr>
          </w:p>
        </w:tc>
      </w:tr>
      <w:tr>
        <w:trPr>
          <w:trHeight w:val="230"/>
        </w:trPr>
        <w:tc>
          <w:tcPr>
            <w:tcW w:w="2980" w:type="dxa"/>
            <w:vAlign w:val="bottom"/>
            <w:gridSpan w:val="18"/>
          </w:tcPr>
          <w:p>
            <w:pPr>
              <w:ind w:left="40"/>
              <w:spacing w:after="0"/>
              <w:rPr>
                <w:sz w:val="20"/>
                <w:szCs w:val="20"/>
                <w:color w:val="auto"/>
              </w:rPr>
            </w:pPr>
            <w:r>
              <w:rPr>
                <w:rFonts w:ascii="Times New Roman" w:cs="Times New Roman" w:eastAsia="Times New Roman" w:hAnsi="Times New Roman"/>
                <w:sz w:val="14"/>
                <w:szCs w:val="14"/>
                <w:b w:val="1"/>
                <w:bCs w:val="1"/>
                <w:color w:val="auto"/>
              </w:rPr>
              <w:t>SharesPost, Inc.</w:t>
            </w:r>
          </w:p>
        </w:tc>
        <w:tc>
          <w:tcPr>
            <w:tcW w:w="120" w:type="dxa"/>
            <w:vAlign w:val="bottom"/>
          </w:tcPr>
          <w:p>
            <w:pPr>
              <w:spacing w:after="0"/>
              <w:rPr>
                <w:sz w:val="19"/>
                <w:szCs w:val="19"/>
                <w:color w:val="auto"/>
              </w:rPr>
            </w:pP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San Francisco,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980" w:type="dxa"/>
            <w:vAlign w:val="bottom"/>
            <w:gridSpan w:val="18"/>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shares, Series B</w:t>
            </w:r>
          </w:p>
        </w:tc>
        <w:tc>
          <w:tcPr>
            <w:tcW w:w="120" w:type="dxa"/>
            <w:vAlign w:val="bottom"/>
            <w:shd w:val="clear" w:color="auto" w:fill="CCEEFF"/>
          </w:tcPr>
          <w:p>
            <w:pPr>
              <w:spacing w:after="0"/>
              <w:rPr>
                <w:sz w:val="24"/>
                <w:szCs w:val="24"/>
                <w:color w:val="auto"/>
              </w:rPr>
            </w:pPr>
          </w:p>
        </w:tc>
        <w:tc>
          <w:tcPr>
            <w:tcW w:w="24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rPr>
              <w:t>Online Marketplace Finance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7/19/2011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1,771,653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2,259,716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5,943,577</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0" w:type="dxa"/>
            <w:vAlign w:val="bottom"/>
          </w:tcPr>
          <w:p>
            <w:pPr>
              <w:spacing w:after="0"/>
              <w:rPr>
                <w:sz w:val="1"/>
                <w:szCs w:val="1"/>
                <w:color w:val="auto"/>
              </w:rPr>
            </w:pPr>
          </w:p>
        </w:tc>
      </w:tr>
      <w:tr>
        <w:trPr>
          <w:trHeight w:val="265"/>
        </w:trPr>
        <w:tc>
          <w:tcPr>
            <w:tcW w:w="2980" w:type="dxa"/>
            <w:vAlign w:val="bottom"/>
            <w:tcBorders>
              <w:bottom w:val="single" w:sz="8" w:color="CCEEFF"/>
            </w:tcBorders>
            <w:gridSpan w:val="18"/>
          </w:tcPr>
          <w:p>
            <w:pPr>
              <w:ind w:left="40"/>
              <w:spacing w:after="0"/>
              <w:rPr>
                <w:sz w:val="20"/>
                <w:szCs w:val="20"/>
                <w:color w:val="auto"/>
              </w:rPr>
            </w:pPr>
            <w:r>
              <w:rPr>
                <w:rFonts w:ascii="Times New Roman" w:cs="Times New Roman" w:eastAsia="Times New Roman" w:hAnsi="Times New Roman"/>
                <w:sz w:val="14"/>
                <w:szCs w:val="14"/>
                <w:color w:val="auto"/>
              </w:rPr>
              <w:t>Common shares</w:t>
            </w:r>
            <w:r>
              <w:rPr>
                <w:rFonts w:ascii="Times New Roman" w:cs="Times New Roman" w:eastAsia="Times New Roman" w:hAnsi="Times New Roman"/>
                <w:sz w:val="8"/>
                <w:szCs w:val="8"/>
                <w:color w:val="auto"/>
              </w:rPr>
              <w:t>(13)</w:t>
            </w:r>
          </w:p>
        </w:tc>
        <w:tc>
          <w:tcPr>
            <w:tcW w:w="120" w:type="dxa"/>
            <w:vAlign w:val="bottom"/>
            <w:tcBorders>
              <w:bottom w:val="single" w:sz="8" w:color="CCEEFF"/>
            </w:tcBorders>
          </w:tcPr>
          <w:p>
            <w:pPr>
              <w:spacing w:after="0"/>
              <w:rPr>
                <w:sz w:val="23"/>
                <w:szCs w:val="23"/>
                <w:color w:val="auto"/>
              </w:rPr>
            </w:pPr>
          </w:p>
        </w:tc>
        <w:tc>
          <w:tcPr>
            <w:tcW w:w="23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7/20/2011</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940" w:type="dxa"/>
            <w:vAlign w:val="bottom"/>
            <w:tcBorders>
              <w:bottom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rPr>
              <w:t>770,934</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123,987</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855,327</w:t>
            </w:r>
          </w:p>
        </w:tc>
        <w:tc>
          <w:tcPr>
            <w:tcW w:w="100" w:type="dxa"/>
            <w:vAlign w:val="bottom"/>
            <w:tcBorders>
              <w:bottom w:val="single" w:sz="8" w:color="CCEEFF"/>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0.44%</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2940" w:type="dxa"/>
            <w:vAlign w:val="bottom"/>
            <w:tcBorders>
              <w:bottom w:val="single" w:sz="8" w:color="CCEEFF"/>
            </w:tcBorders>
            <w:gridSpan w:val="17"/>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2300" w:type="dxa"/>
            <w:vAlign w:val="bottom"/>
            <w:tcBorders>
              <w:bottom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2,383,703</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6,798,904</w:t>
            </w:r>
          </w:p>
        </w:tc>
        <w:tc>
          <w:tcPr>
            <w:tcW w:w="100" w:type="dxa"/>
            <w:vAlign w:val="bottom"/>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0" w:type="dxa"/>
            <w:vAlign w:val="bottom"/>
          </w:tcPr>
          <w:p>
            <w:pPr>
              <w:spacing w:after="0"/>
              <w:rPr>
                <w:sz w:val="1"/>
                <w:szCs w:val="1"/>
                <w:color w:val="auto"/>
              </w:rPr>
            </w:pPr>
          </w:p>
        </w:tc>
      </w:tr>
      <w:tr>
        <w:trPr>
          <w:trHeight w:val="228"/>
        </w:trPr>
        <w:tc>
          <w:tcPr>
            <w:tcW w:w="2980" w:type="dxa"/>
            <w:vAlign w:val="bottom"/>
            <w:gridSpan w:val="18"/>
          </w:tcPr>
          <w:p>
            <w:pPr>
              <w:ind w:left="40"/>
              <w:spacing w:after="0"/>
              <w:rPr>
                <w:sz w:val="20"/>
                <w:szCs w:val="20"/>
                <w:color w:val="auto"/>
              </w:rPr>
            </w:pPr>
            <w:r>
              <w:rPr>
                <w:rFonts w:ascii="Times New Roman" w:cs="Times New Roman" w:eastAsia="Times New Roman" w:hAnsi="Times New Roman"/>
                <w:sz w:val="14"/>
                <w:szCs w:val="14"/>
                <w:b w:val="1"/>
                <w:bCs w:val="1"/>
                <w:color w:val="auto"/>
              </w:rPr>
              <w:t>Parchment, Inc.</w:t>
            </w:r>
          </w:p>
        </w:tc>
        <w:tc>
          <w:tcPr>
            <w:tcW w:w="120" w:type="dxa"/>
            <w:vAlign w:val="bottom"/>
          </w:tcPr>
          <w:p>
            <w:pPr>
              <w:spacing w:after="0"/>
              <w:rPr>
                <w:sz w:val="19"/>
                <w:szCs w:val="19"/>
                <w:color w:val="auto"/>
              </w:rPr>
            </w:pP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Scottsdale, AZ</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gridSpan w:val="18"/>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shares, Series D 8%</w:t>
            </w:r>
          </w:p>
        </w:tc>
        <w:tc>
          <w:tcPr>
            <w:tcW w:w="120" w:type="dxa"/>
            <w:vAlign w:val="bottom"/>
            <w:shd w:val="clear" w:color="auto" w:fill="CCEEFF"/>
          </w:tcPr>
          <w:p>
            <w:pPr>
              <w:spacing w:after="0"/>
              <w:rPr>
                <w:sz w:val="23"/>
                <w:szCs w:val="23"/>
                <w:color w:val="auto"/>
              </w:rPr>
            </w:pPr>
          </w:p>
        </w:tc>
        <w:tc>
          <w:tcPr>
            <w:tcW w:w="24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E-Transcript Exchange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10/1/2012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3,200,512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4,000,982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6,151,161</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0" w:type="dxa"/>
            <w:vAlign w:val="bottom"/>
          </w:tcPr>
          <w:p>
            <w:pPr>
              <w:spacing w:after="0"/>
              <w:rPr>
                <w:sz w:val="1"/>
                <w:szCs w:val="1"/>
                <w:color w:val="auto"/>
              </w:rPr>
            </w:pPr>
          </w:p>
        </w:tc>
      </w:tr>
      <w:tr>
        <w:trPr>
          <w:trHeight w:val="230"/>
        </w:trPr>
        <w:tc>
          <w:tcPr>
            <w:tcW w:w="2980" w:type="dxa"/>
            <w:vAlign w:val="bottom"/>
            <w:gridSpan w:val="18"/>
          </w:tcPr>
          <w:p>
            <w:pPr>
              <w:ind w:left="40"/>
              <w:spacing w:after="0"/>
              <w:rPr>
                <w:sz w:val="20"/>
                <w:szCs w:val="20"/>
                <w:color w:val="auto"/>
              </w:rPr>
            </w:pPr>
            <w:r>
              <w:rPr>
                <w:rFonts w:ascii="Times New Roman" w:cs="Times New Roman" w:eastAsia="Times New Roman" w:hAnsi="Times New Roman"/>
                <w:sz w:val="14"/>
                <w:szCs w:val="14"/>
                <w:b w:val="1"/>
                <w:bCs w:val="1"/>
                <w:color w:val="auto"/>
              </w:rPr>
              <w:t>Enjoy Technology, Inc.</w:t>
            </w:r>
          </w:p>
        </w:tc>
        <w:tc>
          <w:tcPr>
            <w:tcW w:w="120" w:type="dxa"/>
            <w:vAlign w:val="bottom"/>
          </w:tcPr>
          <w:p>
            <w:pPr>
              <w:spacing w:after="0"/>
              <w:rPr>
                <w:sz w:val="19"/>
                <w:szCs w:val="19"/>
                <w:color w:val="auto"/>
              </w:rPr>
            </w:pP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Menlo Park,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gridSpan w:val="18"/>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shares, Series B</w:t>
            </w:r>
          </w:p>
        </w:tc>
        <w:tc>
          <w:tcPr>
            <w:tcW w:w="120" w:type="dxa"/>
            <w:vAlign w:val="bottom"/>
            <w:shd w:val="clear" w:color="auto" w:fill="CCEEFF"/>
          </w:tcPr>
          <w:p>
            <w:pPr>
              <w:spacing w:after="0"/>
              <w:rPr>
                <w:sz w:val="23"/>
                <w:szCs w:val="23"/>
                <w:color w:val="auto"/>
              </w:rPr>
            </w:pPr>
          </w:p>
        </w:tc>
        <w:tc>
          <w:tcPr>
            <w:tcW w:w="24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On-Demand Commerce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7/29/2015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1,681,520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4,000,280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4,000,000</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0" w:type="dxa"/>
            <w:vAlign w:val="bottom"/>
          </w:tcPr>
          <w:p>
            <w:pPr>
              <w:spacing w:after="0"/>
              <w:rPr>
                <w:sz w:val="1"/>
                <w:szCs w:val="1"/>
                <w:color w:val="auto"/>
              </w:rPr>
            </w:pPr>
          </w:p>
        </w:tc>
      </w:tr>
      <w:tr>
        <w:trPr>
          <w:trHeight w:val="265"/>
        </w:trPr>
        <w:tc>
          <w:tcPr>
            <w:tcW w:w="2980" w:type="dxa"/>
            <w:vAlign w:val="bottom"/>
            <w:tcBorders>
              <w:bottom w:val="single" w:sz="8" w:color="CCEEFF"/>
            </w:tcBorders>
            <w:gridSpan w:val="18"/>
          </w:tcPr>
          <w:p>
            <w:pPr>
              <w:ind w:left="40"/>
              <w:spacing w:after="0"/>
              <w:rPr>
                <w:sz w:val="20"/>
                <w:szCs w:val="20"/>
                <w:color w:val="auto"/>
              </w:rPr>
            </w:pPr>
            <w:r>
              <w:rPr>
                <w:rFonts w:ascii="Times New Roman" w:cs="Times New Roman" w:eastAsia="Times New Roman" w:hAnsi="Times New Roman"/>
                <w:sz w:val="14"/>
                <w:szCs w:val="14"/>
                <w:color w:val="auto"/>
              </w:rPr>
              <w:t>Preferred shares, Series A</w:t>
            </w:r>
          </w:p>
        </w:tc>
        <w:tc>
          <w:tcPr>
            <w:tcW w:w="120" w:type="dxa"/>
            <w:vAlign w:val="bottom"/>
            <w:tcBorders>
              <w:bottom w:val="single" w:sz="8" w:color="CCEEFF"/>
            </w:tcBorders>
          </w:tcPr>
          <w:p>
            <w:pPr>
              <w:spacing w:after="0"/>
              <w:rPr>
                <w:sz w:val="23"/>
                <w:szCs w:val="23"/>
                <w:color w:val="auto"/>
              </w:rPr>
            </w:pPr>
          </w:p>
        </w:tc>
        <w:tc>
          <w:tcPr>
            <w:tcW w:w="23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10/16/2014</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940" w:type="dxa"/>
            <w:vAlign w:val="bottom"/>
            <w:tcBorders>
              <w:bottom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rPr>
              <w:t>879,198</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1,002,440</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2,091,436</w:t>
            </w:r>
          </w:p>
        </w:tc>
        <w:tc>
          <w:tcPr>
            <w:tcW w:w="100" w:type="dxa"/>
            <w:vAlign w:val="bottom"/>
            <w:tcBorders>
              <w:bottom w:val="single" w:sz="8" w:color="CCEEFF"/>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2940" w:type="dxa"/>
            <w:vAlign w:val="bottom"/>
            <w:tcBorders>
              <w:bottom w:val="single" w:sz="8" w:color="CCEEFF"/>
            </w:tcBorders>
            <w:gridSpan w:val="17"/>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shd w:val="clear" w:color="auto" w:fill="CCEEFF"/>
          </w:tcPr>
          <w:p>
            <w:pPr>
              <w:spacing w:after="0"/>
              <w:rPr>
                <w:sz w:val="22"/>
                <w:szCs w:val="22"/>
                <w:color w:val="auto"/>
              </w:rPr>
            </w:pPr>
          </w:p>
        </w:tc>
        <w:tc>
          <w:tcPr>
            <w:tcW w:w="2300" w:type="dxa"/>
            <w:vAlign w:val="bottom"/>
            <w:tcBorders>
              <w:bottom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5,002,720</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6,091,436</w:t>
            </w:r>
          </w:p>
        </w:tc>
        <w:tc>
          <w:tcPr>
            <w:tcW w:w="100" w:type="dxa"/>
            <w:vAlign w:val="bottom"/>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0" w:type="dxa"/>
            <w:vAlign w:val="bottom"/>
          </w:tcPr>
          <w:p>
            <w:pPr>
              <w:spacing w:after="0"/>
              <w:rPr>
                <w:sz w:val="1"/>
                <w:szCs w:val="1"/>
                <w:color w:val="auto"/>
              </w:rPr>
            </w:pPr>
          </w:p>
        </w:tc>
      </w:tr>
      <w:tr>
        <w:trPr>
          <w:trHeight w:val="228"/>
        </w:trPr>
        <w:tc>
          <w:tcPr>
            <w:tcW w:w="2980" w:type="dxa"/>
            <w:vAlign w:val="bottom"/>
            <w:gridSpan w:val="18"/>
          </w:tcPr>
          <w:p>
            <w:pPr>
              <w:ind w:left="40"/>
              <w:spacing w:after="0"/>
              <w:rPr>
                <w:sz w:val="20"/>
                <w:szCs w:val="20"/>
                <w:color w:val="auto"/>
              </w:rPr>
            </w:pPr>
            <w:r>
              <w:rPr>
                <w:rFonts w:ascii="Times New Roman" w:cs="Times New Roman" w:eastAsia="Times New Roman" w:hAnsi="Times New Roman"/>
                <w:sz w:val="14"/>
                <w:szCs w:val="14"/>
                <w:b w:val="1"/>
                <w:bCs w:val="1"/>
                <w:color w:val="auto"/>
              </w:rPr>
              <w:t>A Place for Rover Inc. (f/k/a DogVacay, Inc.)</w:t>
            </w:r>
          </w:p>
        </w:tc>
        <w:tc>
          <w:tcPr>
            <w:tcW w:w="120" w:type="dxa"/>
            <w:vAlign w:val="bottom"/>
          </w:tcPr>
          <w:p>
            <w:pPr>
              <w:spacing w:after="0"/>
              <w:rPr>
                <w:sz w:val="19"/>
                <w:szCs w:val="19"/>
                <w:color w:val="auto"/>
              </w:rPr>
            </w:pP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Seattle, WA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gridSpan w:val="18"/>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Common shares</w:t>
            </w:r>
          </w:p>
        </w:tc>
        <w:tc>
          <w:tcPr>
            <w:tcW w:w="120" w:type="dxa"/>
            <w:vAlign w:val="bottom"/>
            <w:shd w:val="clear" w:color="auto" w:fill="CCEEFF"/>
          </w:tcPr>
          <w:p>
            <w:pPr>
              <w:spacing w:after="0"/>
              <w:rPr>
                <w:sz w:val="23"/>
                <w:szCs w:val="23"/>
                <w:color w:val="auto"/>
              </w:rPr>
            </w:pPr>
          </w:p>
        </w:tc>
        <w:tc>
          <w:tcPr>
            <w:tcW w:w="24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Peer-to-Peer Pet Services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11/3/2014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707,991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2,506,119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3,511,661</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0" w:type="dxa"/>
            <w:vAlign w:val="bottom"/>
          </w:tcPr>
          <w:p>
            <w:pPr>
              <w:spacing w:after="0"/>
              <w:rPr>
                <w:sz w:val="1"/>
                <w:szCs w:val="1"/>
                <w:color w:val="auto"/>
              </w:rPr>
            </w:pPr>
          </w:p>
        </w:tc>
      </w:tr>
      <w:tr>
        <w:trPr>
          <w:trHeight w:val="230"/>
        </w:trPr>
        <w:tc>
          <w:tcPr>
            <w:tcW w:w="2980" w:type="dxa"/>
            <w:vAlign w:val="bottom"/>
            <w:gridSpan w:val="18"/>
          </w:tcPr>
          <w:p>
            <w:pPr>
              <w:ind w:left="40"/>
              <w:spacing w:after="0"/>
              <w:rPr>
                <w:sz w:val="20"/>
                <w:szCs w:val="20"/>
                <w:color w:val="auto"/>
              </w:rPr>
            </w:pPr>
            <w:r>
              <w:rPr>
                <w:rFonts w:ascii="Times New Roman" w:cs="Times New Roman" w:eastAsia="Times New Roman" w:hAnsi="Times New Roman"/>
                <w:sz w:val="14"/>
                <w:szCs w:val="14"/>
                <w:b w:val="1"/>
                <w:bCs w:val="1"/>
                <w:color w:val="auto"/>
              </w:rPr>
              <w:t>Knewton, Inc.</w:t>
            </w:r>
          </w:p>
        </w:tc>
        <w:tc>
          <w:tcPr>
            <w:tcW w:w="120" w:type="dxa"/>
            <w:vAlign w:val="bottom"/>
          </w:tcPr>
          <w:p>
            <w:pPr>
              <w:spacing w:after="0"/>
              <w:rPr>
                <w:sz w:val="19"/>
                <w:szCs w:val="19"/>
                <w:color w:val="auto"/>
              </w:rPr>
            </w:pP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New York, NY</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gridSpan w:val="18"/>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shares, Series E</w:t>
            </w:r>
          </w:p>
        </w:tc>
        <w:tc>
          <w:tcPr>
            <w:tcW w:w="120" w:type="dxa"/>
            <w:vAlign w:val="bottom"/>
            <w:shd w:val="clear" w:color="auto" w:fill="CCEEFF"/>
          </w:tcPr>
          <w:p>
            <w:pPr>
              <w:spacing w:after="0"/>
              <w:rPr>
                <w:sz w:val="23"/>
                <w:szCs w:val="23"/>
                <w:color w:val="auto"/>
              </w:rPr>
            </w:pPr>
          </w:p>
        </w:tc>
        <w:tc>
          <w:tcPr>
            <w:tcW w:w="24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Online Education</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12/16/2013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375,985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4,999,999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2,021,690</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153"/>
        </w:trPr>
        <w:tc>
          <w:tcPr>
            <w:tcW w:w="2980" w:type="dxa"/>
            <w:vAlign w:val="bottom"/>
            <w:gridSpan w:val="18"/>
          </w:tcPr>
          <w:p>
            <w:pPr>
              <w:ind w:left="40"/>
              <w:spacing w:after="0" w:line="153" w:lineRule="exact"/>
              <w:rPr>
                <w:sz w:val="20"/>
                <w:szCs w:val="20"/>
                <w:color w:val="auto"/>
              </w:rPr>
            </w:pPr>
            <w:r>
              <w:rPr>
                <w:rFonts w:ascii="Times New Roman" w:cs="Times New Roman" w:eastAsia="Times New Roman" w:hAnsi="Times New Roman"/>
                <w:sz w:val="14"/>
                <w:szCs w:val="14"/>
                <w:color w:val="auto"/>
              </w:rPr>
              <w:t>Convertible Promissory Note 8% Due</w:t>
            </w:r>
          </w:p>
        </w:tc>
        <w:tc>
          <w:tcPr>
            <w:tcW w:w="1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7/23/2018</w:t>
            </w:r>
          </w:p>
        </w:tc>
        <w:tc>
          <w:tcPr>
            <w:tcW w:w="100" w:type="dxa"/>
            <w:vAlign w:val="bottom"/>
          </w:tcPr>
          <w:p>
            <w:pPr>
              <w:spacing w:after="0"/>
              <w:rPr>
                <w:sz w:val="13"/>
                <w:szCs w:val="13"/>
                <w:color w:val="auto"/>
              </w:rPr>
            </w:pP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134,405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135,213</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134,405</w:t>
            </w:r>
          </w:p>
        </w:tc>
        <w:tc>
          <w:tcPr>
            <w:tcW w:w="10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0" w:type="dxa"/>
            <w:vAlign w:val="bottom"/>
          </w:tcPr>
          <w:p>
            <w:pPr>
              <w:spacing w:after="0"/>
              <w:rPr>
                <w:sz w:val="1"/>
                <w:szCs w:val="1"/>
                <w:color w:val="auto"/>
              </w:rPr>
            </w:pPr>
          </w:p>
        </w:tc>
      </w:tr>
      <w:tr>
        <w:trPr>
          <w:trHeight w:val="193"/>
        </w:trPr>
        <w:tc>
          <w:tcPr>
            <w:tcW w:w="880" w:type="dxa"/>
            <w:vAlign w:val="bottom"/>
            <w:tcBorders>
              <w:bottom w:val="single" w:sz="8" w:color="CCEEFF"/>
            </w:tcBorders>
            <w:gridSpan w:val="4"/>
          </w:tcPr>
          <w:p>
            <w:pPr>
              <w:ind w:left="40"/>
              <w:spacing w:after="0"/>
              <w:rPr>
                <w:sz w:val="20"/>
                <w:szCs w:val="20"/>
                <w:color w:val="auto"/>
              </w:rPr>
            </w:pPr>
            <w:r>
              <w:rPr>
                <w:rFonts w:ascii="Times New Roman" w:cs="Times New Roman" w:eastAsia="Times New Roman" w:hAnsi="Times New Roman"/>
                <w:sz w:val="14"/>
                <w:szCs w:val="14"/>
                <w:color w:val="auto"/>
              </w:rPr>
              <w:t>12/31/2019</w:t>
            </w:r>
            <w:r>
              <w:rPr>
                <w:rFonts w:ascii="Times New Roman" w:cs="Times New Roman" w:eastAsia="Times New Roman" w:hAnsi="Times New Roman"/>
                <w:sz w:val="8"/>
                <w:szCs w:val="8"/>
                <w:color w:val="auto"/>
              </w:rPr>
              <w:t>(12)</w:t>
            </w: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3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40" w:type="dxa"/>
            <w:vAlign w:val="bottom"/>
            <w:shd w:val="clear" w:color="auto" w:fill="CCEEFF"/>
          </w:tcPr>
          <w:p>
            <w:pPr>
              <w:spacing w:after="0"/>
              <w:rPr>
                <w:sz w:val="23"/>
                <w:szCs w:val="23"/>
                <w:color w:val="auto"/>
              </w:rPr>
            </w:pPr>
          </w:p>
        </w:tc>
        <w:tc>
          <w:tcPr>
            <w:tcW w:w="2940" w:type="dxa"/>
            <w:vAlign w:val="bottom"/>
            <w:gridSpan w:val="17"/>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shd w:val="clear" w:color="auto" w:fill="CCEEFF"/>
          </w:tcPr>
          <w:p>
            <w:pPr>
              <w:spacing w:after="0"/>
              <w:rPr>
                <w:sz w:val="23"/>
                <w:szCs w:val="23"/>
                <w:color w:val="auto"/>
              </w:rPr>
            </w:pPr>
          </w:p>
        </w:tc>
        <w:tc>
          <w:tcPr>
            <w:tcW w:w="2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5,135,212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2,156,095</w:t>
            </w:r>
          </w:p>
        </w:tc>
        <w:tc>
          <w:tcPr>
            <w:tcW w:w="10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223"/>
        </w:trPr>
        <w:tc>
          <w:tcPr>
            <w:tcW w:w="2980" w:type="dxa"/>
            <w:vAlign w:val="bottom"/>
            <w:gridSpan w:val="18"/>
          </w:tcPr>
          <w:p>
            <w:pPr>
              <w:ind w:left="40"/>
              <w:spacing w:after="0"/>
              <w:rPr>
                <w:sz w:val="20"/>
                <w:szCs w:val="20"/>
                <w:color w:val="auto"/>
              </w:rPr>
            </w:pPr>
            <w:r>
              <w:rPr>
                <w:rFonts w:ascii="Times New Roman" w:cs="Times New Roman" w:eastAsia="Times New Roman" w:hAnsi="Times New Roman"/>
                <w:sz w:val="14"/>
                <w:szCs w:val="14"/>
                <w:b w:val="1"/>
                <w:bCs w:val="1"/>
                <w:color w:val="auto"/>
              </w:rPr>
              <w:t>Clever, Inc.</w:t>
            </w:r>
          </w:p>
        </w:tc>
        <w:tc>
          <w:tcPr>
            <w:tcW w:w="120" w:type="dxa"/>
            <w:vAlign w:val="bottom"/>
          </w:tcPr>
          <w:p>
            <w:pPr>
              <w:spacing w:after="0"/>
              <w:rPr>
                <w:sz w:val="19"/>
                <w:szCs w:val="19"/>
                <w:color w:val="auto"/>
              </w:rPr>
            </w:pP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San Francisco,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2980" w:type="dxa"/>
            <w:vAlign w:val="bottom"/>
            <w:gridSpan w:val="18"/>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shares, Series B</w:t>
            </w:r>
          </w:p>
        </w:tc>
        <w:tc>
          <w:tcPr>
            <w:tcW w:w="120" w:type="dxa"/>
            <w:vAlign w:val="bottom"/>
            <w:shd w:val="clear" w:color="auto" w:fill="CCEEFF"/>
          </w:tcPr>
          <w:p>
            <w:pPr>
              <w:spacing w:after="0"/>
              <w:rPr>
                <w:sz w:val="24"/>
                <w:szCs w:val="24"/>
                <w:color w:val="auto"/>
              </w:rPr>
            </w:pPr>
          </w:p>
        </w:tc>
        <w:tc>
          <w:tcPr>
            <w:tcW w:w="24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Education Software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12/5/2014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1,799,047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2,000,601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2,000,001</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230"/>
        </w:trPr>
        <w:tc>
          <w:tcPr>
            <w:tcW w:w="2980" w:type="dxa"/>
            <w:vAlign w:val="bottom"/>
            <w:gridSpan w:val="18"/>
          </w:tcPr>
          <w:p>
            <w:pPr>
              <w:ind w:left="40"/>
              <w:spacing w:after="0"/>
              <w:rPr>
                <w:sz w:val="20"/>
                <w:szCs w:val="20"/>
                <w:color w:val="auto"/>
              </w:rPr>
            </w:pPr>
            <w:r>
              <w:rPr>
                <w:rFonts w:ascii="Times New Roman" w:cs="Times New Roman" w:eastAsia="Times New Roman" w:hAnsi="Times New Roman"/>
                <w:sz w:val="14"/>
                <w:szCs w:val="14"/>
                <w:b w:val="1"/>
                <w:bCs w:val="1"/>
                <w:color w:val="auto"/>
              </w:rPr>
              <w:t>Aspiration Partners, Inc.</w:t>
            </w:r>
          </w:p>
        </w:tc>
        <w:tc>
          <w:tcPr>
            <w:tcW w:w="120" w:type="dxa"/>
            <w:vAlign w:val="bottom"/>
          </w:tcPr>
          <w:p>
            <w:pPr>
              <w:spacing w:after="0"/>
              <w:rPr>
                <w:sz w:val="19"/>
                <w:szCs w:val="19"/>
                <w:color w:val="auto"/>
              </w:rPr>
            </w:pP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Marina Del Rey,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980" w:type="dxa"/>
            <w:vAlign w:val="bottom"/>
            <w:gridSpan w:val="18"/>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shares, Series A</w:t>
            </w:r>
          </w:p>
        </w:tc>
        <w:tc>
          <w:tcPr>
            <w:tcW w:w="120" w:type="dxa"/>
            <w:vAlign w:val="bottom"/>
            <w:shd w:val="clear" w:color="auto" w:fill="CCEEFF"/>
          </w:tcPr>
          <w:p>
            <w:pPr>
              <w:spacing w:after="0"/>
              <w:rPr>
                <w:sz w:val="24"/>
                <w:szCs w:val="24"/>
                <w:color w:val="auto"/>
              </w:rPr>
            </w:pPr>
          </w:p>
        </w:tc>
        <w:tc>
          <w:tcPr>
            <w:tcW w:w="24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Financial Services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8/11/2015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540,270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1,001,815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999,975</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0.51%</w:t>
            </w:r>
          </w:p>
        </w:tc>
        <w:tc>
          <w:tcPr>
            <w:tcW w:w="0" w:type="dxa"/>
            <w:vAlign w:val="bottom"/>
          </w:tcPr>
          <w:p>
            <w:pPr>
              <w:spacing w:after="0"/>
              <w:rPr>
                <w:sz w:val="1"/>
                <w:szCs w:val="1"/>
                <w:color w:val="auto"/>
              </w:rPr>
            </w:pPr>
          </w:p>
        </w:tc>
      </w:tr>
      <w:tr>
        <w:trPr>
          <w:trHeight w:val="230"/>
        </w:trPr>
        <w:tc>
          <w:tcPr>
            <w:tcW w:w="2980" w:type="dxa"/>
            <w:vAlign w:val="bottom"/>
            <w:gridSpan w:val="18"/>
          </w:tcPr>
          <w:p>
            <w:pPr>
              <w:ind w:left="40"/>
              <w:spacing w:after="0"/>
              <w:rPr>
                <w:sz w:val="20"/>
                <w:szCs w:val="20"/>
                <w:color w:val="auto"/>
              </w:rPr>
            </w:pPr>
            <w:r>
              <w:rPr>
                <w:rFonts w:ascii="Times New Roman" w:cs="Times New Roman" w:eastAsia="Times New Roman" w:hAnsi="Times New Roman"/>
                <w:sz w:val="14"/>
                <w:szCs w:val="14"/>
                <w:b w:val="1"/>
                <w:bCs w:val="1"/>
                <w:color w:val="auto"/>
              </w:rPr>
              <w:t>Tynker (f/k/a Neuron Fuel, Inc.)</w:t>
            </w:r>
          </w:p>
        </w:tc>
        <w:tc>
          <w:tcPr>
            <w:tcW w:w="120" w:type="dxa"/>
            <w:vAlign w:val="bottom"/>
          </w:tcPr>
          <w:p>
            <w:pPr>
              <w:spacing w:after="0"/>
              <w:rPr>
                <w:sz w:val="19"/>
                <w:szCs w:val="19"/>
                <w:color w:val="auto"/>
              </w:rPr>
            </w:pPr>
          </w:p>
        </w:tc>
        <w:tc>
          <w:tcPr>
            <w:tcW w:w="2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Mountain View,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gridSpan w:val="18"/>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shares, Series A 8%</w:t>
            </w:r>
          </w:p>
        </w:tc>
        <w:tc>
          <w:tcPr>
            <w:tcW w:w="120" w:type="dxa"/>
            <w:vAlign w:val="bottom"/>
            <w:shd w:val="clear" w:color="auto" w:fill="CCEEFF"/>
          </w:tcPr>
          <w:p>
            <w:pPr>
              <w:spacing w:after="0"/>
              <w:rPr>
                <w:sz w:val="23"/>
                <w:szCs w:val="23"/>
                <w:color w:val="auto"/>
              </w:rPr>
            </w:pPr>
          </w:p>
        </w:tc>
        <w:tc>
          <w:tcPr>
            <w:tcW w:w="24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Computer Software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8/8/2012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534,162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309,310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789,492</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0.41%</w:t>
            </w:r>
          </w:p>
        </w:tc>
        <w:tc>
          <w:tcPr>
            <w:tcW w:w="0" w:type="dxa"/>
            <w:vAlign w:val="bottom"/>
          </w:tcPr>
          <w:p>
            <w:pPr>
              <w:spacing w:after="0"/>
              <w:rPr>
                <w:sz w:val="1"/>
                <w:szCs w:val="1"/>
                <w:color w:val="auto"/>
              </w:rPr>
            </w:pPr>
          </w:p>
        </w:tc>
      </w:tr>
      <w:tr>
        <w:trPr>
          <w:trHeight w:val="230"/>
        </w:trPr>
        <w:tc>
          <w:tcPr>
            <w:tcW w:w="2980" w:type="dxa"/>
            <w:vAlign w:val="bottom"/>
            <w:gridSpan w:val="18"/>
          </w:tcPr>
          <w:p>
            <w:pPr>
              <w:ind w:left="40"/>
              <w:spacing w:after="0"/>
              <w:rPr>
                <w:sz w:val="20"/>
                <w:szCs w:val="20"/>
                <w:color w:val="auto"/>
              </w:rPr>
            </w:pPr>
            <w:r>
              <w:rPr>
                <w:rFonts w:ascii="Times New Roman" w:cs="Times New Roman" w:eastAsia="Times New Roman" w:hAnsi="Times New Roman"/>
                <w:sz w:val="14"/>
                <w:szCs w:val="14"/>
                <w:b w:val="1"/>
                <w:bCs w:val="1"/>
                <w:color w:val="auto"/>
              </w:rPr>
              <w:t>4C Insights (f/k/a The Echo Systems Corp.)</w:t>
            </w:r>
          </w:p>
        </w:tc>
        <w:tc>
          <w:tcPr>
            <w:tcW w:w="120" w:type="dxa"/>
            <w:vAlign w:val="bottom"/>
          </w:tcPr>
          <w:p>
            <w:pPr>
              <w:spacing w:after="0"/>
              <w:rPr>
                <w:sz w:val="19"/>
                <w:szCs w:val="19"/>
                <w:color w:val="auto"/>
              </w:rPr>
            </w:pP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Chicago, IL</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gridSpan w:val="18"/>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Common shares</w:t>
            </w:r>
          </w:p>
        </w:tc>
        <w:tc>
          <w:tcPr>
            <w:tcW w:w="120" w:type="dxa"/>
            <w:vAlign w:val="bottom"/>
            <w:shd w:val="clear" w:color="auto" w:fill="CCEEFF"/>
          </w:tcPr>
          <w:p>
            <w:pPr>
              <w:spacing w:after="0"/>
              <w:rPr>
                <w:sz w:val="23"/>
                <w:szCs w:val="23"/>
                <w:color w:val="auto"/>
              </w:rPr>
            </w:pPr>
          </w:p>
        </w:tc>
        <w:tc>
          <w:tcPr>
            <w:tcW w:w="24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Social Data Platform</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3/30/2012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436,219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1,436,404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2980" w:type="dxa"/>
            <w:vAlign w:val="bottom"/>
            <w:gridSpan w:val="18"/>
          </w:tcPr>
          <w:p>
            <w:pPr>
              <w:ind w:left="40"/>
              <w:spacing w:after="0"/>
              <w:rPr>
                <w:sz w:val="20"/>
                <w:szCs w:val="20"/>
                <w:color w:val="auto"/>
              </w:rPr>
            </w:pPr>
            <w:r>
              <w:rPr>
                <w:rFonts w:ascii="Times New Roman" w:cs="Times New Roman" w:eastAsia="Times New Roman" w:hAnsi="Times New Roman"/>
                <w:sz w:val="14"/>
                <w:szCs w:val="14"/>
                <w:b w:val="1"/>
                <w:bCs w:val="1"/>
                <w:color w:val="auto"/>
              </w:rPr>
              <w:t>Fullbridge, Inc.</w:t>
            </w:r>
          </w:p>
        </w:tc>
        <w:tc>
          <w:tcPr>
            <w:tcW w:w="120" w:type="dxa"/>
            <w:vAlign w:val="bottom"/>
          </w:tcPr>
          <w:p>
            <w:pPr>
              <w:spacing w:after="0"/>
              <w:rPr>
                <w:sz w:val="19"/>
                <w:szCs w:val="19"/>
                <w:color w:val="auto"/>
              </w:rPr>
            </w:pP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Cambridge, MA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980" w:type="dxa"/>
            <w:vAlign w:val="bottom"/>
            <w:gridSpan w:val="18"/>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Common shares</w:t>
            </w:r>
          </w:p>
        </w:tc>
        <w:tc>
          <w:tcPr>
            <w:tcW w:w="120" w:type="dxa"/>
            <w:vAlign w:val="bottom"/>
            <w:shd w:val="clear" w:color="auto" w:fill="CCEEFF"/>
          </w:tcPr>
          <w:p>
            <w:pPr>
              <w:spacing w:after="0"/>
              <w:rPr>
                <w:sz w:val="24"/>
                <w:szCs w:val="24"/>
                <w:color w:val="auto"/>
              </w:rPr>
            </w:pPr>
          </w:p>
        </w:tc>
        <w:tc>
          <w:tcPr>
            <w:tcW w:w="24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Business Education</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5/13/2012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517,917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6,150,506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2"/>
        </w:trPr>
        <w:tc>
          <w:tcPr>
            <w:tcW w:w="2980" w:type="dxa"/>
            <w:vAlign w:val="bottom"/>
            <w:tcBorders>
              <w:bottom w:val="single" w:sz="8" w:color="CCEEFF"/>
            </w:tcBorders>
            <w:gridSpan w:val="18"/>
          </w:tcPr>
          <w:p>
            <w:pPr>
              <w:ind w:left="40"/>
              <w:spacing w:after="0"/>
              <w:rPr>
                <w:sz w:val="20"/>
                <w:szCs w:val="20"/>
                <w:color w:val="auto"/>
              </w:rPr>
            </w:pPr>
            <w:r>
              <w:rPr>
                <w:rFonts w:ascii="Times New Roman" w:cs="Times New Roman" w:eastAsia="Times New Roman" w:hAnsi="Times New Roman"/>
                <w:sz w:val="14"/>
                <w:szCs w:val="14"/>
                <w:color w:val="auto"/>
              </w:rPr>
              <w:t>Promissory Note 1.49% Due 11/9/2021</w:t>
            </w:r>
            <w:r>
              <w:rPr>
                <w:rFonts w:ascii="Times New Roman" w:cs="Times New Roman" w:eastAsia="Times New Roman" w:hAnsi="Times New Roman"/>
                <w:sz w:val="8"/>
                <w:szCs w:val="8"/>
                <w:color w:val="auto"/>
              </w:rPr>
              <w:t>(4)</w:t>
            </w:r>
          </w:p>
        </w:tc>
        <w:tc>
          <w:tcPr>
            <w:tcW w:w="120" w:type="dxa"/>
            <w:vAlign w:val="bottom"/>
            <w:tcBorders>
              <w:bottom w:val="single" w:sz="8" w:color="CCEEFF"/>
            </w:tcBorders>
          </w:tcPr>
          <w:p>
            <w:pPr>
              <w:spacing w:after="0"/>
              <w:rPr>
                <w:sz w:val="21"/>
                <w:szCs w:val="21"/>
                <w:color w:val="auto"/>
              </w:rPr>
            </w:pPr>
          </w:p>
        </w:tc>
        <w:tc>
          <w:tcPr>
            <w:tcW w:w="23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3/3/2016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rPr>
              <w:t>2,270,458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2,270,858</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4"/>
        </w:trPr>
        <w:tc>
          <w:tcPr>
            <w:tcW w:w="40" w:type="dxa"/>
            <w:vAlign w:val="bottom"/>
            <w:shd w:val="clear" w:color="auto" w:fill="CCEEFF"/>
          </w:tcPr>
          <w:p>
            <w:pPr>
              <w:spacing w:after="0"/>
              <w:rPr>
                <w:sz w:val="22"/>
                <w:szCs w:val="22"/>
                <w:color w:val="auto"/>
              </w:rPr>
            </w:pPr>
          </w:p>
        </w:tc>
        <w:tc>
          <w:tcPr>
            <w:tcW w:w="2940" w:type="dxa"/>
            <w:vAlign w:val="bottom"/>
            <w:gridSpan w:val="17"/>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shd w:val="clear" w:color="auto" w:fill="CCEEFF"/>
          </w:tcPr>
          <w:p>
            <w:pPr>
              <w:spacing w:after="0"/>
              <w:rPr>
                <w:sz w:val="22"/>
                <w:szCs w:val="22"/>
                <w:color w:val="auto"/>
              </w:rPr>
            </w:pPr>
          </w:p>
        </w:tc>
        <w:tc>
          <w:tcPr>
            <w:tcW w:w="2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8,421,364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4"/>
        </w:trPr>
        <w:tc>
          <w:tcPr>
            <w:tcW w:w="4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7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300" w:type="dxa"/>
            <w:vAlign w:val="bottom"/>
            <w:tcBorders>
              <w:top w:val="single" w:sz="8" w:color="CCEEFF"/>
            </w:tcBorders>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Borders>
              <w:top w:val="single" w:sz="8" w:color="CCEEFF"/>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940" w:type="dxa"/>
            <w:vAlign w:val="bottom"/>
            <w:tcBorders>
              <w:top w:val="single" w:sz="8" w:color="CCEEFF"/>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2940" w:type="dxa"/>
            <w:vAlign w:val="bottom"/>
            <w:gridSpan w:val="17"/>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Non-controlled/Non-affiliate</w:t>
            </w:r>
          </w:p>
        </w:tc>
        <w:tc>
          <w:tcPr>
            <w:tcW w:w="120" w:type="dxa"/>
            <w:vAlign w:val="bottom"/>
            <w:shd w:val="clear" w:color="auto" w:fill="CCEEFF"/>
          </w:tcPr>
          <w:p>
            <w:pPr>
              <w:spacing w:after="0"/>
              <w:rPr>
                <w:sz w:val="23"/>
                <w:szCs w:val="23"/>
                <w:color w:val="auto"/>
              </w:rPr>
            </w:pPr>
          </w:p>
        </w:tc>
        <w:tc>
          <w:tcPr>
            <w:tcW w:w="2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105,869,607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170,067,233</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-471170</wp:posOffset>
            </wp:positionV>
            <wp:extent cx="49999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999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-2572385</wp:posOffset>
            </wp:positionV>
            <wp:extent cx="49999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999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-3669665</wp:posOffset>
            </wp:positionV>
            <wp:extent cx="49999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999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-4716145</wp:posOffset>
            </wp:positionV>
            <wp:extent cx="49999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999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-6122670</wp:posOffset>
            </wp:positionV>
            <wp:extent cx="49999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condensed consolidated financial statements.</w:t>
      </w:r>
    </w:p>
    <w:p>
      <w:pPr>
        <w:sectPr>
          <w:pgSz w:w="11900" w:h="16838" w:orient="portrait"/>
          <w:cols w:equalWidth="0" w:num="1">
            <w:col w:w="11420"/>
          </w:cols>
          <w:pgMar w:left="240" w:top="118" w:right="239" w:bottom="671" w:gutter="0" w:footer="0" w:header="0"/>
        </w:sect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18" w:right="239" w:bottom="671" w:gutter="0" w:footer="0" w:header="0"/>
          <w:type w:val="continuous"/>
        </w:sectPr>
      </w:pPr>
    </w:p>
    <w:bookmarkStart w:id="12" w:name="page13"/>
    <w:bookmarkEnd w:id="12"/>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SCHEDULE OF INVESTMENTS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gridSpan w:val="9"/>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140" w:type="dxa"/>
            <w:vAlign w:val="bottom"/>
          </w:tcPr>
          <w:p>
            <w:pPr>
              <w:spacing w:after="0"/>
              <w:rPr>
                <w:sz w:val="13"/>
                <w:szCs w:val="13"/>
                <w:color w:val="auto"/>
              </w:rPr>
            </w:pP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Headquarters/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Date of Initial</w:t>
            </w:r>
          </w:p>
        </w:tc>
        <w:tc>
          <w:tcPr>
            <w:tcW w:w="180" w:type="dxa"/>
            <w:vAlign w:val="bottom"/>
          </w:tcPr>
          <w:p>
            <w:pPr>
              <w:spacing w:after="0"/>
              <w:rPr>
                <w:sz w:val="13"/>
                <w:szCs w:val="13"/>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80" w:type="dxa"/>
            <w:vAlign w:val="bottom"/>
          </w:tcPr>
          <w:p>
            <w:pPr>
              <w:spacing w:after="0"/>
              <w:rPr>
                <w:sz w:val="13"/>
                <w:szCs w:val="13"/>
                <w:color w:val="auto"/>
              </w:rPr>
            </w:pPr>
          </w:p>
        </w:tc>
        <w:tc>
          <w:tcPr>
            <w:tcW w:w="9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3"/>
                <w:szCs w:val="13"/>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0" w:type="dxa"/>
            <w:vAlign w:val="bottom"/>
          </w:tcPr>
          <w:p>
            <w:pPr>
              <w:spacing w:after="0"/>
              <w:rPr>
                <w:sz w:val="1"/>
                <w:szCs w:val="1"/>
                <w:color w:val="auto"/>
              </w:rPr>
            </w:pPr>
          </w:p>
        </w:tc>
      </w:tr>
      <w:tr>
        <w:trPr>
          <w:trHeight w:val="195"/>
        </w:trPr>
        <w:tc>
          <w:tcPr>
            <w:tcW w:w="3200" w:type="dxa"/>
            <w:vAlign w:val="bottom"/>
            <w:gridSpan w:val="9"/>
            <w:vMerge w:val="continue"/>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8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8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69"/>
        </w:trPr>
        <w:tc>
          <w:tcPr>
            <w:tcW w:w="3200" w:type="dxa"/>
            <w:vAlign w:val="bottom"/>
            <w:tcBorders>
              <w:top w:val="single" w:sz="8" w:color="auto"/>
            </w:tcBorders>
            <w:gridSpan w:val="9"/>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NON-CONTROLLED/AFFILIATE</w:t>
            </w:r>
            <w:r>
              <w:rPr>
                <w:rFonts w:ascii="Times New Roman" w:cs="Times New Roman" w:eastAsia="Times New Roman" w:hAnsi="Times New Roman"/>
                <w:sz w:val="8"/>
                <w:szCs w:val="8"/>
                <w:color w:val="auto"/>
              </w:rPr>
              <w:t>(1)</w:t>
            </w:r>
          </w:p>
        </w:tc>
        <w:tc>
          <w:tcPr>
            <w:tcW w:w="140" w:type="dxa"/>
            <w:vAlign w:val="bottom"/>
            <w:tcBorders>
              <w:top w:val="single" w:sz="8" w:color="CCEEFF"/>
            </w:tcBorders>
            <w:shd w:val="clear" w:color="auto" w:fill="CCEEFF"/>
          </w:tcPr>
          <w:p>
            <w:pPr>
              <w:spacing w:after="0"/>
              <w:rPr>
                <w:sz w:val="23"/>
                <w:szCs w:val="23"/>
                <w:color w:val="auto"/>
              </w:rPr>
            </w:pPr>
          </w:p>
        </w:tc>
        <w:tc>
          <w:tcPr>
            <w:tcW w:w="19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200" w:type="dxa"/>
            <w:vAlign w:val="bottom"/>
            <w:gridSpan w:val="9"/>
          </w:tcPr>
          <w:p>
            <w:pPr>
              <w:ind w:left="40"/>
              <w:spacing w:after="0"/>
              <w:rPr>
                <w:sz w:val="20"/>
                <w:szCs w:val="20"/>
                <w:color w:val="auto"/>
              </w:rPr>
            </w:pPr>
            <w:r>
              <w:rPr>
                <w:rFonts w:ascii="Times New Roman" w:cs="Times New Roman" w:eastAsia="Times New Roman" w:hAnsi="Times New Roman"/>
                <w:sz w:val="14"/>
                <w:szCs w:val="14"/>
                <w:b w:val="1"/>
                <w:bCs w:val="1"/>
                <w:color w:val="auto"/>
              </w:rPr>
              <w:t>Ozy Media, Inc.</w:t>
            </w:r>
          </w:p>
        </w:tc>
        <w:tc>
          <w:tcPr>
            <w:tcW w:w="140" w:type="dxa"/>
            <w:vAlign w:val="bottom"/>
          </w:tcPr>
          <w:p>
            <w:pPr>
              <w:spacing w:after="0"/>
              <w:rPr>
                <w:sz w:val="19"/>
                <w:szCs w:val="19"/>
                <w:color w:val="auto"/>
              </w:rPr>
            </w:pPr>
          </w:p>
        </w:tc>
        <w:tc>
          <w:tcPr>
            <w:tcW w:w="2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Mountain View,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gridSpan w:val="9"/>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Convertible Promissory Note 5% Due 12/31/2018</w:t>
            </w:r>
            <w:r>
              <w:rPr>
                <w:rFonts w:ascii="Times New Roman" w:cs="Times New Roman" w:eastAsia="Times New Roman" w:hAnsi="Times New Roman"/>
                <w:sz w:val="8"/>
                <w:szCs w:val="8"/>
                <w:color w:val="auto"/>
              </w:rPr>
              <w:t>(11)</w:t>
            </w:r>
          </w:p>
        </w:tc>
        <w:tc>
          <w:tcPr>
            <w:tcW w:w="140" w:type="dxa"/>
            <w:vAlign w:val="bottom"/>
            <w:shd w:val="clear" w:color="auto" w:fill="CCEEFF"/>
          </w:tcPr>
          <w:p>
            <w:pPr>
              <w:spacing w:after="0"/>
              <w:rPr>
                <w:sz w:val="23"/>
                <w:szCs w:val="23"/>
                <w:color w:val="auto"/>
              </w:rPr>
            </w:pPr>
          </w:p>
        </w:tc>
        <w:tc>
          <w:tcPr>
            <w:tcW w:w="20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Digital Media Platform</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8/31/2016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2,102,384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2,102,384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3,153,575</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0" w:type="dxa"/>
            <w:vAlign w:val="bottom"/>
          </w:tcPr>
          <w:p>
            <w:pPr>
              <w:spacing w:after="0"/>
              <w:rPr>
                <w:sz w:val="1"/>
                <w:szCs w:val="1"/>
                <w:color w:val="auto"/>
              </w:rPr>
            </w:pPr>
          </w:p>
        </w:tc>
      </w:tr>
      <w:tr>
        <w:trPr>
          <w:trHeight w:val="265"/>
        </w:trPr>
        <w:tc>
          <w:tcPr>
            <w:tcW w:w="3200" w:type="dxa"/>
            <w:vAlign w:val="bottom"/>
            <w:gridSpan w:val="9"/>
          </w:tcPr>
          <w:p>
            <w:pPr>
              <w:ind w:left="40"/>
              <w:spacing w:after="0"/>
              <w:rPr>
                <w:sz w:val="20"/>
                <w:szCs w:val="20"/>
                <w:color w:val="auto"/>
              </w:rPr>
            </w:pPr>
            <w:r>
              <w:rPr>
                <w:rFonts w:ascii="Times New Roman" w:cs="Times New Roman" w:eastAsia="Times New Roman" w:hAnsi="Times New Roman"/>
                <w:sz w:val="14"/>
                <w:szCs w:val="14"/>
                <w:color w:val="auto"/>
              </w:rPr>
              <w:t>Preferred shares, Series B 6%</w:t>
            </w:r>
          </w:p>
        </w:tc>
        <w:tc>
          <w:tcPr>
            <w:tcW w:w="1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10/3/2014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922,509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4,999,999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3200" w:type="dxa"/>
            <w:vAlign w:val="bottom"/>
            <w:gridSpan w:val="9"/>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shares, Series A 6%</w:t>
            </w:r>
          </w:p>
        </w:tc>
        <w:tc>
          <w:tcPr>
            <w:tcW w:w="14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12/11/2013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1,090,909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3,000,200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3200" w:type="dxa"/>
            <w:vAlign w:val="bottom"/>
            <w:gridSpan w:val="9"/>
          </w:tcPr>
          <w:p>
            <w:pPr>
              <w:ind w:left="40"/>
              <w:spacing w:after="0"/>
              <w:rPr>
                <w:sz w:val="20"/>
                <w:szCs w:val="20"/>
                <w:color w:val="auto"/>
              </w:rPr>
            </w:pPr>
            <w:r>
              <w:rPr>
                <w:rFonts w:ascii="Times New Roman" w:cs="Times New Roman" w:eastAsia="Times New Roman" w:hAnsi="Times New Roman"/>
                <w:sz w:val="14"/>
                <w:szCs w:val="14"/>
                <w:color w:val="auto"/>
              </w:rPr>
              <w:t>Preferred shares, Series Seed 6%</w:t>
            </w:r>
          </w:p>
        </w:tc>
        <w:tc>
          <w:tcPr>
            <w:tcW w:w="1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11/2/2012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200" w:type="dxa"/>
            <w:vAlign w:val="bottom"/>
            <w:gridSpan w:val="9"/>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Common Warrants, Strike Price $0.01, Expiration</w:t>
            </w:r>
          </w:p>
        </w:tc>
        <w:tc>
          <w:tcPr>
            <w:tcW w:w="14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4/9/2018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295,565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30,647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200" w:type="dxa"/>
            <w:vAlign w:val="bottom"/>
            <w:gridSpan w:val="9"/>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Date 4/9/2028</w:t>
            </w:r>
            <w:r>
              <w:rPr>
                <w:rFonts w:ascii="Times New Roman" w:cs="Times New Roman" w:eastAsia="Times New Roman" w:hAnsi="Times New Roman"/>
                <w:sz w:val="8"/>
                <w:szCs w:val="8"/>
                <w:color w:val="auto"/>
              </w:rPr>
              <w:t>(11)</w:t>
            </w:r>
          </w:p>
        </w:tc>
        <w:tc>
          <w:tcPr>
            <w:tcW w:w="14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160" w:type="dxa"/>
            <w:vAlign w:val="bottom"/>
            <w:tcBorders>
              <w:bottom w:val="single" w:sz="8" w:color="CCEEFF"/>
            </w:tcBorders>
            <w:gridSpan w:val="8"/>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CCEEFF"/>
            </w:tcBorders>
          </w:tcPr>
          <w:p>
            <w:pPr>
              <w:spacing w:after="0"/>
              <w:rPr>
                <w:sz w:val="22"/>
                <w:szCs w:val="22"/>
                <w:color w:val="auto"/>
              </w:rPr>
            </w:pPr>
          </w:p>
        </w:tc>
        <w:tc>
          <w:tcPr>
            <w:tcW w:w="19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10,633,230</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3,153,575</w:t>
            </w:r>
          </w:p>
        </w:tc>
        <w:tc>
          <w:tcPr>
            <w:tcW w:w="100" w:type="dxa"/>
            <w:vAlign w:val="bottom"/>
            <w:tcBorders>
              <w:bottom w:val="single" w:sz="8" w:color="CCEEFF"/>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0" w:type="dxa"/>
            <w:vAlign w:val="bottom"/>
          </w:tcPr>
          <w:p>
            <w:pPr>
              <w:spacing w:after="0"/>
              <w:rPr>
                <w:sz w:val="1"/>
                <w:szCs w:val="1"/>
                <w:color w:val="auto"/>
              </w:rPr>
            </w:pPr>
          </w:p>
        </w:tc>
      </w:tr>
      <w:tr>
        <w:trPr>
          <w:trHeight w:val="228"/>
        </w:trPr>
        <w:tc>
          <w:tcPr>
            <w:tcW w:w="3200" w:type="dxa"/>
            <w:vAlign w:val="bottom"/>
            <w:gridSpan w:val="9"/>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CUX, Inc. (d/b/a CorpU)</w:t>
            </w:r>
          </w:p>
        </w:tc>
        <w:tc>
          <w:tcPr>
            <w:tcW w:w="14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rPr>
              <w:t>Philadelphia, PA</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200" w:type="dxa"/>
            <w:vAlign w:val="bottom"/>
            <w:gridSpan w:val="9"/>
          </w:tcPr>
          <w:p>
            <w:pPr>
              <w:ind w:left="40"/>
              <w:spacing w:after="0" w:line="153" w:lineRule="exact"/>
              <w:rPr>
                <w:sz w:val="20"/>
                <w:szCs w:val="20"/>
                <w:color w:val="auto"/>
              </w:rPr>
            </w:pPr>
            <w:r>
              <w:rPr>
                <w:rFonts w:ascii="Times New Roman" w:cs="Times New Roman" w:eastAsia="Times New Roman" w:hAnsi="Times New Roman"/>
                <w:sz w:val="14"/>
                <w:szCs w:val="14"/>
                <w:color w:val="auto"/>
              </w:rPr>
              <w:t>Senior Subordinated Convertible Promissory Note</w:t>
            </w:r>
          </w:p>
        </w:tc>
        <w:tc>
          <w:tcPr>
            <w:tcW w:w="140" w:type="dxa"/>
            <w:vAlign w:val="bottom"/>
          </w:tcPr>
          <w:p>
            <w:pPr>
              <w:spacing w:after="0"/>
              <w:rPr>
                <w:sz w:val="13"/>
                <w:szCs w:val="13"/>
                <w:color w:val="auto"/>
              </w:rPr>
            </w:pPr>
          </w:p>
        </w:tc>
        <w:tc>
          <w:tcPr>
            <w:tcW w:w="20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rPr>
              <w:t>Corporate Education</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11/26/2014</w:t>
            </w:r>
          </w:p>
        </w:tc>
        <w:tc>
          <w:tcPr>
            <w:tcW w:w="100" w:type="dxa"/>
            <w:vAlign w:val="bottom"/>
          </w:tcPr>
          <w:p>
            <w:pPr>
              <w:spacing w:after="0"/>
              <w:rPr>
                <w:sz w:val="13"/>
                <w:szCs w:val="13"/>
                <w:color w:val="auto"/>
              </w:rPr>
            </w:pP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1,360,489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1,361,969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1,360,489</w:t>
            </w:r>
          </w:p>
        </w:tc>
        <w:tc>
          <w:tcPr>
            <w:tcW w:w="10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0.70%</w:t>
            </w:r>
          </w:p>
        </w:tc>
        <w:tc>
          <w:tcPr>
            <w:tcW w:w="0" w:type="dxa"/>
            <w:vAlign w:val="bottom"/>
          </w:tcPr>
          <w:p>
            <w:pPr>
              <w:spacing w:after="0"/>
              <w:rPr>
                <w:sz w:val="1"/>
                <w:szCs w:val="1"/>
                <w:color w:val="auto"/>
              </w:rPr>
            </w:pPr>
          </w:p>
        </w:tc>
      </w:tr>
      <w:tr>
        <w:trPr>
          <w:trHeight w:val="193"/>
        </w:trPr>
        <w:tc>
          <w:tcPr>
            <w:tcW w:w="3200" w:type="dxa"/>
            <w:vAlign w:val="bottom"/>
            <w:gridSpan w:val="9"/>
          </w:tcPr>
          <w:p>
            <w:pPr>
              <w:ind w:left="40"/>
              <w:spacing w:after="0"/>
              <w:rPr>
                <w:sz w:val="20"/>
                <w:szCs w:val="20"/>
                <w:color w:val="auto"/>
              </w:rPr>
            </w:pPr>
            <w:r>
              <w:rPr>
                <w:rFonts w:ascii="Times New Roman" w:cs="Times New Roman" w:eastAsia="Times New Roman" w:hAnsi="Times New Roman"/>
                <w:sz w:val="14"/>
                <w:szCs w:val="14"/>
                <w:color w:val="auto"/>
              </w:rPr>
              <w:t>10% Due 2/14/2020***</w:t>
            </w:r>
            <w:r>
              <w:rPr>
                <w:rFonts w:ascii="Times New Roman" w:cs="Times New Roman" w:eastAsia="Times New Roman" w:hAnsi="Times New Roman"/>
                <w:sz w:val="8"/>
                <w:szCs w:val="8"/>
                <w:color w:val="auto"/>
              </w:rPr>
              <w:t>(6)</w:t>
            </w:r>
          </w:p>
        </w:tc>
        <w:tc>
          <w:tcPr>
            <w:tcW w:w="140" w:type="dxa"/>
            <w:vAlign w:val="bottom"/>
          </w:tcPr>
          <w:p>
            <w:pPr>
              <w:spacing w:after="0"/>
              <w:rPr>
                <w:sz w:val="16"/>
                <w:szCs w:val="16"/>
                <w:color w:val="auto"/>
              </w:rPr>
            </w:pPr>
          </w:p>
        </w:tc>
        <w:tc>
          <w:tcPr>
            <w:tcW w:w="2060" w:type="dxa"/>
            <w:vAlign w:val="bottom"/>
            <w:gridSpan w:val="2"/>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3200" w:type="dxa"/>
            <w:vAlign w:val="bottom"/>
            <w:gridSpan w:val="9"/>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Convertible preferred shares, Series D 6%</w:t>
            </w:r>
          </w:p>
        </w:tc>
        <w:tc>
          <w:tcPr>
            <w:tcW w:w="14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5/31/2013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169,033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778,607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878,005</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0.45%</w:t>
            </w:r>
          </w:p>
        </w:tc>
        <w:tc>
          <w:tcPr>
            <w:tcW w:w="0" w:type="dxa"/>
            <w:vAlign w:val="bottom"/>
          </w:tcPr>
          <w:p>
            <w:pPr>
              <w:spacing w:after="0"/>
              <w:rPr>
                <w:sz w:val="1"/>
                <w:szCs w:val="1"/>
                <w:color w:val="auto"/>
              </w:rPr>
            </w:pPr>
          </w:p>
        </w:tc>
      </w:tr>
      <w:tr>
        <w:trPr>
          <w:trHeight w:val="265"/>
        </w:trPr>
        <w:tc>
          <w:tcPr>
            <w:tcW w:w="3200" w:type="dxa"/>
            <w:vAlign w:val="bottom"/>
            <w:gridSpan w:val="9"/>
          </w:tcPr>
          <w:p>
            <w:pPr>
              <w:ind w:left="40"/>
              <w:spacing w:after="0"/>
              <w:rPr>
                <w:sz w:val="20"/>
                <w:szCs w:val="20"/>
                <w:color w:val="auto"/>
              </w:rPr>
            </w:pPr>
            <w:r>
              <w:rPr>
                <w:rFonts w:ascii="Times New Roman" w:cs="Times New Roman" w:eastAsia="Times New Roman" w:hAnsi="Times New Roman"/>
                <w:sz w:val="14"/>
                <w:szCs w:val="14"/>
                <w:color w:val="auto"/>
              </w:rPr>
              <w:t>Convertible preferred shares, Series C 8%</w:t>
            </w:r>
          </w:p>
        </w:tc>
        <w:tc>
          <w:tcPr>
            <w:tcW w:w="1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3/29/2012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615,763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2,006,077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3200" w:type="dxa"/>
            <w:vAlign w:val="bottom"/>
            <w:gridSpan w:val="9"/>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Preferred Warrants Series D, Strike Price $4.59,</w:t>
            </w:r>
          </w:p>
        </w:tc>
        <w:tc>
          <w:tcPr>
            <w:tcW w:w="14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5/31/2013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16,903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19,946</w:t>
            </w:r>
          </w:p>
        </w:tc>
        <w:tc>
          <w:tcPr>
            <w:tcW w:w="10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0" w:type="dxa"/>
            <w:vAlign w:val="bottom"/>
          </w:tcPr>
          <w:p>
            <w:pPr>
              <w:spacing w:after="0"/>
              <w:rPr>
                <w:sz w:val="1"/>
                <w:szCs w:val="1"/>
                <w:color w:val="auto"/>
              </w:rPr>
            </w:pPr>
          </w:p>
        </w:tc>
      </w:tr>
      <w:tr>
        <w:trPr>
          <w:trHeight w:val="193"/>
        </w:trPr>
        <w:tc>
          <w:tcPr>
            <w:tcW w:w="3200" w:type="dxa"/>
            <w:vAlign w:val="bottom"/>
            <w:gridSpan w:val="9"/>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Expiration Date 2/14/2020</w:t>
            </w:r>
            <w:r>
              <w:rPr>
                <w:rFonts w:ascii="Times New Roman" w:cs="Times New Roman" w:eastAsia="Times New Roman" w:hAnsi="Times New Roman"/>
                <w:sz w:val="8"/>
                <w:szCs w:val="8"/>
                <w:color w:val="auto"/>
              </w:rPr>
              <w:t>(9)</w:t>
            </w:r>
          </w:p>
        </w:tc>
        <w:tc>
          <w:tcPr>
            <w:tcW w:w="14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160" w:type="dxa"/>
            <w:vAlign w:val="bottom"/>
            <w:tcBorders>
              <w:bottom w:val="single" w:sz="8" w:color="CCEEFF"/>
            </w:tcBorders>
            <w:gridSpan w:val="8"/>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CCEEFF"/>
            </w:tcBorders>
          </w:tcPr>
          <w:p>
            <w:pPr>
              <w:spacing w:after="0"/>
              <w:rPr>
                <w:sz w:val="22"/>
                <w:szCs w:val="22"/>
                <w:color w:val="auto"/>
              </w:rPr>
            </w:pPr>
          </w:p>
        </w:tc>
        <w:tc>
          <w:tcPr>
            <w:tcW w:w="19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4,146,653</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2,258,440</w:t>
            </w:r>
          </w:p>
        </w:tc>
        <w:tc>
          <w:tcPr>
            <w:tcW w:w="100" w:type="dxa"/>
            <w:vAlign w:val="bottom"/>
            <w:tcBorders>
              <w:bottom w:val="single" w:sz="8" w:color="CCEEFF"/>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228"/>
        </w:trPr>
        <w:tc>
          <w:tcPr>
            <w:tcW w:w="3200" w:type="dxa"/>
            <w:vAlign w:val="bottom"/>
            <w:gridSpan w:val="9"/>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EdSurge, Inc.</w:t>
            </w:r>
          </w:p>
        </w:tc>
        <w:tc>
          <w:tcPr>
            <w:tcW w:w="14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rPr>
              <w:t>Burlingame, CA</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3200" w:type="dxa"/>
            <w:vAlign w:val="bottom"/>
            <w:gridSpan w:val="9"/>
          </w:tcPr>
          <w:p>
            <w:pPr>
              <w:ind w:left="40"/>
              <w:spacing w:after="0"/>
              <w:rPr>
                <w:sz w:val="20"/>
                <w:szCs w:val="20"/>
                <w:color w:val="auto"/>
              </w:rPr>
            </w:pPr>
            <w:r>
              <w:rPr>
                <w:rFonts w:ascii="Times New Roman" w:cs="Times New Roman" w:eastAsia="Times New Roman" w:hAnsi="Times New Roman"/>
                <w:sz w:val="14"/>
                <w:szCs w:val="14"/>
                <w:color w:val="auto"/>
              </w:rPr>
              <w:t>Preferred shares, Series A-1</w:t>
            </w:r>
          </w:p>
        </w:tc>
        <w:tc>
          <w:tcPr>
            <w:tcW w:w="140" w:type="dxa"/>
            <w:vAlign w:val="bottom"/>
          </w:tcPr>
          <w:p>
            <w:pPr>
              <w:spacing w:after="0"/>
              <w:rPr>
                <w:sz w:val="23"/>
                <w:szCs w:val="23"/>
                <w:color w:val="auto"/>
              </w:rPr>
            </w:pPr>
          </w:p>
        </w:tc>
        <w:tc>
          <w:tcPr>
            <w:tcW w:w="2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Education Media Platform</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11/12/2015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378,788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501,360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250,000</w:t>
            </w:r>
          </w:p>
        </w:tc>
        <w:tc>
          <w:tcPr>
            <w:tcW w:w="1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0" w:type="dxa"/>
            <w:vAlign w:val="bottom"/>
          </w:tcPr>
          <w:p>
            <w:pPr>
              <w:spacing w:after="0"/>
              <w:rPr>
                <w:sz w:val="1"/>
                <w:szCs w:val="1"/>
                <w:color w:val="auto"/>
              </w:rPr>
            </w:pPr>
          </w:p>
        </w:tc>
      </w:tr>
      <w:tr>
        <w:trPr>
          <w:trHeight w:val="270"/>
        </w:trPr>
        <w:tc>
          <w:tcPr>
            <w:tcW w:w="3200" w:type="dxa"/>
            <w:vAlign w:val="bottom"/>
            <w:gridSpan w:val="9"/>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shares, Series A</w:t>
            </w:r>
          </w:p>
        </w:tc>
        <w:tc>
          <w:tcPr>
            <w:tcW w:w="14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2/28/2014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494,365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500,801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269,848</w:t>
            </w:r>
          </w:p>
        </w:tc>
        <w:tc>
          <w:tcPr>
            <w:tcW w:w="10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160" w:type="dxa"/>
            <w:vAlign w:val="bottom"/>
            <w:tcBorders>
              <w:bottom w:val="single" w:sz="8" w:color="CCEEFF"/>
            </w:tcBorders>
            <w:gridSpan w:val="8"/>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CCEEFF"/>
            </w:tcBorders>
          </w:tcPr>
          <w:p>
            <w:pPr>
              <w:spacing w:after="0"/>
              <w:rPr>
                <w:sz w:val="22"/>
                <w:szCs w:val="22"/>
                <w:color w:val="auto"/>
              </w:rPr>
            </w:pPr>
          </w:p>
        </w:tc>
        <w:tc>
          <w:tcPr>
            <w:tcW w:w="19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1,002,161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519,848</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0.27%</w:t>
            </w:r>
          </w:p>
        </w:tc>
        <w:tc>
          <w:tcPr>
            <w:tcW w:w="0" w:type="dxa"/>
            <w:vAlign w:val="bottom"/>
          </w:tcPr>
          <w:p>
            <w:pPr>
              <w:spacing w:after="0"/>
              <w:rPr>
                <w:sz w:val="1"/>
                <w:szCs w:val="1"/>
                <w:color w:val="auto"/>
              </w:rPr>
            </w:pPr>
          </w:p>
        </w:tc>
      </w:tr>
      <w:tr>
        <w:trPr>
          <w:trHeight w:val="228"/>
        </w:trPr>
        <w:tc>
          <w:tcPr>
            <w:tcW w:w="3200" w:type="dxa"/>
            <w:vAlign w:val="bottom"/>
            <w:gridSpan w:val="9"/>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Maven Research, Inc.</w:t>
            </w:r>
          </w:p>
        </w:tc>
        <w:tc>
          <w:tcPr>
            <w:tcW w:w="14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rPr>
              <w:t>San Francisco, CA</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3200" w:type="dxa"/>
            <w:vAlign w:val="bottom"/>
            <w:gridSpan w:val="9"/>
          </w:tcPr>
          <w:p>
            <w:pPr>
              <w:ind w:left="40"/>
              <w:spacing w:after="0"/>
              <w:rPr>
                <w:sz w:val="20"/>
                <w:szCs w:val="20"/>
                <w:color w:val="auto"/>
              </w:rPr>
            </w:pPr>
            <w:r>
              <w:rPr>
                <w:rFonts w:ascii="Times New Roman" w:cs="Times New Roman" w:eastAsia="Times New Roman" w:hAnsi="Times New Roman"/>
                <w:sz w:val="14"/>
                <w:szCs w:val="14"/>
                <w:color w:val="auto"/>
              </w:rPr>
              <w:t>Preferred shares, Series C</w:t>
            </w:r>
          </w:p>
        </w:tc>
        <w:tc>
          <w:tcPr>
            <w:tcW w:w="140" w:type="dxa"/>
            <w:vAlign w:val="bottom"/>
          </w:tcPr>
          <w:p>
            <w:pPr>
              <w:spacing w:after="0"/>
              <w:rPr>
                <w:sz w:val="23"/>
                <w:szCs w:val="23"/>
                <w:color w:val="auto"/>
              </w:rPr>
            </w:pP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Knowledge Networks</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7/2/2012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318,979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2,000,447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3200" w:type="dxa"/>
            <w:vAlign w:val="bottom"/>
            <w:tcBorders>
              <w:bottom w:val="single" w:sz="8" w:color="CCEEFF"/>
            </w:tcBorders>
            <w:gridSpan w:val="9"/>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shares, Series B</w:t>
            </w:r>
          </w:p>
        </w:tc>
        <w:tc>
          <w:tcPr>
            <w:tcW w:w="140" w:type="dxa"/>
            <w:vAlign w:val="bottom"/>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2/28/2012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49,505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217,206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160" w:type="dxa"/>
            <w:vAlign w:val="bottom"/>
            <w:gridSpan w:val="8"/>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2,217,653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8"/>
        </w:trPr>
        <w:tc>
          <w:tcPr>
            <w:tcW w:w="3200" w:type="dxa"/>
            <w:vAlign w:val="bottom"/>
            <w:tcBorders>
              <w:top w:val="single" w:sz="8" w:color="CCEEFF"/>
            </w:tcBorders>
            <w:gridSpan w:val="9"/>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Curious.com, Inc.</w:t>
            </w:r>
          </w:p>
        </w:tc>
        <w:tc>
          <w:tcPr>
            <w:tcW w:w="14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rPr>
              <w:t>Menlo Park, CA</w:t>
            </w:r>
          </w:p>
        </w:tc>
        <w:tc>
          <w:tcPr>
            <w:tcW w:w="1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3200" w:type="dxa"/>
            <w:vAlign w:val="bottom"/>
            <w:gridSpan w:val="9"/>
          </w:tcPr>
          <w:p>
            <w:pPr>
              <w:ind w:left="40"/>
              <w:spacing w:after="0"/>
              <w:rPr>
                <w:sz w:val="20"/>
                <w:szCs w:val="20"/>
                <w:color w:val="auto"/>
              </w:rPr>
            </w:pPr>
            <w:r>
              <w:rPr>
                <w:rFonts w:ascii="Times New Roman" w:cs="Times New Roman" w:eastAsia="Times New Roman" w:hAnsi="Times New Roman"/>
                <w:sz w:val="14"/>
                <w:szCs w:val="14"/>
                <w:color w:val="auto"/>
              </w:rPr>
              <w:t>Common shares</w:t>
            </w:r>
            <w:r>
              <w:rPr>
                <w:rFonts w:ascii="Times New Roman" w:cs="Times New Roman" w:eastAsia="Times New Roman" w:hAnsi="Times New Roman"/>
                <w:sz w:val="8"/>
                <w:szCs w:val="8"/>
                <w:color w:val="auto"/>
              </w:rPr>
              <w:t>(15)</w:t>
            </w:r>
          </w:p>
        </w:tc>
        <w:tc>
          <w:tcPr>
            <w:tcW w:w="140" w:type="dxa"/>
            <w:vAlign w:val="bottom"/>
          </w:tcPr>
          <w:p>
            <w:pPr>
              <w:spacing w:after="0"/>
              <w:rPr>
                <w:sz w:val="23"/>
                <w:szCs w:val="23"/>
                <w:color w:val="auto"/>
              </w:rPr>
            </w:pPr>
          </w:p>
        </w:tc>
        <w:tc>
          <w:tcPr>
            <w:tcW w:w="2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Online Education</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11/22/2013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1,135,944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12,000,006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9"/>
        </w:trPr>
        <w:tc>
          <w:tcPr>
            <w:tcW w:w="3200" w:type="dxa"/>
            <w:vAlign w:val="bottom"/>
            <w:gridSpan w:val="9"/>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Declara, Inc.</w:t>
            </w:r>
          </w:p>
        </w:tc>
        <w:tc>
          <w:tcPr>
            <w:tcW w:w="140" w:type="dxa"/>
            <w:vAlign w:val="bottom"/>
            <w:shd w:val="clear" w:color="auto" w:fill="CCEEFF"/>
          </w:tcPr>
          <w:p>
            <w:pPr>
              <w:spacing w:after="0"/>
              <w:rPr>
                <w:sz w:val="23"/>
                <w:szCs w:val="23"/>
                <w:color w:val="auto"/>
              </w:rPr>
            </w:pPr>
          </w:p>
        </w:tc>
        <w:tc>
          <w:tcPr>
            <w:tcW w:w="20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Palo Alto, CA</w:t>
            </w: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gridSpan w:val="2"/>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200" w:type="dxa"/>
            <w:vAlign w:val="bottom"/>
            <w:gridSpan w:val="9"/>
          </w:tcPr>
          <w:p>
            <w:pPr>
              <w:ind w:left="40"/>
              <w:spacing w:after="0"/>
              <w:rPr>
                <w:sz w:val="20"/>
                <w:szCs w:val="20"/>
                <w:color w:val="auto"/>
              </w:rPr>
            </w:pPr>
            <w:r>
              <w:rPr>
                <w:rFonts w:ascii="Times New Roman" w:cs="Times New Roman" w:eastAsia="Times New Roman" w:hAnsi="Times New Roman"/>
                <w:sz w:val="14"/>
                <w:szCs w:val="14"/>
                <w:color w:val="auto"/>
              </w:rPr>
              <w:t>Convertible Promissory Note 12% Due 4/30/2018</w:t>
            </w:r>
            <w:r>
              <w:rPr>
                <w:rFonts w:ascii="Times New Roman" w:cs="Times New Roman" w:eastAsia="Times New Roman" w:hAnsi="Times New Roman"/>
                <w:sz w:val="8"/>
                <w:szCs w:val="8"/>
                <w:color w:val="auto"/>
              </w:rPr>
              <w:t>(4)(10)</w:t>
            </w:r>
          </w:p>
        </w:tc>
        <w:tc>
          <w:tcPr>
            <w:tcW w:w="140" w:type="dxa"/>
            <w:vAlign w:val="bottom"/>
          </w:tcPr>
          <w:p>
            <w:pPr>
              <w:spacing w:after="0"/>
              <w:rPr>
                <w:sz w:val="21"/>
                <w:szCs w:val="21"/>
                <w:color w:val="auto"/>
              </w:rPr>
            </w:pPr>
          </w:p>
        </w:tc>
        <w:tc>
          <w:tcPr>
            <w:tcW w:w="2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Social Cognitive Learning</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12/30/2015</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2,327,727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2,334,152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3200" w:type="dxa"/>
            <w:vAlign w:val="bottom"/>
            <w:gridSpan w:val="9"/>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shares, Series A 8%</w:t>
            </w:r>
          </w:p>
        </w:tc>
        <w:tc>
          <w:tcPr>
            <w:tcW w:w="14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4/17/2014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10,716,390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9,999,999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160" w:type="dxa"/>
            <w:vAlign w:val="bottom"/>
            <w:gridSpan w:val="8"/>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12,334,151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82"/>
        </w:trPr>
        <w:tc>
          <w:tcPr>
            <w:tcW w:w="40" w:type="dxa"/>
            <w:vAlign w:val="bottom"/>
            <w:tcBorders>
              <w:top w:val="single" w:sz="8" w:color="CCEEFF"/>
            </w:tcBorders>
            <w:shd w:val="clear" w:color="auto" w:fill="CCEEFF"/>
          </w:tcPr>
          <w:p>
            <w:pPr>
              <w:spacing w:after="0"/>
              <w:rPr>
                <w:sz w:val="24"/>
                <w:szCs w:val="24"/>
                <w:color w:val="auto"/>
              </w:rPr>
            </w:pPr>
          </w:p>
        </w:tc>
        <w:tc>
          <w:tcPr>
            <w:tcW w:w="780" w:type="dxa"/>
            <w:vAlign w:val="bottom"/>
            <w:tcBorders>
              <w:top w:val="single" w:sz="8" w:color="CCEEFF"/>
            </w:tcBorders>
            <w:shd w:val="clear" w:color="auto" w:fill="CCEEFF"/>
          </w:tcPr>
          <w:p>
            <w:pPr>
              <w:spacing w:after="0"/>
              <w:rPr>
                <w:sz w:val="24"/>
                <w:szCs w:val="24"/>
                <w:color w:val="auto"/>
              </w:rPr>
            </w:pPr>
          </w:p>
        </w:tc>
        <w:tc>
          <w:tcPr>
            <w:tcW w:w="6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164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194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14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CCEEFF"/>
              <w:bottom w:val="single" w:sz="8" w:color="CCEEFF"/>
            </w:tcBorders>
            <w:shd w:val="clear" w:color="auto" w:fill="CCEEFF"/>
          </w:tcPr>
          <w:p>
            <w:pPr>
              <w:spacing w:after="0"/>
              <w:rPr>
                <w:sz w:val="24"/>
                <w:szCs w:val="24"/>
                <w:color w:val="auto"/>
              </w:rPr>
            </w:pPr>
          </w:p>
        </w:tc>
        <w:tc>
          <w:tcPr>
            <w:tcW w:w="94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10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08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3160" w:type="dxa"/>
            <w:vAlign w:val="bottom"/>
            <w:gridSpan w:val="8"/>
          </w:tcPr>
          <w:p>
            <w:pPr>
              <w:ind w:left="140"/>
              <w:spacing w:after="0"/>
              <w:rPr>
                <w:sz w:val="20"/>
                <w:szCs w:val="20"/>
                <w:color w:val="auto"/>
              </w:rPr>
            </w:pPr>
            <w:r>
              <w:rPr>
                <w:rFonts w:ascii="Times New Roman" w:cs="Times New Roman" w:eastAsia="Times New Roman" w:hAnsi="Times New Roman"/>
                <w:sz w:val="14"/>
                <w:szCs w:val="14"/>
                <w:b w:val="1"/>
                <w:bCs w:val="1"/>
                <w:color w:val="auto"/>
              </w:rPr>
              <w:t>Total Non-controlled/Affiliate</w:t>
            </w:r>
          </w:p>
        </w:tc>
        <w:tc>
          <w:tcPr>
            <w:tcW w:w="1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42,333,854</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5,931,863</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3.04%</w:t>
            </w:r>
          </w:p>
        </w:tc>
        <w:tc>
          <w:tcPr>
            <w:tcW w:w="0" w:type="dxa"/>
            <w:vAlign w:val="bottom"/>
          </w:tcPr>
          <w:p>
            <w:pPr>
              <w:spacing w:after="0"/>
              <w:rPr>
                <w:sz w:val="1"/>
                <w:szCs w:val="1"/>
                <w:color w:val="auto"/>
              </w:rPr>
            </w:pPr>
          </w:p>
        </w:tc>
      </w:tr>
      <w:tr>
        <w:trPr>
          <w:trHeight w:val="302"/>
        </w:trPr>
        <w:tc>
          <w:tcPr>
            <w:tcW w:w="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200" w:type="dxa"/>
            <w:vAlign w:val="bottom"/>
            <w:gridSpan w:val="9"/>
          </w:tcPr>
          <w:p>
            <w:pPr>
              <w:ind w:left="40"/>
              <w:spacing w:after="0"/>
              <w:rPr>
                <w:sz w:val="20"/>
                <w:szCs w:val="20"/>
                <w:color w:val="auto"/>
              </w:rPr>
            </w:pPr>
            <w:r>
              <w:rPr>
                <w:rFonts w:ascii="Times New Roman" w:cs="Times New Roman" w:eastAsia="Times New Roman" w:hAnsi="Times New Roman"/>
                <w:sz w:val="14"/>
                <w:szCs w:val="14"/>
                <w:b w:val="1"/>
                <w:bCs w:val="1"/>
                <w:color w:val="auto"/>
              </w:rPr>
              <w:t>CONTROLLED</w:t>
            </w:r>
            <w:r>
              <w:rPr>
                <w:rFonts w:ascii="Times New Roman" w:cs="Times New Roman" w:eastAsia="Times New Roman" w:hAnsi="Times New Roman"/>
                <w:sz w:val="8"/>
                <w:szCs w:val="8"/>
                <w:color w:val="auto"/>
              </w:rPr>
              <w:t>(2)</w:t>
            </w:r>
          </w:p>
        </w:tc>
        <w:tc>
          <w:tcPr>
            <w:tcW w:w="1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3200" w:type="dxa"/>
            <w:vAlign w:val="bottom"/>
            <w:gridSpan w:val="9"/>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StormWind, LLC</w:t>
            </w:r>
            <w:r>
              <w:rPr>
                <w:rFonts w:ascii="Times New Roman" w:cs="Times New Roman" w:eastAsia="Times New Roman" w:hAnsi="Times New Roman"/>
                <w:sz w:val="8"/>
                <w:szCs w:val="8"/>
                <w:color w:val="auto"/>
              </w:rPr>
              <w:t>(5)</w:t>
            </w:r>
          </w:p>
        </w:tc>
        <w:tc>
          <w:tcPr>
            <w:tcW w:w="140" w:type="dxa"/>
            <w:vAlign w:val="bottom"/>
            <w:shd w:val="clear" w:color="auto" w:fill="CCEEFF"/>
          </w:tcPr>
          <w:p>
            <w:pPr>
              <w:spacing w:after="0"/>
              <w:rPr>
                <w:sz w:val="23"/>
                <w:szCs w:val="23"/>
                <w:color w:val="auto"/>
              </w:rPr>
            </w:pPr>
          </w:p>
        </w:tc>
        <w:tc>
          <w:tcPr>
            <w:tcW w:w="20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Scottsdale, AZ</w:t>
            </w: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gridSpan w:val="2"/>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200" w:type="dxa"/>
            <w:vAlign w:val="bottom"/>
            <w:gridSpan w:val="9"/>
          </w:tcPr>
          <w:p>
            <w:pPr>
              <w:ind w:left="40"/>
              <w:spacing w:after="0"/>
              <w:rPr>
                <w:sz w:val="20"/>
                <w:szCs w:val="20"/>
                <w:color w:val="auto"/>
              </w:rPr>
            </w:pPr>
            <w:r>
              <w:rPr>
                <w:rFonts w:ascii="Times New Roman" w:cs="Times New Roman" w:eastAsia="Times New Roman" w:hAnsi="Times New Roman"/>
                <w:sz w:val="14"/>
                <w:szCs w:val="14"/>
                <w:color w:val="auto"/>
              </w:rPr>
              <w:t>Preferred shares, Series C 8%</w:t>
            </w:r>
          </w:p>
        </w:tc>
        <w:tc>
          <w:tcPr>
            <w:tcW w:w="140" w:type="dxa"/>
            <w:vAlign w:val="bottom"/>
          </w:tcPr>
          <w:p>
            <w:pPr>
              <w:spacing w:after="0"/>
              <w:rPr>
                <w:sz w:val="21"/>
                <w:szCs w:val="21"/>
                <w:color w:val="auto"/>
              </w:rPr>
            </w:pPr>
          </w:p>
        </w:tc>
        <w:tc>
          <w:tcPr>
            <w:tcW w:w="2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Interactive Learning</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1/7/2014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2,779,134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4,000,787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7,194,971</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0" w:type="dxa"/>
            <w:vAlign w:val="bottom"/>
          </w:tcPr>
          <w:p>
            <w:pPr>
              <w:spacing w:after="0"/>
              <w:rPr>
                <w:sz w:val="1"/>
                <w:szCs w:val="1"/>
                <w:color w:val="auto"/>
              </w:rPr>
            </w:pPr>
          </w:p>
        </w:tc>
      </w:tr>
      <w:tr>
        <w:trPr>
          <w:trHeight w:val="289"/>
        </w:trPr>
        <w:tc>
          <w:tcPr>
            <w:tcW w:w="3200" w:type="dxa"/>
            <w:vAlign w:val="bottom"/>
            <w:gridSpan w:val="9"/>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shares, Series B 8%</w:t>
            </w:r>
          </w:p>
        </w:tc>
        <w:tc>
          <w:tcPr>
            <w:tcW w:w="14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12/16/2011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3,279,629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2,019,687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5,770,328</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0" w:type="dxa"/>
            <w:vAlign w:val="bottom"/>
          </w:tcPr>
          <w:p>
            <w:pPr>
              <w:spacing w:after="0"/>
              <w:rPr>
                <w:sz w:val="1"/>
                <w:szCs w:val="1"/>
                <w:color w:val="auto"/>
              </w:rPr>
            </w:pPr>
          </w:p>
        </w:tc>
      </w:tr>
      <w:tr>
        <w:trPr>
          <w:trHeight w:val="252"/>
        </w:trPr>
        <w:tc>
          <w:tcPr>
            <w:tcW w:w="3200" w:type="dxa"/>
            <w:vAlign w:val="bottom"/>
            <w:tcBorders>
              <w:bottom w:val="single" w:sz="8" w:color="CCEEFF"/>
            </w:tcBorders>
            <w:gridSpan w:val="9"/>
          </w:tcPr>
          <w:p>
            <w:pPr>
              <w:ind w:left="40"/>
              <w:spacing w:after="0"/>
              <w:rPr>
                <w:sz w:val="20"/>
                <w:szCs w:val="20"/>
                <w:color w:val="auto"/>
              </w:rPr>
            </w:pPr>
            <w:r>
              <w:rPr>
                <w:rFonts w:ascii="Times New Roman" w:cs="Times New Roman" w:eastAsia="Times New Roman" w:hAnsi="Times New Roman"/>
                <w:sz w:val="14"/>
                <w:szCs w:val="14"/>
                <w:color w:val="auto"/>
              </w:rPr>
              <w:t>Preferred shares, Series A 8%</w:t>
            </w:r>
          </w:p>
        </w:tc>
        <w:tc>
          <w:tcPr>
            <w:tcW w:w="140" w:type="dxa"/>
            <w:vAlign w:val="bottom"/>
            <w:tcBorders>
              <w:bottom w:val="single" w:sz="8" w:color="CCEEFF"/>
            </w:tcBorders>
          </w:tcPr>
          <w:p>
            <w:pPr>
              <w:spacing w:after="0"/>
              <w:rPr>
                <w:sz w:val="21"/>
                <w:szCs w:val="21"/>
                <w:color w:val="auto"/>
              </w:rPr>
            </w:pPr>
          </w:p>
        </w:tc>
        <w:tc>
          <w:tcPr>
            <w:tcW w:w="19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2/25/2014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rPr>
              <w:t>366,666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110,000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421,525</w:t>
            </w:r>
          </w:p>
        </w:tc>
        <w:tc>
          <w:tcPr>
            <w:tcW w:w="10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0.22%</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160" w:type="dxa"/>
            <w:vAlign w:val="bottom"/>
            <w:tcBorders>
              <w:bottom w:val="single" w:sz="8" w:color="CCEEFF"/>
            </w:tcBorders>
            <w:gridSpan w:val="8"/>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6,130,474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13,386,824</w:t>
            </w:r>
          </w:p>
        </w:tc>
        <w:tc>
          <w:tcPr>
            <w:tcW w:w="100" w:type="dxa"/>
            <w:vAlign w:val="bottom"/>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42106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2106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-882650</wp:posOffset>
            </wp:positionV>
            <wp:extent cx="41421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142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-2675255</wp:posOffset>
            </wp:positionV>
            <wp:extent cx="49225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225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-5641975</wp:posOffset>
            </wp:positionV>
            <wp:extent cx="33445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condensed consolidated financial statements.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18" w:right="239" w:bottom="1440" w:gutter="0" w:footer="0" w:header="0"/>
          <w:type w:val="continuous"/>
        </w:sectPr>
      </w:pPr>
    </w:p>
    <w:bookmarkStart w:id="13" w:name="page14"/>
    <w:bookmarkEnd w:id="13"/>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SCHEDULE OF INVESTMENTS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gridSpan w:val="6"/>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100" w:type="dxa"/>
            <w:vAlign w:val="bottom"/>
            <w:vMerge w:val="restart"/>
          </w:tcPr>
          <w:p>
            <w:pPr>
              <w:spacing w:after="0"/>
              <w:rPr>
                <w:sz w:val="13"/>
                <w:szCs w:val="13"/>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Headquarters/</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Initial</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3"/>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8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3"/>
                <w:szCs w:val="13"/>
                <w:color w:val="auto"/>
              </w:rPr>
            </w:pPr>
          </w:p>
        </w:tc>
        <w:tc>
          <w:tcPr>
            <w:tcW w:w="11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0" w:type="dxa"/>
            <w:vAlign w:val="bottom"/>
          </w:tcPr>
          <w:p>
            <w:pPr>
              <w:spacing w:after="0"/>
              <w:rPr>
                <w:sz w:val="1"/>
                <w:szCs w:val="1"/>
                <w:color w:val="auto"/>
              </w:rPr>
            </w:pPr>
          </w:p>
        </w:tc>
      </w:tr>
      <w:tr>
        <w:trPr>
          <w:trHeight w:val="195"/>
        </w:trPr>
        <w:tc>
          <w:tcPr>
            <w:tcW w:w="3340" w:type="dxa"/>
            <w:vAlign w:val="bottom"/>
            <w:tcBorders>
              <w:bottom w:val="single" w:sz="8" w:color="auto"/>
            </w:tcBorders>
            <w:gridSpan w:val="6"/>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28"/>
        </w:trPr>
        <w:tc>
          <w:tcPr>
            <w:tcW w:w="3440" w:type="dxa"/>
            <w:vAlign w:val="bottom"/>
            <w:gridSpan w:val="7"/>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NestGSV, Inc. (d/b/a GSV Labs, Inc.)</w:t>
            </w:r>
          </w:p>
        </w:tc>
        <w:tc>
          <w:tcPr>
            <w:tcW w:w="15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San Mateo, CA</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440" w:type="dxa"/>
            <w:vAlign w:val="bottom"/>
            <w:gridSpan w:val="7"/>
          </w:tcPr>
          <w:p>
            <w:pPr>
              <w:ind w:left="40"/>
              <w:spacing w:after="0"/>
              <w:rPr>
                <w:sz w:val="20"/>
                <w:szCs w:val="20"/>
                <w:color w:val="auto"/>
              </w:rPr>
            </w:pPr>
            <w:r>
              <w:rPr>
                <w:rFonts w:ascii="Times New Roman" w:cs="Times New Roman" w:eastAsia="Times New Roman" w:hAnsi="Times New Roman"/>
                <w:sz w:val="14"/>
                <w:szCs w:val="14"/>
                <w:color w:val="auto"/>
              </w:rPr>
              <w:t>Convertible Promissory Note 12% Due 12/31/2019***</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Global Innovation</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2/17/2016</w:t>
            </w:r>
          </w:p>
        </w:tc>
        <w:tc>
          <w:tcPr>
            <w:tcW w:w="3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936,525</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951,436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936,525</w:t>
            </w:r>
          </w:p>
        </w:tc>
        <w:tc>
          <w:tcPr>
            <w:tcW w:w="10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0.48 %</w:t>
            </w:r>
          </w:p>
        </w:tc>
        <w:tc>
          <w:tcPr>
            <w:tcW w:w="0" w:type="dxa"/>
            <w:vAlign w:val="bottom"/>
          </w:tcPr>
          <w:p>
            <w:pPr>
              <w:spacing w:after="0"/>
              <w:rPr>
                <w:sz w:val="1"/>
                <w:szCs w:val="1"/>
                <w:color w:val="auto"/>
              </w:rPr>
            </w:pPr>
          </w:p>
        </w:tc>
      </w:tr>
      <w:tr>
        <w:trPr>
          <w:trHeight w:val="162"/>
        </w:trPr>
        <w:tc>
          <w:tcPr>
            <w:tcW w:w="320" w:type="dxa"/>
            <w:vAlign w:val="bottom"/>
            <w:gridSpan w:val="2"/>
          </w:tcPr>
          <w:p>
            <w:pPr>
              <w:ind w:left="40"/>
              <w:spacing w:after="0"/>
              <w:rPr>
                <w:sz w:val="20"/>
                <w:szCs w:val="20"/>
                <w:color w:val="auto"/>
              </w:rPr>
            </w:pPr>
            <w:r>
              <w:rPr>
                <w:rFonts w:ascii="Times New Roman" w:cs="Times New Roman" w:eastAsia="Times New Roman" w:hAnsi="Times New Roman"/>
                <w:sz w:val="9"/>
                <w:szCs w:val="9"/>
                <w:color w:val="auto"/>
              </w:rPr>
              <w:t>(14)</w:t>
            </w: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Platform</w:t>
            </w:r>
          </w:p>
        </w:tc>
        <w:tc>
          <w:tcPr>
            <w:tcW w:w="1240" w:type="dxa"/>
            <w:vAlign w:val="bottom"/>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3440" w:type="dxa"/>
            <w:vAlign w:val="bottom"/>
            <w:gridSpan w:val="7"/>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shares, Series A-4</w:t>
            </w: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10/6/2014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3,720,424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4,904,498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4,960,553</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2.54 %</w:t>
            </w:r>
          </w:p>
        </w:tc>
        <w:tc>
          <w:tcPr>
            <w:tcW w:w="0" w:type="dxa"/>
            <w:vAlign w:val="bottom"/>
          </w:tcPr>
          <w:p>
            <w:pPr>
              <w:spacing w:after="0"/>
              <w:rPr>
                <w:sz w:val="1"/>
                <w:szCs w:val="1"/>
                <w:color w:val="auto"/>
              </w:rPr>
            </w:pPr>
          </w:p>
        </w:tc>
      </w:tr>
      <w:tr>
        <w:trPr>
          <w:trHeight w:val="252"/>
        </w:trPr>
        <w:tc>
          <w:tcPr>
            <w:tcW w:w="3440" w:type="dxa"/>
            <w:vAlign w:val="bottom"/>
            <w:gridSpan w:val="7"/>
          </w:tcPr>
          <w:p>
            <w:pPr>
              <w:ind w:left="40"/>
              <w:spacing w:after="0"/>
              <w:rPr>
                <w:sz w:val="20"/>
                <w:szCs w:val="20"/>
                <w:color w:val="auto"/>
              </w:rPr>
            </w:pPr>
            <w:r>
              <w:rPr>
                <w:rFonts w:ascii="Times New Roman" w:cs="Times New Roman" w:eastAsia="Times New Roman" w:hAnsi="Times New Roman"/>
                <w:sz w:val="14"/>
                <w:szCs w:val="14"/>
                <w:color w:val="auto"/>
              </w:rPr>
              <w:t>Preferred shares, Series A-3</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4/4/2014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1,561,625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2,005,730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1,735,134</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0.89 %</w:t>
            </w:r>
          </w:p>
        </w:tc>
        <w:tc>
          <w:tcPr>
            <w:tcW w:w="0" w:type="dxa"/>
            <w:vAlign w:val="bottom"/>
          </w:tcPr>
          <w:p>
            <w:pPr>
              <w:spacing w:after="0"/>
              <w:rPr>
                <w:sz w:val="1"/>
                <w:szCs w:val="1"/>
                <w:color w:val="auto"/>
              </w:rPr>
            </w:pPr>
          </w:p>
        </w:tc>
      </w:tr>
      <w:tr>
        <w:trPr>
          <w:trHeight w:val="275"/>
        </w:trPr>
        <w:tc>
          <w:tcPr>
            <w:tcW w:w="3440" w:type="dxa"/>
            <w:vAlign w:val="bottom"/>
            <w:gridSpan w:val="7"/>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shares, Series A-2</w:t>
            </w: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7/15/2013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450,001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605,500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300,000</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0.15 %</w:t>
            </w:r>
          </w:p>
        </w:tc>
        <w:tc>
          <w:tcPr>
            <w:tcW w:w="0" w:type="dxa"/>
            <w:vAlign w:val="bottom"/>
          </w:tcPr>
          <w:p>
            <w:pPr>
              <w:spacing w:after="0"/>
              <w:rPr>
                <w:sz w:val="1"/>
                <w:szCs w:val="1"/>
                <w:color w:val="auto"/>
              </w:rPr>
            </w:pPr>
          </w:p>
        </w:tc>
      </w:tr>
      <w:tr>
        <w:trPr>
          <w:trHeight w:val="265"/>
        </w:trPr>
        <w:tc>
          <w:tcPr>
            <w:tcW w:w="3440" w:type="dxa"/>
            <w:vAlign w:val="bottom"/>
            <w:gridSpan w:val="7"/>
          </w:tcPr>
          <w:p>
            <w:pPr>
              <w:ind w:left="40"/>
              <w:spacing w:after="0"/>
              <w:rPr>
                <w:sz w:val="20"/>
                <w:szCs w:val="20"/>
                <w:color w:val="auto"/>
              </w:rPr>
            </w:pPr>
            <w:r>
              <w:rPr>
                <w:rFonts w:ascii="Times New Roman" w:cs="Times New Roman" w:eastAsia="Times New Roman" w:hAnsi="Times New Roman"/>
                <w:sz w:val="14"/>
                <w:szCs w:val="14"/>
                <w:color w:val="auto"/>
              </w:rPr>
              <w:t>Preferred shares, Series A-1</w:t>
            </w: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5/25/2012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1,000,000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1,021,778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499,999</w:t>
            </w: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0.26 %</w:t>
            </w:r>
          </w:p>
        </w:tc>
        <w:tc>
          <w:tcPr>
            <w:tcW w:w="0" w:type="dxa"/>
            <w:vAlign w:val="bottom"/>
          </w:tcPr>
          <w:p>
            <w:pPr>
              <w:spacing w:after="0"/>
              <w:rPr>
                <w:sz w:val="1"/>
                <w:szCs w:val="1"/>
                <w:color w:val="auto"/>
              </w:rPr>
            </w:pPr>
          </w:p>
        </w:tc>
      </w:tr>
      <w:tr>
        <w:trPr>
          <w:trHeight w:val="275"/>
        </w:trPr>
        <w:tc>
          <w:tcPr>
            <w:tcW w:w="3440" w:type="dxa"/>
            <w:vAlign w:val="bottom"/>
            <w:gridSpan w:val="7"/>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Common shares</w:t>
            </w: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7/1/2014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200,000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3"/>
        </w:trPr>
        <w:tc>
          <w:tcPr>
            <w:tcW w:w="3440" w:type="dxa"/>
            <w:vAlign w:val="bottom"/>
            <w:gridSpan w:val="7"/>
          </w:tcPr>
          <w:p>
            <w:pPr>
              <w:ind w:left="40"/>
              <w:spacing w:after="0" w:line="153" w:lineRule="exact"/>
              <w:rPr>
                <w:sz w:val="20"/>
                <w:szCs w:val="20"/>
                <w:color w:val="auto"/>
              </w:rPr>
            </w:pPr>
            <w:r>
              <w:rPr>
                <w:rFonts w:ascii="Times New Roman" w:cs="Times New Roman" w:eastAsia="Times New Roman" w:hAnsi="Times New Roman"/>
                <w:sz w:val="14"/>
                <w:szCs w:val="14"/>
                <w:color w:val="auto"/>
              </w:rPr>
              <w:t>Preferred Warrants Series A-3, Strike Price $1.33,</w:t>
            </w: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4/4/2014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187,500</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10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26,250</w:t>
            </w:r>
          </w:p>
        </w:tc>
        <w:tc>
          <w:tcPr>
            <w:tcW w:w="1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0.01 %</w:t>
            </w:r>
          </w:p>
        </w:tc>
        <w:tc>
          <w:tcPr>
            <w:tcW w:w="0" w:type="dxa"/>
            <w:vAlign w:val="bottom"/>
          </w:tcPr>
          <w:p>
            <w:pPr>
              <w:spacing w:after="0"/>
              <w:rPr>
                <w:sz w:val="1"/>
                <w:szCs w:val="1"/>
                <w:color w:val="auto"/>
              </w:rPr>
            </w:pPr>
          </w:p>
        </w:tc>
      </w:tr>
      <w:tr>
        <w:trPr>
          <w:trHeight w:val="193"/>
        </w:trPr>
        <w:tc>
          <w:tcPr>
            <w:tcW w:w="3440" w:type="dxa"/>
            <w:vAlign w:val="bottom"/>
            <w:gridSpan w:val="7"/>
          </w:tcPr>
          <w:p>
            <w:pPr>
              <w:ind w:left="40"/>
              <w:spacing w:after="0"/>
              <w:rPr>
                <w:sz w:val="20"/>
                <w:szCs w:val="20"/>
                <w:color w:val="auto"/>
              </w:rPr>
            </w:pPr>
            <w:r>
              <w:rPr>
                <w:rFonts w:ascii="Times New Roman" w:cs="Times New Roman" w:eastAsia="Times New Roman" w:hAnsi="Times New Roman"/>
                <w:sz w:val="14"/>
                <w:szCs w:val="14"/>
                <w:color w:val="auto"/>
              </w:rPr>
              <w:t>Expiration Date 4/4/2021</w:t>
            </w:r>
            <w:r>
              <w:rPr>
                <w:rFonts w:ascii="Times New Roman" w:cs="Times New Roman" w:eastAsia="Times New Roman" w:hAnsi="Times New Roman"/>
                <w:sz w:val="8"/>
                <w:szCs w:val="8"/>
                <w:color w:val="auto"/>
              </w:rPr>
              <w:t>(14)</w:t>
            </w: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440" w:type="dxa"/>
            <w:vAlign w:val="bottom"/>
            <w:gridSpan w:val="7"/>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Preferred Warrants Series A-4, Strike Price $1.33,</w:t>
            </w: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10/6/2014</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500,000</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145,000</w:t>
            </w:r>
          </w:p>
        </w:tc>
        <w:tc>
          <w:tcPr>
            <w:tcW w:w="10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0.07 %</w:t>
            </w:r>
          </w:p>
        </w:tc>
        <w:tc>
          <w:tcPr>
            <w:tcW w:w="0" w:type="dxa"/>
            <w:vAlign w:val="bottom"/>
          </w:tcPr>
          <w:p>
            <w:pPr>
              <w:spacing w:after="0"/>
              <w:rPr>
                <w:sz w:val="1"/>
                <w:szCs w:val="1"/>
                <w:color w:val="auto"/>
              </w:rPr>
            </w:pPr>
          </w:p>
        </w:tc>
      </w:tr>
      <w:tr>
        <w:trPr>
          <w:trHeight w:val="198"/>
        </w:trPr>
        <w:tc>
          <w:tcPr>
            <w:tcW w:w="3440" w:type="dxa"/>
            <w:vAlign w:val="bottom"/>
            <w:gridSpan w:val="7"/>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Expiration Date 10/6/2021</w:t>
            </w:r>
            <w:r>
              <w:rPr>
                <w:rFonts w:ascii="Times New Roman" w:cs="Times New Roman" w:eastAsia="Times New Roman" w:hAnsi="Times New Roman"/>
                <w:sz w:val="8"/>
                <w:szCs w:val="8"/>
                <w:color w:val="auto"/>
              </w:rPr>
              <w:t>(14)</w:t>
            </w: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440" w:type="dxa"/>
            <w:vAlign w:val="bottom"/>
            <w:gridSpan w:val="7"/>
          </w:tcPr>
          <w:p>
            <w:pPr>
              <w:ind w:left="40"/>
              <w:spacing w:after="0" w:line="153" w:lineRule="exact"/>
              <w:rPr>
                <w:sz w:val="20"/>
                <w:szCs w:val="20"/>
                <w:color w:val="auto"/>
              </w:rPr>
            </w:pPr>
            <w:r>
              <w:rPr>
                <w:rFonts w:ascii="Times New Roman" w:cs="Times New Roman" w:eastAsia="Times New Roman" w:hAnsi="Times New Roman"/>
                <w:sz w:val="14"/>
                <w:szCs w:val="14"/>
                <w:color w:val="auto"/>
              </w:rPr>
              <w:t>Preferred Warrants Series A-4, Strike Price $1.33,</w:t>
            </w: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7/8/2016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250,000</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74,380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70,000</w:t>
            </w:r>
          </w:p>
        </w:tc>
        <w:tc>
          <w:tcPr>
            <w:tcW w:w="1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0.04 %</w:t>
            </w:r>
          </w:p>
        </w:tc>
        <w:tc>
          <w:tcPr>
            <w:tcW w:w="0" w:type="dxa"/>
            <w:vAlign w:val="bottom"/>
          </w:tcPr>
          <w:p>
            <w:pPr>
              <w:spacing w:after="0"/>
              <w:rPr>
                <w:sz w:val="1"/>
                <w:szCs w:val="1"/>
                <w:color w:val="auto"/>
              </w:rPr>
            </w:pPr>
          </w:p>
        </w:tc>
      </w:tr>
      <w:tr>
        <w:trPr>
          <w:trHeight w:val="193"/>
        </w:trPr>
        <w:tc>
          <w:tcPr>
            <w:tcW w:w="3440" w:type="dxa"/>
            <w:vAlign w:val="bottom"/>
            <w:gridSpan w:val="7"/>
          </w:tcPr>
          <w:p>
            <w:pPr>
              <w:ind w:left="40"/>
              <w:spacing w:after="0"/>
              <w:rPr>
                <w:sz w:val="20"/>
                <w:szCs w:val="20"/>
                <w:color w:val="auto"/>
              </w:rPr>
            </w:pPr>
            <w:r>
              <w:rPr>
                <w:rFonts w:ascii="Times New Roman" w:cs="Times New Roman" w:eastAsia="Times New Roman" w:hAnsi="Times New Roman"/>
                <w:sz w:val="14"/>
                <w:szCs w:val="14"/>
                <w:color w:val="auto"/>
              </w:rPr>
              <w:t>Expiration Date 7/18/2021</w:t>
            </w: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440" w:type="dxa"/>
            <w:vAlign w:val="bottom"/>
            <w:gridSpan w:val="7"/>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Preferred Warrants Series B, Strike Price $2.31,</w:t>
            </w: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11/29/2016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100,000</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29,275</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556</w:t>
            </w:r>
          </w:p>
        </w:tc>
        <w:tc>
          <w:tcPr>
            <w:tcW w:w="10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0" w:type="dxa"/>
            <w:vAlign w:val="bottom"/>
          </w:tcPr>
          <w:p>
            <w:pPr>
              <w:spacing w:after="0"/>
              <w:rPr>
                <w:sz w:val="1"/>
                <w:szCs w:val="1"/>
                <w:color w:val="auto"/>
              </w:rPr>
            </w:pPr>
          </w:p>
        </w:tc>
      </w:tr>
      <w:tr>
        <w:trPr>
          <w:trHeight w:val="198"/>
        </w:trPr>
        <w:tc>
          <w:tcPr>
            <w:tcW w:w="3440" w:type="dxa"/>
            <w:vAlign w:val="bottom"/>
            <w:gridSpan w:val="7"/>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Expiration Date 11/29/2021</w:t>
            </w: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440" w:type="dxa"/>
            <w:vAlign w:val="bottom"/>
            <w:gridSpan w:val="7"/>
          </w:tcPr>
          <w:p>
            <w:pPr>
              <w:ind w:left="40"/>
              <w:spacing w:after="0" w:line="153" w:lineRule="exact"/>
              <w:rPr>
                <w:sz w:val="20"/>
                <w:szCs w:val="20"/>
                <w:color w:val="auto"/>
              </w:rPr>
            </w:pPr>
            <w:r>
              <w:rPr>
                <w:rFonts w:ascii="Times New Roman" w:cs="Times New Roman" w:eastAsia="Times New Roman" w:hAnsi="Times New Roman"/>
                <w:sz w:val="14"/>
                <w:szCs w:val="14"/>
                <w:color w:val="auto"/>
              </w:rPr>
              <w:t>Preferred Warrant Series B, Strike Price $2.31,</w:t>
            </w: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5/29/2017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125,000</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70,379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694</w:t>
            </w:r>
          </w:p>
        </w:tc>
        <w:tc>
          <w:tcPr>
            <w:tcW w:w="1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0" w:type="dxa"/>
            <w:vAlign w:val="bottom"/>
          </w:tcPr>
          <w:p>
            <w:pPr>
              <w:spacing w:after="0"/>
              <w:rPr>
                <w:sz w:val="1"/>
                <w:szCs w:val="1"/>
                <w:color w:val="auto"/>
              </w:rPr>
            </w:pPr>
          </w:p>
        </w:tc>
      </w:tr>
      <w:tr>
        <w:trPr>
          <w:trHeight w:val="193"/>
        </w:trPr>
        <w:tc>
          <w:tcPr>
            <w:tcW w:w="3440" w:type="dxa"/>
            <w:vAlign w:val="bottom"/>
            <w:gridSpan w:val="7"/>
          </w:tcPr>
          <w:p>
            <w:pPr>
              <w:ind w:left="40"/>
              <w:spacing w:after="0"/>
              <w:rPr>
                <w:sz w:val="20"/>
                <w:szCs w:val="20"/>
                <w:color w:val="auto"/>
              </w:rPr>
            </w:pPr>
            <w:r>
              <w:rPr>
                <w:rFonts w:ascii="Times New Roman" w:cs="Times New Roman" w:eastAsia="Times New Roman" w:hAnsi="Times New Roman"/>
                <w:sz w:val="14"/>
                <w:szCs w:val="14"/>
                <w:color w:val="auto"/>
              </w:rPr>
              <w:t>Expiration Date 5/29/2022</w:t>
            </w: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440" w:type="dxa"/>
            <w:vAlign w:val="bottom"/>
            <w:gridSpan w:val="7"/>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Preferred Warrant Series B–Strike Price $2.31,</w:t>
            </w: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12/31/2018</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250,000</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5,080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0" w:type="dxa"/>
            <w:vAlign w:val="bottom"/>
          </w:tcPr>
          <w:p>
            <w:pPr>
              <w:spacing w:after="0"/>
              <w:rPr>
                <w:sz w:val="1"/>
                <w:szCs w:val="1"/>
                <w:color w:val="auto"/>
              </w:rPr>
            </w:pPr>
          </w:p>
        </w:tc>
      </w:tr>
      <w:tr>
        <w:trPr>
          <w:trHeight w:val="193"/>
        </w:trPr>
        <w:tc>
          <w:tcPr>
            <w:tcW w:w="3440" w:type="dxa"/>
            <w:vAlign w:val="bottom"/>
            <w:gridSpan w:val="7"/>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Expiration Date 12/31/2023</w:t>
            </w:r>
            <w:r>
              <w:rPr>
                <w:rFonts w:ascii="Times New Roman" w:cs="Times New Roman" w:eastAsia="Times New Roman" w:hAnsi="Times New Roman"/>
                <w:sz w:val="8"/>
                <w:szCs w:val="8"/>
                <w:color w:val="auto"/>
              </w:rPr>
              <w:t>(14)</w:t>
            </w: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tcPr>
          <w:p>
            <w:pPr>
              <w:spacing w:after="0"/>
              <w:rPr>
                <w:sz w:val="21"/>
                <w:szCs w:val="21"/>
                <w:color w:val="auto"/>
              </w:rPr>
            </w:pPr>
          </w:p>
        </w:tc>
        <w:tc>
          <w:tcPr>
            <w:tcW w:w="3400" w:type="dxa"/>
            <w:vAlign w:val="bottom"/>
            <w:tcBorders>
              <w:bottom w:val="single" w:sz="8" w:color="CCEEFF"/>
            </w:tcBorders>
            <w:gridSpan w:val="6"/>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4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9,669,056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8,679,711</w:t>
            </w: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4.44 %</w:t>
            </w:r>
          </w:p>
        </w:tc>
        <w:tc>
          <w:tcPr>
            <w:tcW w:w="0" w:type="dxa"/>
            <w:vAlign w:val="bottom"/>
          </w:tcPr>
          <w:p>
            <w:pPr>
              <w:spacing w:after="0"/>
              <w:rPr>
                <w:sz w:val="1"/>
                <w:szCs w:val="1"/>
                <w:color w:val="auto"/>
              </w:rPr>
            </w:pPr>
          </w:p>
        </w:tc>
      </w:tr>
      <w:tr>
        <w:trPr>
          <w:trHeight w:val="147"/>
        </w:trPr>
        <w:tc>
          <w:tcPr>
            <w:tcW w:w="3440" w:type="dxa"/>
            <w:vAlign w:val="bottom"/>
            <w:gridSpan w:val="7"/>
            <w:shd w:val="clear" w:color="auto" w:fill="CCEEFF"/>
          </w:tcPr>
          <w:p>
            <w:pPr>
              <w:ind w:left="40"/>
              <w:spacing w:after="0" w:line="147" w:lineRule="exact"/>
              <w:rPr>
                <w:sz w:val="20"/>
                <w:szCs w:val="20"/>
                <w:color w:val="auto"/>
              </w:rPr>
            </w:pPr>
            <w:r>
              <w:rPr>
                <w:rFonts w:ascii="Times New Roman" w:cs="Times New Roman" w:eastAsia="Times New Roman" w:hAnsi="Times New Roman"/>
                <w:sz w:val="14"/>
                <w:szCs w:val="14"/>
                <w:b w:val="1"/>
                <w:bCs w:val="1"/>
                <w:color w:val="auto"/>
              </w:rPr>
              <w:t>SPBRX, INC. (f/k/a GSV Sustainability Partners,</w:t>
            </w:r>
          </w:p>
        </w:tc>
        <w:tc>
          <w:tcPr>
            <w:tcW w:w="158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Woodside, CA</w:t>
            </w: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3"/>
              </w:rPr>
              <w:t>Inc.)</w:t>
            </w:r>
          </w:p>
        </w:tc>
        <w:tc>
          <w:tcPr>
            <w:tcW w:w="2740" w:type="dxa"/>
            <w:vAlign w:val="bottom"/>
            <w:tcBorders>
              <w:top w:val="single" w:sz="8" w:color="auto"/>
              <w:bottom w:val="single" w:sz="8" w:color="CCEEFF"/>
            </w:tcBorders>
            <w:gridSpan w:val="3"/>
            <w:shd w:val="clear" w:color="auto" w:fill="CCEEFF"/>
          </w:tcPr>
          <w:p>
            <w:pPr>
              <w:spacing w:after="0"/>
              <w:rPr>
                <w:sz w:val="12"/>
                <w:szCs w:val="12"/>
                <w:color w:val="auto"/>
              </w:rPr>
            </w:pPr>
          </w:p>
        </w:tc>
        <w:tc>
          <w:tcPr>
            <w:tcW w:w="38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1580" w:type="dxa"/>
            <w:vAlign w:val="bottom"/>
            <w:tcBorders>
              <w:top w:val="single" w:sz="8" w:color="CCEEFF"/>
              <w:bottom w:val="single" w:sz="8" w:color="CCEEFF"/>
            </w:tcBorders>
            <w:gridSpan w:val="2"/>
            <w:vMerge w:val="continue"/>
            <w:shd w:val="clear" w:color="auto" w:fill="CCEEFF"/>
          </w:tcPr>
          <w:p>
            <w:pPr>
              <w:spacing w:after="0"/>
              <w:rPr>
                <w:sz w:val="12"/>
                <w:szCs w:val="12"/>
                <w:color w:val="auto"/>
              </w:rPr>
            </w:pPr>
          </w:p>
        </w:tc>
        <w:tc>
          <w:tcPr>
            <w:tcW w:w="12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9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9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0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12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3440" w:type="dxa"/>
            <w:vAlign w:val="bottom"/>
            <w:gridSpan w:val="7"/>
          </w:tcPr>
          <w:p>
            <w:pPr>
              <w:ind w:left="40"/>
              <w:spacing w:after="0"/>
              <w:rPr>
                <w:sz w:val="20"/>
                <w:szCs w:val="20"/>
                <w:color w:val="auto"/>
              </w:rPr>
            </w:pPr>
            <w:r>
              <w:rPr>
                <w:rFonts w:ascii="Times New Roman" w:cs="Times New Roman" w:eastAsia="Times New Roman" w:hAnsi="Times New Roman"/>
                <w:sz w:val="14"/>
                <w:szCs w:val="14"/>
                <w:color w:val="auto"/>
              </w:rPr>
              <w:t>Preferred shares, Class A***</w:t>
            </w:r>
            <w:r>
              <w:rPr>
                <w:rFonts w:ascii="Times New Roman" w:cs="Times New Roman" w:eastAsia="Times New Roman" w:hAnsi="Times New Roman"/>
                <w:sz w:val="8"/>
                <w:szCs w:val="8"/>
                <w:color w:val="auto"/>
              </w:rPr>
              <w:t>(16)</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Clean Technology</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4/15/2014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14,300,000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7,151,412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750,198</w:t>
            </w: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0.38 %</w:t>
            </w:r>
          </w:p>
        </w:tc>
        <w:tc>
          <w:tcPr>
            <w:tcW w:w="0" w:type="dxa"/>
            <w:vAlign w:val="bottom"/>
          </w:tcPr>
          <w:p>
            <w:pPr>
              <w:spacing w:after="0"/>
              <w:rPr>
                <w:sz w:val="1"/>
                <w:szCs w:val="1"/>
                <w:color w:val="auto"/>
              </w:rPr>
            </w:pPr>
          </w:p>
        </w:tc>
      </w:tr>
      <w:tr>
        <w:trPr>
          <w:trHeight w:val="270"/>
        </w:trPr>
        <w:tc>
          <w:tcPr>
            <w:tcW w:w="3440" w:type="dxa"/>
            <w:vAlign w:val="bottom"/>
            <w:gridSpan w:val="7"/>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Common shares</w:t>
            </w: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4/15/2014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100,000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400" w:type="dxa"/>
            <w:vAlign w:val="bottom"/>
            <w:tcBorders>
              <w:bottom w:val="single" w:sz="8" w:color="CCEEFF"/>
            </w:tcBorders>
            <w:gridSpan w:val="6"/>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4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7,161,412</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750,198</w:t>
            </w:r>
          </w:p>
        </w:tc>
        <w:tc>
          <w:tcPr>
            <w:tcW w:w="100" w:type="dxa"/>
            <w:vAlign w:val="bottom"/>
            <w:tcBorders>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0.38 %</w:t>
            </w:r>
          </w:p>
        </w:tc>
        <w:tc>
          <w:tcPr>
            <w:tcW w:w="0" w:type="dxa"/>
            <w:vAlign w:val="bottom"/>
          </w:tcPr>
          <w:p>
            <w:pPr>
              <w:spacing w:after="0"/>
              <w:rPr>
                <w:sz w:val="1"/>
                <w:szCs w:val="1"/>
                <w:color w:val="auto"/>
              </w:rPr>
            </w:pPr>
          </w:p>
        </w:tc>
      </w:tr>
      <w:tr>
        <w:trPr>
          <w:trHeight w:val="323"/>
        </w:trPr>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340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Total Controlled</w:t>
            </w: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22,960,942</w:t>
            </w:r>
          </w:p>
        </w:tc>
        <w:tc>
          <w:tcPr>
            <w:tcW w:w="10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22,816,733</w:t>
            </w: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11.68 %</w:t>
            </w:r>
          </w:p>
        </w:tc>
        <w:tc>
          <w:tcPr>
            <w:tcW w:w="0" w:type="dxa"/>
            <w:vAlign w:val="bottom"/>
          </w:tcPr>
          <w:p>
            <w:pPr>
              <w:spacing w:after="0"/>
              <w:rPr>
                <w:sz w:val="1"/>
                <w:szCs w:val="1"/>
                <w:color w:val="auto"/>
              </w:rPr>
            </w:pPr>
          </w:p>
        </w:tc>
      </w:tr>
      <w:tr>
        <w:trPr>
          <w:trHeight w:val="343"/>
        </w:trPr>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0" w:type="dxa"/>
            <w:vAlign w:val="bottom"/>
          </w:tcPr>
          <w:p>
            <w:pPr>
              <w:spacing w:after="0"/>
              <w:rPr>
                <w:sz w:val="21"/>
                <w:szCs w:val="21"/>
                <w:color w:val="auto"/>
              </w:rPr>
            </w:pPr>
          </w:p>
        </w:tc>
        <w:tc>
          <w:tcPr>
            <w:tcW w:w="340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Total Portfolio Investments</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171,164,403</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198,815,829</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101.76 %</w:t>
            </w:r>
          </w:p>
        </w:tc>
        <w:tc>
          <w:tcPr>
            <w:tcW w:w="0" w:type="dxa"/>
            <w:vAlign w:val="bottom"/>
          </w:tcPr>
          <w:p>
            <w:pPr>
              <w:spacing w:after="0"/>
              <w:rPr>
                <w:sz w:val="1"/>
                <w:szCs w:val="1"/>
                <w:color w:val="auto"/>
              </w:rPr>
            </w:pPr>
          </w:p>
        </w:tc>
      </w:tr>
      <w:tr>
        <w:trPr>
          <w:trHeight w:val="329"/>
        </w:trPr>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4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U.S. Treasury</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34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U.S. Treasury bills, 0%, due 1/3/2019***</w:t>
            </w:r>
            <w:r>
              <w:rPr>
                <w:rFonts w:ascii="Times New Roman" w:cs="Times New Roman" w:eastAsia="Times New Roman" w:hAnsi="Times New Roman"/>
                <w:sz w:val="8"/>
                <w:szCs w:val="8"/>
                <w:color w:val="auto"/>
              </w:rPr>
              <w:t>(3)</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12/27/2018</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100,000,000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99,982,067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99,994,000</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51.18 %</w:t>
            </w:r>
          </w:p>
        </w:tc>
        <w:tc>
          <w:tcPr>
            <w:tcW w:w="0" w:type="dxa"/>
            <w:vAlign w:val="bottom"/>
          </w:tcPr>
          <w:p>
            <w:pPr>
              <w:spacing w:after="0"/>
              <w:rPr>
                <w:sz w:val="1"/>
                <w:szCs w:val="1"/>
                <w:color w:val="auto"/>
              </w:rPr>
            </w:pPr>
          </w:p>
        </w:tc>
      </w:tr>
      <w:tr>
        <w:trPr>
          <w:trHeight w:val="324"/>
        </w:trPr>
        <w:tc>
          <w:tcPr>
            <w:tcW w:w="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44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40" w:type="dxa"/>
            <w:vAlign w:val="bottom"/>
            <w:gridSpan w:val="7"/>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TOTAL INVESTMENTS</w:t>
            </w: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271,146,470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298,809,829</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152.94 %</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-1345565</wp:posOffset>
            </wp:positionV>
            <wp:extent cx="21094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condensed consolidated financial statements.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7" w:lineRule="exact"/>
        <w:rPr>
          <w:sz w:val="20"/>
          <w:szCs w:val="20"/>
          <w:color w:val="auto"/>
        </w:rPr>
      </w:pPr>
    </w:p>
    <w:p>
      <w:pPr>
        <w:jc w:val="both"/>
        <w:ind w:left="500" w:hanging="492"/>
        <w:spacing w:after="0" w:line="274" w:lineRule="auto"/>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All portfolio investments are non-control/non-affiliated and non-income-producing, unless otherwise identified. Equity investments are subject to lock-up restrictions upon their initial public offering (“IPO”). Preferred dividends are generally only payable when declared and paid by the portfolio company's board of directors. The Company’s and GSV Asset Management’s officers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of the Company's portfolio investments are restricted as to resale, unless otherwise noted, and were valued at fair value as</w:t>
      </w:r>
    </w:p>
    <w:p>
      <w:pPr>
        <w:spacing w:after="0" w:line="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determined in good faith by the Company’s Board of Directors. (Refer to "Note 2—Significant Accounting Policies—</w:t>
      </w:r>
      <w:r>
        <w:rPr>
          <w:rFonts w:ascii="Times New Roman" w:cs="Times New Roman" w:eastAsia="Times New Roman" w:hAnsi="Times New Roman"/>
          <w:sz w:val="16"/>
          <w:szCs w:val="16"/>
          <w:i w:val="1"/>
          <w:iCs w:val="1"/>
          <w:color w:val="auto"/>
        </w:rPr>
        <w:t>Investments at Fair Value</w:t>
      </w:r>
      <w:r>
        <w:rPr>
          <w:rFonts w:ascii="Times New Roman" w:cs="Times New Roman" w:eastAsia="Times New Roman" w:hAnsi="Times New Roman"/>
          <w:sz w:val="16"/>
          <w:szCs w:val="16"/>
          <w:color w:val="auto"/>
        </w:rPr>
        <w:t>").</w:t>
      </w:r>
    </w:p>
    <w:p>
      <w:pPr>
        <w:spacing w:after="0" w:line="28" w:lineRule="exact"/>
        <w:rPr>
          <w:sz w:val="20"/>
          <w:szCs w:val="20"/>
          <w:color w:val="auto"/>
        </w:rPr>
      </w:pPr>
    </w:p>
    <w:p>
      <w:pPr>
        <w:ind w:left="500" w:right="20" w:hanging="492"/>
        <w:spacing w:after="0" w:line="253" w:lineRule="auto"/>
        <w:tabs>
          <w:tab w:leader="none" w:pos="5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assets that GSV Capital Corp. believes do not represent “qualifying assets” under Section 55(a) of the Investment Company Act of 1940, as amended (the “1940 Act”). Of GSV Capital Corp.’s total investments as of December 31, 2018, 14.92% of its total investments are non-qualifying assets.</w:t>
      </w:r>
    </w:p>
    <w:p>
      <w:pPr>
        <w:ind w:left="500" w:hanging="492"/>
        <w:spacing w:after="0"/>
        <w:tabs>
          <w:tab w:leader="none" w:pos="5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is income-producing.</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8" w:right="239" w:bottom="1440" w:gutter="0" w:footer="0" w:header="0"/>
          <w:type w:val="continuous"/>
        </w:sectPr>
      </w:pPr>
    </w:p>
    <w:bookmarkStart w:id="14" w:name="page15"/>
    <w:bookmarkEnd w:id="14"/>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SCHEDULE OF INVESTMENTS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11" w:lineRule="exact"/>
        <w:rPr>
          <w:sz w:val="20"/>
          <w:szCs w:val="20"/>
          <w:color w:val="auto"/>
        </w:rPr>
      </w:pPr>
    </w:p>
    <w:p>
      <w:pPr>
        <w:jc w:val="both"/>
        <w:ind w:left="500" w:hanging="492"/>
        <w:spacing w:after="0" w:line="258" w:lineRule="auto"/>
        <w:tabs>
          <w:tab w:leader="none" w:pos="5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“Affiliate Investments” are investments in those companies that are “Affiliated Companies” of GSV Capital Corp., as defined in the 1940 Act. In general, a company is deemed to be an “Affiliate” of GSV Capital Corp. if GSV Capital Corp. owns 5% or more of the voting securities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securities with the right to elect directors) of such company. For the Schedule of Investments In, and Advances To, Affiliates, as required by SEC Regulation S-X, Rule 12-14, refer to “Note 4—Investments at Fair Value”.</w:t>
      </w:r>
    </w:p>
    <w:p>
      <w:pPr>
        <w:spacing w:after="0" w:line="154" w:lineRule="exact"/>
        <w:rPr>
          <w:rFonts w:ascii="Times New Roman" w:cs="Times New Roman" w:eastAsia="Times New Roman" w:hAnsi="Times New Roman"/>
          <w:sz w:val="16"/>
          <w:szCs w:val="16"/>
          <w:color w:val="auto"/>
        </w:rPr>
      </w:pPr>
    </w:p>
    <w:p>
      <w:pPr>
        <w:jc w:val="both"/>
        <w:ind w:left="500" w:hanging="492"/>
        <w:spacing w:after="0" w:line="258" w:lineRule="auto"/>
        <w:tabs>
          <w:tab w:leader="none" w:pos="5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“Control Investments” are investments in those companies that are “Controlled Companies” of GSV Capital Corp., as defined in the 1940 Act. In general, under the 1940 Act, the Company would “Control” a portfolio company if the Company owned more than 25% of its outstanding voting securities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securities with the right to elect directors) and/or had the power to exercise control over the management or policies of such portfolio company. For the Schedule of Investments In, and Advances To, Affiliates, as required by SEC Regulation S-X, Rule 12-14, refer to “Note 4—Investments at Fair Value”.</w:t>
      </w:r>
    </w:p>
    <w:p>
      <w:pPr>
        <w:spacing w:after="0" w:line="154"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Denotes an investment considered Level 1 or Level 2 and valued using observable inputs.</w:t>
      </w:r>
    </w:p>
    <w:p>
      <w:pPr>
        <w:spacing w:after="0" w:line="194"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2018, the investments noted had been placed on non-accrual status.</w:t>
      </w:r>
    </w:p>
    <w:p>
      <w:pPr>
        <w:spacing w:after="0" w:line="194"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GSV Capital Corp.’s investments in StormWind, LLC are held through GSV Capital Corp.'s wholly owned subsidiary, GSVC SW Holdings, Inc.</w:t>
      </w:r>
    </w:p>
    <w:p>
      <w:pPr>
        <w:spacing w:after="0" w:line="194" w:lineRule="exact"/>
        <w:rPr>
          <w:rFonts w:ascii="Times New Roman" w:cs="Times New Roman" w:eastAsia="Times New Roman" w:hAnsi="Times New Roman"/>
          <w:sz w:val="16"/>
          <w:szCs w:val="16"/>
          <w:color w:val="auto"/>
        </w:rPr>
      </w:pPr>
    </w:p>
    <w:p>
      <w:pPr>
        <w:jc w:val="both"/>
        <w:ind w:left="500" w:hanging="492"/>
        <w:spacing w:after="0" w:line="258" w:lineRule="auto"/>
        <w:tabs>
          <w:tab w:leader="none" w:pos="5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will accrue daily on the unpaid principal balance of the note. Interest began compounding annually on November 26, 2015. Accrued interest is not payable until the earlier of (a) the closing of a subsequent equity offering by CUX, Inc. (d/b/a CorpU), or (b) the maturity of the note. On October 31, 2018, GSV Capital Corp. agreed to extend the maturity of the Senior Subordinated Convertible Promissory Note to CUX, Inc. (d/b/a CorpU) until February 14, 2020, with a new interest rate of 10%. Accrued interest will continue to be compounded annually on November 26 of the current and each subsequent year until repaid.</w:t>
      </w:r>
    </w:p>
    <w:p>
      <w:pPr>
        <w:spacing w:after="0" w:line="154" w:lineRule="exact"/>
        <w:rPr>
          <w:rFonts w:ascii="Times New Roman" w:cs="Times New Roman" w:eastAsia="Times New Roman" w:hAnsi="Times New Roman"/>
          <w:sz w:val="16"/>
          <w:szCs w:val="16"/>
          <w:color w:val="auto"/>
        </w:rPr>
      </w:pPr>
    </w:p>
    <w:p>
      <w:pPr>
        <w:jc w:val="both"/>
        <w:ind w:left="500" w:hanging="492"/>
        <w:spacing w:after="0" w:line="255" w:lineRule="auto"/>
        <w:tabs>
          <w:tab w:leader="none" w:pos="5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March 14, 2018, as disclosed in its Amendment No. 1 to its Form F-1 Registration Statement filed in connection with its direct listing, Spotify Technology S.A. effectuated a 40:1 stock split of its ordinary shares, beneficiary certificates and any other of its outstanding securities. On April 3, 2018, Spotify Technology S.A., registered for resale up to 55,731,480 ordinary shares by the registered shareholders in a direct listing. GSV Capital Corp.'s common shares of Spotify Technology S.A. are considered unrestricted as they are not subject to restriction upon sale. At December 31, 2018, GSV Capital Corp. valued its common shares of Spotify Technology S.A. based on its December 31, 2018 closing price.</w:t>
      </w:r>
    </w:p>
    <w:p>
      <w:pPr>
        <w:spacing w:after="0" w:line="157" w:lineRule="exact"/>
        <w:rPr>
          <w:rFonts w:ascii="Times New Roman" w:cs="Times New Roman" w:eastAsia="Times New Roman" w:hAnsi="Times New Roman"/>
          <w:sz w:val="16"/>
          <w:szCs w:val="16"/>
          <w:color w:val="auto"/>
        </w:rPr>
      </w:pPr>
    </w:p>
    <w:p>
      <w:pPr>
        <w:jc w:val="both"/>
        <w:ind w:left="500" w:hanging="492"/>
        <w:spacing w:after="0" w:line="255" w:lineRule="auto"/>
        <w:tabs>
          <w:tab w:leader="none" w:pos="5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March 7, 2018, as disclosed in its Amendment No. 1 to its Form S-1 Registration Statement filed in connection with its initial public offering, Dropbox, Inc. effectuated a 1:1.5 reverse stock split of its capital stock. On March 23, 2018, Dropbox, Inc. priced its initial public offering for 26,822,409 Class A common shares at a price of $21.00 per share. Dropbox, Inc., also registered for resale up to 9,177,591 Class A common shares by the registered shareholders. As of August 23, 2018 GSV Capital Corp.'s shares of common stock in Dropbox, Inc. were no longer restricted. At December 31, 2018, GSV Capital Corp. valued its common shares of Dropbox, Inc. based on its December 31, 2018 closing price.</w:t>
      </w:r>
    </w:p>
    <w:p>
      <w:pPr>
        <w:spacing w:after="0" w:line="157" w:lineRule="exact"/>
        <w:rPr>
          <w:rFonts w:ascii="Times New Roman" w:cs="Times New Roman" w:eastAsia="Times New Roman" w:hAnsi="Times New Roman"/>
          <w:sz w:val="16"/>
          <w:szCs w:val="16"/>
          <w:color w:val="auto"/>
        </w:rPr>
      </w:pPr>
    </w:p>
    <w:p>
      <w:pPr>
        <w:jc w:val="both"/>
        <w:ind w:left="500" w:hanging="492"/>
        <w:spacing w:after="0" w:line="258" w:lineRule="auto"/>
        <w:tabs>
          <w:tab w:leader="none" w:pos="5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February 23, 2018, CUX, Inc. (d/b/a CorpU) agreed to extend the maturity of the GSV Capital Corp.'s Series D warrants until August 1, 2018. On July 31, 2018, CUX, Inc. (d/b/a CorpU) agreed to further extend the maturity of GSV Capital Corp.'s Series D warrants until November 26, 2018. On October 31, 2018 and in connection with the extension of the maturity date on the related debt investment, CUX, Inc. (d/b/a CorpU) agreed to further extend the maturity of GSV Capital Corp's Series D warrants until February 14, 2020.</w:t>
      </w:r>
    </w:p>
    <w:p>
      <w:pPr>
        <w:spacing w:after="0" w:line="154" w:lineRule="exact"/>
        <w:rPr>
          <w:rFonts w:ascii="Times New Roman" w:cs="Times New Roman" w:eastAsia="Times New Roman" w:hAnsi="Times New Roman"/>
          <w:sz w:val="16"/>
          <w:szCs w:val="16"/>
          <w:color w:val="auto"/>
        </w:rPr>
      </w:pPr>
    </w:p>
    <w:p>
      <w:pPr>
        <w:jc w:val="both"/>
        <w:ind w:left="500" w:hanging="492"/>
        <w:spacing w:after="0" w:line="260" w:lineRule="auto"/>
        <w:tabs>
          <w:tab w:leader="none" w:pos="5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January 31, 2018, the maturity date of the convertible promissory note to Declara, Inc. was extended an additional three months to April 30, 2018 and the interest rate on the convertible promissory note increased to 12% per annum (including 365 days for the purposes of accrual). On January 31, 2018 the convertible promissory note to Declara Inc. was placed on non-accrual status. On April 30, 2018, the Company deemed this investment to be in default based on Declara Inc.'s financial position.</w:t>
      </w:r>
    </w:p>
    <w:p>
      <w:pPr>
        <w:spacing w:after="0" w:line="342" w:lineRule="exact"/>
        <w:rPr>
          <w:rFonts w:ascii="Times New Roman" w:cs="Times New Roman" w:eastAsia="Times New Roman" w:hAnsi="Times New Roman"/>
          <w:sz w:val="16"/>
          <w:szCs w:val="16"/>
          <w:color w:val="auto"/>
        </w:rPr>
      </w:pPr>
    </w:p>
    <w:p>
      <w:pPr>
        <w:jc w:val="both"/>
        <w:ind w:left="500" w:hanging="492"/>
        <w:spacing w:after="0" w:line="278" w:lineRule="auto"/>
        <w:tabs>
          <w:tab w:leader="none" w:pos="5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Effe</w:t>
      </w:r>
      <w:r>
        <w:rPr>
          <w:rFonts w:ascii="Times New Roman" w:cs="Times New Roman" w:eastAsia="Times New Roman" w:hAnsi="Times New Roman"/>
          <w:sz w:val="16"/>
          <w:szCs w:val="16"/>
          <w:color w:val="auto"/>
        </w:rPr>
        <w:t>ctive April 9, 2018, the term of Ozy Media Inc.'s notes were extended through the issuance of a new convertible promissory note, which extended the maturity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of the existing notes to October 31, 2018 and then to December 31, 2018 once certain conditions were satisfied. Effective August 17, 2018, Ozy Media Inc. executed an additional debt amendment, which expanded its borrowing limit. In consideration for amending and restating the existing notes, the Company was issued warrants exercisable for 295,565 shares of Ozy Media Inc.'s common stock. Subsequent to December 31, 2018, Ozy Media Inc.'s obligations under its financing arrangements with the Company became past due.</w:t>
      </w:r>
    </w:p>
    <w:p>
      <w:pPr>
        <w:spacing w:after="0" w:line="155" w:lineRule="exact"/>
        <w:rPr>
          <w:rFonts w:ascii="Times New Roman" w:cs="Times New Roman" w:eastAsia="Times New Roman" w:hAnsi="Times New Roman"/>
          <w:sz w:val="16"/>
          <w:szCs w:val="16"/>
          <w:color w:val="auto"/>
        </w:rPr>
      </w:pPr>
    </w:p>
    <w:p>
      <w:pPr>
        <w:ind w:left="500" w:hanging="492"/>
        <w:spacing w:after="0" w:line="281" w:lineRule="auto"/>
        <w:tabs>
          <w:tab w:leader="none" w:pos="5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July 23, 2018, Knewton, Inc. issued an 8% unsecured convertible promissory amount with a principal amount of $134,405 and a maturity date of December 31, 2019 to GSV Capital Corp.</w:t>
      </w:r>
    </w:p>
    <w:p>
      <w:pPr>
        <w:spacing w:after="0" w:line="136"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June 15, 2018 GSV Capital Corp. exercised its 770,934 warrants to purchase shares of SharesPost, Inc.'s common stock, with a $0.13 strike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SUTTER ROCK CAPITAL CORP.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SCHEDULE OF INVESTMENTS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184" w:lineRule="exact"/>
        <w:rPr>
          <w:sz w:val="20"/>
          <w:szCs w:val="20"/>
          <w:color w:val="auto"/>
        </w:rPr>
      </w:pPr>
    </w:p>
    <w:p>
      <w:pPr>
        <w:jc w:val="both"/>
        <w:ind w:left="500" w:hanging="492"/>
        <w:spacing w:after="0" w:line="253" w:lineRule="auto"/>
        <w:tabs>
          <w:tab w:leader="none" w:pos="5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July 31, 2018, GSV Capital Corp agreed to extend the Convertible Promissory Note to NestGSV, Inc. (d/b/a GSV Labs, Inc.) until December 31, 2018, with a new interest rate of 12%. Previously accrued interest will be capitalized into the principal of the extended note. On December 31, 2018, GSV Capital Corp extended the maturity of the Convertible Promissory Note to December 31, 2019, compounded the previously accrued and then-outstanding interest and invested an additional $300,000. The Convertible Promissory Note continues to accrue interest at 12%. In consideration for the extension and additional investment, the 500,000 Series A-3 Preferred Warrants due April 4, 2019 and the 187,500 Series A-4 Preferred Warrants due October 6, 2019, were extended to April 4, 2021 and October 6, 2021, respectively. The Company also received an additional 250,000 Series B Preferred Warrants due December 31, 2023.</w:t>
      </w:r>
    </w:p>
    <w:p>
      <w:pPr>
        <w:spacing w:after="0" w:line="159" w:lineRule="exact"/>
        <w:rPr>
          <w:rFonts w:ascii="Times New Roman" w:cs="Times New Roman" w:eastAsia="Times New Roman" w:hAnsi="Times New Roman"/>
          <w:sz w:val="16"/>
          <w:szCs w:val="16"/>
          <w:color w:val="auto"/>
        </w:rPr>
      </w:pPr>
    </w:p>
    <w:p>
      <w:pPr>
        <w:ind w:left="500" w:right="20" w:hanging="492"/>
        <w:spacing w:after="0" w:line="281" w:lineRule="auto"/>
        <w:tabs>
          <w:tab w:leader="none" w:pos="5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June 8, 2018, Curious.com, Inc. completed a recapitalization and issued new Series C preferred shares. In connection with the offering, GSV Capital Corp.'s 3,407,834 Series B preferred shares were converted into common shares. Additionally, a 1:3 reverse stock split was declared on the now common shares.</w:t>
      </w:r>
    </w:p>
    <w:p>
      <w:pPr>
        <w:spacing w:after="0" w:line="136" w:lineRule="exact"/>
        <w:rPr>
          <w:rFonts w:ascii="Times New Roman" w:cs="Times New Roman" w:eastAsia="Times New Roman" w:hAnsi="Times New Roman"/>
          <w:sz w:val="16"/>
          <w:szCs w:val="16"/>
          <w:color w:val="auto"/>
        </w:rPr>
      </w:pPr>
    </w:p>
    <w:p>
      <w:pPr>
        <w:jc w:val="both"/>
        <w:ind w:left="500" w:hanging="492"/>
        <w:spacing w:after="0" w:line="263" w:lineRule="auto"/>
        <w:tabs>
          <w:tab w:leader="none" w:pos="5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SPBRX, INC. (f/k/a GSV Sustainability Partners, Inc.) preferred shares held by GSV Capital Corp. do not entitle GSV Capital Corp. to a preferred dividend rate. During the year ended December 31, 2018, SPBRX, INC. declared, and GSV Capital Corp. received, an aggregate of $625,000 in cash distributions. GSV Capital Corp. does not anticipate that SPBRX, INC. will pay distributions on a quarterly or regular basis or become a predictable distributor of distributions.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1—NATURE OF OPERATIONS</w:t>
      </w:r>
    </w:p>
    <w:p>
      <w:pPr>
        <w:spacing w:after="0" w:line="229"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Sutter Rock Capital Corp. (the “Company” or “Sutter Rock Capital”), formerly known as GSV Capital Corp. and formed in September 2010 as a Maryland corporation, is an internally-managed, non-diversified closed-end management investment company. The Company has elected to be regulated as a business development company (or "BDC") under the Investment Company Act of 1940, as amended (the “1940 Act”).</w:t>
      </w:r>
    </w:p>
    <w:p>
      <w:pPr>
        <w:spacing w:after="0" w:line="176" w:lineRule="exact"/>
        <w:rPr>
          <w:sz w:val="20"/>
          <w:szCs w:val="20"/>
          <w:color w:val="auto"/>
        </w:rPr>
      </w:pPr>
    </w:p>
    <w:p>
      <w:pPr>
        <w:jc w:val="both"/>
        <w:ind w:firstLine="351"/>
        <w:spacing w:after="0" w:line="256" w:lineRule="auto"/>
        <w:rPr>
          <w:sz w:val="20"/>
          <w:szCs w:val="20"/>
          <w:color w:val="auto"/>
        </w:rPr>
      </w:pPr>
      <w:r>
        <w:rPr>
          <w:rFonts w:ascii="Times New Roman" w:cs="Times New Roman" w:eastAsia="Times New Roman" w:hAnsi="Times New Roman"/>
          <w:sz w:val="18"/>
          <w:szCs w:val="18"/>
          <w:color w:val="auto"/>
        </w:rPr>
        <w:t>On and effective March 12, 2019, our Board of Directors approved internalizing our operating structure (the "Internalization") and we began operating as an internally-managed non-diversified closed-end management investment company that has elected to be regulated as a BDC under the 1940 Act. Prior to March 12, 2019, we were externally managed by our former investment adviser, GSV Asset Management, LLC (“GSV Asset Management”), pursuant to an investment advisory agreement (the “Investment Advisory Agreement”), and our former administrator, GSV Capital Service Company, LLC (“GSV Capital Service Company”), provided the administrative services necessary for our operations pursuant to an administration agreement (the “Administration Agreement”). Refer to "Note 3 — Related-Party Arrangements" for further detail.</w:t>
      </w:r>
    </w:p>
    <w:p>
      <w:pPr>
        <w:spacing w:after="0" w:line="188"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The Company’s date of inception was January 6, 2011, which is the date it commenced its development stage activities. The Company’s common stock is currently listed on the Nasdaq Capital Market under the symbol “SSSS” (formerly "GSVC"). The Company began its investment operations during the second quarter of 2011.</w:t>
      </w:r>
    </w:p>
    <w:p>
      <w:pPr>
        <w:spacing w:after="0" w:line="176"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The table below displays the Company’s subsidiaries as of June 30, 2019, which, other than GSV Capital Lending, LLC (“GCL”), are collectively referred to as the “GSVC Holdings.” The GSVC Holdings were formed to hold portfolio investments. The GSVC Holdings, including their associated portfolio investments, are consolidated with the Company for accounting purposes, but have elected to be treated as separate entities for U.S. federal income tax purposes. GCL was formed to originate portfolio loan investments within the state of California and is consolidated with the Company for accounting purposes. Refer to “Note 2—Significant Accounting Policies—</w:t>
      </w:r>
      <w:r>
        <w:rPr>
          <w:rFonts w:ascii="Times New Roman" w:cs="Times New Roman" w:eastAsia="Times New Roman" w:hAnsi="Times New Roman"/>
          <w:sz w:val="18"/>
          <w:szCs w:val="18"/>
          <w:i w:val="1"/>
          <w:iCs w:val="1"/>
          <w:color w:val="auto"/>
        </w:rPr>
        <w:t>Basis of Consolidation</w:t>
      </w:r>
      <w:r>
        <w:rPr>
          <w:rFonts w:ascii="Times New Roman" w:cs="Times New Roman" w:eastAsia="Times New Roman" w:hAnsi="Times New Roman"/>
          <w:sz w:val="18"/>
          <w:szCs w:val="18"/>
          <w:color w:val="auto"/>
        </w:rPr>
        <w:t>” below for further detail.</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20" w:type="dxa"/>
            <w:vAlign w:val="bottom"/>
            <w:vMerge w:val="restart"/>
          </w:tcPr>
          <w:p>
            <w:pPr>
              <w:spacing w:after="0"/>
              <w:rPr>
                <w:sz w:val="13"/>
                <w:szCs w:val="13"/>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Jurisdiction of</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Formation</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95"/>
        </w:trPr>
        <w:tc>
          <w:tcPr>
            <w:tcW w:w="6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12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249"/>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GCL</w:t>
            </w:r>
          </w:p>
        </w:tc>
        <w:tc>
          <w:tcPr>
            <w:tcW w:w="1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Delaware</w:t>
            </w:r>
          </w:p>
        </w:tc>
        <w:tc>
          <w:tcPr>
            <w:tcW w:w="21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April 13, 2012</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7"/>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Subsidiaries below are referred to collectively, as the “GSVC Holdings”</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GSVC AE Holdings, Inc. (“GAE”)</w:t>
            </w:r>
          </w:p>
        </w:tc>
        <w:tc>
          <w:tcPr>
            <w:tcW w:w="1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Delaware</w:t>
            </w:r>
          </w:p>
        </w:tc>
        <w:tc>
          <w:tcPr>
            <w:tcW w:w="2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November 28, 2012</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43"/>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GSVC AV Holdings, Inc. (“GAV”)</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Delaware</w:t>
            </w:r>
          </w:p>
        </w:tc>
        <w:tc>
          <w:tcPr>
            <w:tcW w:w="2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November 28, 2012</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GSVC NG Holdings, Inc. (“GNG”)</w:t>
            </w:r>
          </w:p>
        </w:tc>
        <w:tc>
          <w:tcPr>
            <w:tcW w:w="1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Delaware</w:t>
            </w:r>
          </w:p>
        </w:tc>
        <w:tc>
          <w:tcPr>
            <w:tcW w:w="2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November 28, 2012</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43"/>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GSVC SW Holdings, Inc. (“GSW”)</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Delaware</w:t>
            </w:r>
          </w:p>
        </w:tc>
        <w:tc>
          <w:tcPr>
            <w:tcW w:w="2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November 28, 2012</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GSVC WS Holdings, Inc. (“GWS”)</w:t>
            </w:r>
          </w:p>
        </w:tc>
        <w:tc>
          <w:tcPr>
            <w:tcW w:w="1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Delaware</w:t>
            </w:r>
          </w:p>
        </w:tc>
        <w:tc>
          <w:tcPr>
            <w:tcW w:w="2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November 28, 2012</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43"/>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GSVC SVDS Holdings, Inc. (“SVDS”)</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Delaware</w:t>
            </w:r>
          </w:p>
        </w:tc>
        <w:tc>
          <w:tcPr>
            <w:tcW w:w="2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August 13, 2013</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The Company’s investment objective is to maximize its portfolio’s total return, principally by seeking capital gains on its equity and equity-related investments. The Company invests principally in the equity securities of what it believes to be rapidly growing venture-capital-backed emerging companies. The Company may acquire its investments in these portfolio companies through: offerings of the prospective portfolio companies, transactions on secondary marketplaces for private companies, or negotiations with selling stockholders. The Company may also invest on an opportunistic basis in select publicly traded equity securities or certain non-U.S. companies that otherwise meet its investment criteria, subject to any applicable limitations under the 1940 Act.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firstLine="351"/>
        <w:spacing w:after="0" w:line="256" w:lineRule="auto"/>
        <w:rPr>
          <w:sz w:val="20"/>
          <w:szCs w:val="20"/>
          <w:color w:val="auto"/>
        </w:rPr>
      </w:pPr>
      <w:r>
        <w:rPr>
          <w:rFonts w:ascii="Times New Roman" w:cs="Times New Roman" w:eastAsia="Times New Roman" w:hAnsi="Times New Roman"/>
          <w:sz w:val="18"/>
          <w:szCs w:val="18"/>
          <w:color w:val="auto"/>
        </w:rPr>
        <w:t>The interim unaudited condensed consolidated financial statements of the Company are prepared on the accrual basis of accounting in conformity with U.S. generally accepted accounting principles (“GAAP”) and pursuant to the requirements for reporting on Form 10-Q and Regulation S-X under the Securities Exchange Act of 1934, as amended (the “Exchange Act”). The Company is an investment company following the specialized accounting and reporting guidance specified in the Financial Accounting Standards Board’s (“FASB”) Accounting Standards Codification (“ASC”) Topic 946, Financial Services—Investment Companies. In the opinion of management, all adjustments, all of which were of a normal recurring nature, considered necessary for the fair presentation of consolidated financial statements for the interim period have been included.</w:t>
      </w:r>
    </w:p>
    <w:p>
      <w:pPr>
        <w:spacing w:after="0" w:line="188"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The results of operations for the current interim period are not necessarily indicative of results that ultimately may be achieved for any other interim period or for the year ending December 31, 2019. The interim unaudited condensed consolidated financial statements and notes hereto should be read in conjunction with the audited consolidated financial statements and notes thereto contained in the Company’s annual report on Form 10-K for the year ended December 31, 2018.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Consolidation</w:t>
      </w:r>
    </w:p>
    <w:p>
      <w:pPr>
        <w:spacing w:after="0" w:line="229"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Under Article 6 of Regulation S-X and the American Institute of Certified Public Accountants’ (“AICPA”) Audit and Accounting Guide for Investment Companies, the Company is precluded from consolidating any entity other than another investment company, a controlled operating company that provides substantially all of its services and benefits to the Company, and certain entities established for tax purposes where the Company holds a 100% interest. Accordingly, the Company’s consolidated financial statements include its accounts and the accounts of the GSVC Holdings and GCL, its wholly-owned subsidiaries. All intercompany balances and transactions have been eliminated in consolidation.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accordance with GAAP requires the Company’s management to make a number of significant estimates. These include estimates of the fair value of certain assets and liabilities and other estimates that affect the reported amounts of certain assets and liabilities as of the date of the consolidated financial statements and the reported amounts of certain revenues and expenses during the reporting period. It is likely that changes in these estimates will occur in the near term. The Company’s estimates are inherently subjective in nature and actual results could differ materially from such estimates.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Uncertainties and Risk Factors</w:t>
      </w:r>
    </w:p>
    <w:p>
      <w:pPr>
        <w:spacing w:after="0" w:line="229"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The Company is subject to a number of risks and uncertainties in the nature of its operations, as well as vulnerability due to certain concentrations. Refer to "Risk Factors” in Part II, Item 1A of this Form 10-Q for a detailed discussion of the risks and uncertainties inherent in the nature of the Company’s operations. Refer to “Note 4—Investments at Fair Value” for an overview of the Company’s industry and geographic concentrations.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at Fair Value</w:t>
      </w:r>
    </w:p>
    <w:p>
      <w:pPr>
        <w:spacing w:after="0" w:line="229" w:lineRule="exact"/>
        <w:rPr>
          <w:sz w:val="20"/>
          <w:szCs w:val="20"/>
          <w:color w:val="auto"/>
        </w:rPr>
      </w:pPr>
    </w:p>
    <w:p>
      <w:pPr>
        <w:jc w:val="both"/>
        <w:ind w:firstLine="351"/>
        <w:spacing w:after="0" w:line="282" w:lineRule="auto"/>
        <w:rPr>
          <w:sz w:val="20"/>
          <w:szCs w:val="20"/>
          <w:color w:val="auto"/>
        </w:rPr>
      </w:pPr>
      <w:r>
        <w:rPr>
          <w:rFonts w:ascii="Times New Roman" w:cs="Times New Roman" w:eastAsia="Times New Roman" w:hAnsi="Times New Roman"/>
          <w:sz w:val="18"/>
          <w:szCs w:val="18"/>
          <w:color w:val="auto"/>
        </w:rPr>
        <w:t>The Company applies fair value accounting in accordance with GAAP and the AICPA’s Audit and Accounting Guide for Investment Companies. The Company values its assets on a quarterly basis, or more frequently if required under the 1940 Act.</w:t>
      </w:r>
    </w:p>
    <w:p>
      <w:pPr>
        <w:spacing w:after="0" w:line="162"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GAAP establishes a framework for measuring fair value that includes a hierarchy used to classify the inputs used in measuring fair value. The hierarchy prioritizes the inputs to valuation techniques used to measure fair value into three levels. The level in the fair value hierarchy within which the fair value measurement falls is determined based on the lowest level input that is significant to the fair value measurement. The levels of the fair value hierarchy are as follows: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200" w:lineRule="exact"/>
        <w:rPr>
          <w:sz w:val="20"/>
          <w:szCs w:val="20"/>
          <w:color w:val="auto"/>
        </w:rPr>
      </w:pPr>
    </w:p>
    <w:p>
      <w:pPr>
        <w:spacing w:after="0" w:line="246" w:lineRule="exact"/>
        <w:rPr>
          <w:sz w:val="20"/>
          <w:szCs w:val="20"/>
          <w:color w:val="auto"/>
        </w:rPr>
      </w:pPr>
    </w:p>
    <w:p>
      <w:pPr>
        <w:jc w:val="both"/>
        <w:ind w:right="20" w:firstLine="351"/>
        <w:spacing w:after="0" w:line="286" w:lineRule="auto"/>
        <w:rPr>
          <w:sz w:val="20"/>
          <w:szCs w:val="20"/>
          <w:color w:val="auto"/>
        </w:rPr>
      </w:pPr>
      <w:r>
        <w:rPr>
          <w:rFonts w:ascii="Times New Roman" w:cs="Times New Roman" w:eastAsia="Times New Roman" w:hAnsi="Times New Roman"/>
          <w:sz w:val="18"/>
          <w:szCs w:val="18"/>
          <w:b w:val="1"/>
          <w:bCs w:val="1"/>
          <w:color w:val="auto"/>
        </w:rPr>
        <w:t>Level 1</w:t>
      </w:r>
      <w:r>
        <w:rPr>
          <w:rFonts w:ascii="Times New Roman" w:cs="Times New Roman" w:eastAsia="Times New Roman" w:hAnsi="Times New Roman"/>
          <w:sz w:val="18"/>
          <w:szCs w:val="18"/>
          <w:color w:val="auto"/>
        </w:rPr>
        <w:t>—Valuations based on unadjusted quoted prices for identical assets or liabilities in an active market that the Company has the ability to access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measurement date.</w:t>
      </w:r>
    </w:p>
    <w:p>
      <w:pPr>
        <w:spacing w:after="0" w:line="155" w:lineRule="exact"/>
        <w:rPr>
          <w:sz w:val="20"/>
          <w:szCs w:val="20"/>
          <w:color w:val="auto"/>
        </w:rPr>
      </w:pPr>
    </w:p>
    <w:p>
      <w:pPr>
        <w:jc w:val="both"/>
        <w:ind w:firstLine="351"/>
        <w:spacing w:after="0" w:line="268" w:lineRule="auto"/>
        <w:rPr>
          <w:sz w:val="20"/>
          <w:szCs w:val="20"/>
          <w:color w:val="auto"/>
        </w:rPr>
      </w:pPr>
      <w:r>
        <w:rPr>
          <w:rFonts w:ascii="Times New Roman" w:cs="Times New Roman" w:eastAsia="Times New Roman" w:hAnsi="Times New Roman"/>
          <w:sz w:val="18"/>
          <w:szCs w:val="18"/>
          <w:b w:val="1"/>
          <w:bCs w:val="1"/>
          <w:color w:val="auto"/>
        </w:rPr>
        <w:t>Level 2</w:t>
      </w:r>
      <w:r>
        <w:rPr>
          <w:rFonts w:ascii="Times New Roman" w:cs="Times New Roman" w:eastAsia="Times New Roman" w:hAnsi="Times New Roman"/>
          <w:sz w:val="18"/>
          <w:szCs w:val="18"/>
          <w:color w:val="auto"/>
        </w:rPr>
        <w:t>—Valuations based on observable inputs other than Level 1 prices, such as quoted prices for similar assets or liabilities; quoted prices in markets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are not active; or other inputs that are observable or can be corroborated by observable market data at the measurement date for substantially the full term of the assets or liabilities.</w:t>
      </w:r>
    </w:p>
    <w:p>
      <w:pPr>
        <w:spacing w:after="0" w:line="171" w:lineRule="exact"/>
        <w:rPr>
          <w:sz w:val="20"/>
          <w:szCs w:val="20"/>
          <w:color w:val="auto"/>
        </w:rPr>
      </w:pPr>
    </w:p>
    <w:p>
      <w:pPr>
        <w:jc w:val="both"/>
        <w:ind w:firstLine="351"/>
        <w:spacing w:after="0" w:line="268" w:lineRule="auto"/>
        <w:rPr>
          <w:sz w:val="20"/>
          <w:szCs w:val="20"/>
          <w:color w:val="auto"/>
        </w:rPr>
      </w:pPr>
      <w:r>
        <w:rPr>
          <w:rFonts w:ascii="Times New Roman" w:cs="Times New Roman" w:eastAsia="Times New Roman" w:hAnsi="Times New Roman"/>
          <w:sz w:val="18"/>
          <w:szCs w:val="18"/>
          <w:b w:val="1"/>
          <w:bCs w:val="1"/>
          <w:color w:val="auto"/>
        </w:rPr>
        <w:t>Level 3</w:t>
      </w:r>
      <w:r>
        <w:rPr>
          <w:rFonts w:ascii="Times New Roman" w:cs="Times New Roman" w:eastAsia="Times New Roman" w:hAnsi="Times New Roman"/>
          <w:sz w:val="18"/>
          <w:szCs w:val="18"/>
          <w:color w:val="auto"/>
        </w:rPr>
        <w:t>—Valuations based on unobservable inputs that reflect management’s best estimate of what market participants would use in pricing the asset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liability at the measurement date. Consideration is given to the risk inherent in the valuation technique and the risk inherent in the inputs to the model. The majority of the Company’s investments are Level 3 investments and are subject to a high degree of judgment and uncertainty in determining fair value.</w:t>
      </w:r>
    </w:p>
    <w:p>
      <w:pPr>
        <w:spacing w:after="0" w:line="175"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 Therefore, gains and losses for such assets and liabilities categorized within the Level 3 table set forth in “Note 4—Investments at Fair Value” may include changes in fair value that are attributable to both observable inputs (Levels 1 and 2) and unobservable inputs (Level 3).</w:t>
      </w:r>
    </w:p>
    <w:p>
      <w:pPr>
        <w:spacing w:after="0" w:line="184"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A review of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in/out of the Level 3 category as of the beginning of the measurement period in which the reclassifications occur. Refer to “Levelling Policy” below for a detailed discussion of the levelling of the Company’s financial assets or liabilities and events that may cause a reclassification within the fair value hierarchy.</w:t>
      </w:r>
    </w:p>
    <w:p>
      <w:pPr>
        <w:spacing w:after="0" w:line="180" w:lineRule="exact"/>
        <w:rPr>
          <w:sz w:val="20"/>
          <w:szCs w:val="20"/>
          <w:color w:val="auto"/>
        </w:rPr>
      </w:pPr>
    </w:p>
    <w:p>
      <w:pPr>
        <w:jc w:val="both"/>
        <w:ind w:firstLine="351"/>
        <w:spacing w:after="0" w:line="256" w:lineRule="auto"/>
        <w:rPr>
          <w:sz w:val="20"/>
          <w:szCs w:val="20"/>
          <w:color w:val="auto"/>
        </w:rPr>
      </w:pPr>
      <w:r>
        <w:rPr>
          <w:rFonts w:ascii="Times New Roman" w:cs="Times New Roman" w:eastAsia="Times New Roman" w:hAnsi="Times New Roman"/>
          <w:sz w:val="18"/>
          <w:szCs w:val="18"/>
          <w:color w:val="auto"/>
        </w:rPr>
        <w:t>Securities for which market quotations are readily available on an exchange are valued at the most recently available closing price of such security as of the valuation date, unless there are legal or contractual restrictions on the sale or use of such security that under ASC 820-10-35 should be incorporated into the security’s fair value measurement as a characteristic of the security that would transfer to market participants who would buy the security. The Company may also obtain quotes with respect to certain of its investments from pricing services, brokers or dealers in order to value assets. When doing so, the Company determines whether the quote obtained is sufficient according to GAAP to determine the fair value of the security. If determined to be adequate, the Company uses the quote obtained.</w:t>
      </w:r>
    </w:p>
    <w:p>
      <w:pPr>
        <w:spacing w:after="0" w:line="188"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Securities for which reliable market quotations are not readily available or for which the pricing source does not provide a valuation or methodology, or provides a valuation or methodology that, in the judgment of management, our Board of Directors or the valuation committee of the Company’s Board of Directors (the “Valuation Committee”), does not reliably represent fair value, shall each be valued as follows:</w:t>
      </w:r>
    </w:p>
    <w:p>
      <w:pPr>
        <w:spacing w:after="0" w:line="176" w:lineRule="exact"/>
        <w:rPr>
          <w:sz w:val="20"/>
          <w:szCs w:val="20"/>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valuation process begins with each portfolio company or investment being initially valued by the investment professionals responsible for the portfolio investment;</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valuation conclusions are then documented and discussed with senior management;</w:t>
      </w:r>
    </w:p>
    <w:p>
      <w:pPr>
        <w:spacing w:after="0" w:line="26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independent third-party valuation firm is engaged by the Valuation Committee to conduct independent appraisals and review management’s preliminary valuations and make its own independent assessment, for all investments for which there are no readily available market quotations;</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Committee discusses the valuations and recommends to the Company’s Board of Directors a fair value for each investment in the portfolio based on the input of management and the independent third-party valuation firm; and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234" w:lineRule="exact"/>
        <w:rPr>
          <w:sz w:val="20"/>
          <w:szCs w:val="20"/>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Board of Directors then discusses the valuations recommended by the Valuation Committee and determines in good faith the fair value of each investment in the portfolio.</w:t>
      </w:r>
    </w:p>
    <w:p>
      <w:pPr>
        <w:spacing w:after="0" w:line="202" w:lineRule="exact"/>
        <w:rPr>
          <w:sz w:val="20"/>
          <w:szCs w:val="20"/>
          <w:color w:val="auto"/>
        </w:rPr>
      </w:pPr>
    </w:p>
    <w:p>
      <w:pPr>
        <w:jc w:val="both"/>
        <w:ind w:firstLine="351"/>
        <w:spacing w:after="0" w:line="256" w:lineRule="auto"/>
        <w:rPr>
          <w:sz w:val="20"/>
          <w:szCs w:val="20"/>
          <w:color w:val="auto"/>
        </w:rPr>
      </w:pPr>
      <w:r>
        <w:rPr>
          <w:rFonts w:ascii="Times New Roman" w:cs="Times New Roman" w:eastAsia="Times New Roman" w:hAnsi="Times New Roman"/>
          <w:sz w:val="18"/>
          <w:szCs w:val="18"/>
          <w:color w:val="auto"/>
        </w:rPr>
        <w:t>In making a good faith determination of the fair value of investments, the Company considers valuation methodologies consistent with industry practice. Valuation methods utilized include, but are not limited to the following: comparisons to prices from secondary market transactions; venture capital financings; public offerings; purchase or sales transactions; as well as analysis of financial ratios and valuation metrics of the portfolio companies that issued such private equity securities to peer companies that are public, analysis of the portfolio companies’ most recent financial statements and forecasts, and the markets in which the portfolio company does business, and other relevant factors. The Company assigns a weighting based upon the relevance of each method to determine the fair value of each investment.</w:t>
      </w:r>
    </w:p>
    <w:p>
      <w:pPr>
        <w:spacing w:after="0" w:line="188"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For investments that are not publicly traded or that do not have readily available market quotations, the Valuation Committee generally engages an independent valuation firm to provide an independent valuation, which the Company’s Board of Directors considers, among other factors, in making its fair value determinations for these investments. For the current and prior fiscal year, the Valuation Committee engaged an independent valuation firm to perform valuations of 100% of the Company’s investments for which there were no readily available market quotations.</w:t>
      </w:r>
    </w:p>
    <w:p>
      <w:pPr>
        <w:spacing w:after="0" w:line="180"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Due to the inherent uncertainty of determining the fair value of investments that do not have a readily available market value, the fair value of the Company’s investments may fluctuate from period to period. Because of the inherent uncertainty of valuation, these estimated values may differ significantly from the values that would have been reported had a ready market for the investments existed, and it is reasonably possible that the difference could be material.</w:t>
      </w:r>
    </w:p>
    <w:p>
      <w:pPr>
        <w:spacing w:after="0" w:line="180" w:lineRule="exact"/>
        <w:rPr>
          <w:sz w:val="20"/>
          <w:szCs w:val="20"/>
          <w:color w:val="auto"/>
        </w:rPr>
      </w:pPr>
    </w:p>
    <w:p>
      <w:pPr>
        <w:jc w:val="both"/>
        <w:ind w:right="20" w:firstLine="351"/>
        <w:spacing w:after="0" w:line="282" w:lineRule="auto"/>
        <w:rPr>
          <w:sz w:val="20"/>
          <w:szCs w:val="20"/>
          <w:color w:val="auto"/>
        </w:rPr>
      </w:pPr>
      <w:r>
        <w:rPr>
          <w:rFonts w:ascii="Times New Roman" w:cs="Times New Roman" w:eastAsia="Times New Roman" w:hAnsi="Times New Roman"/>
          <w:sz w:val="18"/>
          <w:szCs w:val="18"/>
          <w:color w:val="auto"/>
        </w:rPr>
        <w:t>In addition, changes in the market environment and other events that may occur over the life of the investments may cause the realized gains or losses on investments to be different from the net change in unrealized appreciation or depreciation currently reflected in the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Investments</w:t>
      </w:r>
    </w:p>
    <w:p>
      <w:pPr>
        <w:spacing w:after="0" w:line="229" w:lineRule="exact"/>
        <w:rPr>
          <w:sz w:val="20"/>
          <w:szCs w:val="20"/>
          <w:color w:val="auto"/>
        </w:rPr>
      </w:pPr>
    </w:p>
    <w:p>
      <w:pPr>
        <w:jc w:val="both"/>
        <w:ind w:firstLine="351"/>
        <w:spacing w:after="0" w:line="256" w:lineRule="auto"/>
        <w:rPr>
          <w:sz w:val="20"/>
          <w:szCs w:val="20"/>
          <w:color w:val="auto"/>
        </w:rPr>
      </w:pPr>
      <w:r>
        <w:rPr>
          <w:rFonts w:ascii="Times New Roman" w:cs="Times New Roman" w:eastAsia="Times New Roman" w:hAnsi="Times New Roman"/>
          <w:sz w:val="18"/>
          <w:szCs w:val="18"/>
          <w:color w:val="auto"/>
        </w:rPr>
        <w:t>Equity investments for which market quotations are readily available in an active market are generally valued at the most recently available closing market prices and are classified as Level 1 assets. Equity investments with readily available market quotations that are subject to sales restrictions due to an initial public offering (“IPO”) by the portfolio company will be classified as Level 1. Any other equity investments with readily available market quotations that are subject to sales restrictions that would transfer to market participants who would buy the security may be valued at a discount for a lack of marketability (“DLOM”), to the most recently available closing market prices depending upon the nature of the sales restriction. These investments are generally classified as Level 2 assets. The DLOM used is generally based upon the market value of publicly traded put options with similar terms.</w:t>
      </w:r>
    </w:p>
    <w:p>
      <w:pPr>
        <w:spacing w:after="0" w:line="188" w:lineRule="exact"/>
        <w:rPr>
          <w:sz w:val="20"/>
          <w:szCs w:val="20"/>
          <w:color w:val="auto"/>
        </w:rPr>
      </w:pPr>
    </w:p>
    <w:p>
      <w:pPr>
        <w:jc w:val="both"/>
        <w:ind w:firstLine="351"/>
        <w:spacing w:after="0" w:line="255" w:lineRule="auto"/>
        <w:rPr>
          <w:sz w:val="20"/>
          <w:szCs w:val="20"/>
          <w:color w:val="auto"/>
        </w:rPr>
      </w:pPr>
      <w:r>
        <w:rPr>
          <w:rFonts w:ascii="Times New Roman" w:cs="Times New Roman" w:eastAsia="Times New Roman" w:hAnsi="Times New Roman"/>
          <w:sz w:val="18"/>
          <w:szCs w:val="18"/>
          <w:color w:val="auto"/>
        </w:rPr>
        <w:t>The fair values of the Company’s equity investments for which market quotations are not readily available are determined based on various factors and are classified as Level 3 assets. To determine the fair value of a portfolio company for which market quotations are not readily available, the Company may analyze the relevant portfolio company’s most recently available historical and projected financial results, public market comparables, and other factors. The Company may also consider other events, including the transaction in which the Company acquired its securities, subsequent equity sales by the portfolio company, and mergers or acquisitions affecting the portfolio company. In addition, the Company may consider the trends of the portfolio company’s basic financial metrics from the time of its original investment until the measurement date, with material improvement of these metrics indicating a possible increase in fair value, while material deterioration of these metrics may indicate a possible reduction in fair value.</w:t>
      </w:r>
    </w:p>
    <w:p>
      <w:pPr>
        <w:spacing w:after="0" w:line="189"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In determining the value of equity or equity-linked securities (including warrants to purchase common or preferred stock) in a portfolio company, the Company considers the rights, preferences and limitations of such securities. In cases where a portfolio company’s capital structure includes multiple classes of preferred and common stock and equity-linked securities with different rights and preferences, the Company may use an option pricing model to allocate value to each equity-linked security, unless it believes a liquidity event such as an acquisition or a dissolution is imminent, or the portfolio company is unlikely to continue as a going concern. When equity-linked securities expire worthless, any cost associated with these positions is recognized as a realized</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loss on investments in the Condensed Consolidated Statements of Operations and Condensed Consolidated Statements of Cash Flows. In the event these securities are exercised into common or preferred stock, the cost associated with these securities is reassigned to the cost basis of the new common or preferred stock. These conversions are noted as non-cash operating items on the Condensed Consolidated Statements of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Investments</w:t>
      </w:r>
    </w:p>
    <w:p>
      <w:pPr>
        <w:spacing w:after="0" w:line="229"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Given the nature of the Company’s current debt investments (excluding U.S. Treasuries), principally convertible and promissory notes issued by venture-capital-backed portfolio companies, these investments are classified as Level 3 assets because there is no known or accessible market or market indexes for these investment securities to be traded or exchanged. The Company’s debt investments are valued at estimated fair value as determined by the Company’s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The Company’s Board of Directors will ascribe value to warrants based on fair value analyses that can include discounted cash flow analyses, option pricing models, comparable analyses and other techniques as deemed appropriate. These investments are classified as Level 3 assets because there is no known or accessible market or market indexes for these investment securities to be traded or exchanged. The Company’s warrants are valued at estimated fair value as determined by the Company’s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Company Investment Classification</w:t>
      </w:r>
    </w:p>
    <w:p>
      <w:pPr>
        <w:spacing w:after="0" w:line="229" w:lineRule="exact"/>
        <w:rPr>
          <w:sz w:val="20"/>
          <w:szCs w:val="20"/>
          <w:color w:val="auto"/>
        </w:rPr>
      </w:pPr>
    </w:p>
    <w:p>
      <w:pPr>
        <w:jc w:val="both"/>
        <w:ind w:firstLine="351"/>
        <w:spacing w:after="0" w:line="255" w:lineRule="auto"/>
        <w:rPr>
          <w:sz w:val="20"/>
          <w:szCs w:val="20"/>
          <w:color w:val="auto"/>
        </w:rPr>
      </w:pPr>
      <w:r>
        <w:rPr>
          <w:rFonts w:ascii="Times New Roman" w:cs="Times New Roman" w:eastAsia="Times New Roman" w:hAnsi="Times New Roman"/>
          <w:sz w:val="18"/>
          <w:szCs w:val="18"/>
          <w:color w:val="auto"/>
        </w:rPr>
        <w:t>The Company is a non-diversified company within the meaning of the 1940 Act. The Company classifies its investments by level of control. As defined in the 1940 Act, control investments are those where there is the power to exercise a controlling influence over the management or policies of a company. Control is generally deemed to exist when a company or individual directly or indirectly owns beneficially more than 25% of the voting securities of an investee company. Affiliated investments and affiliated companies are defined by a lesser degree of influence and are deemed to exist when a company or individual directly or indirectly owns, controls or holds the power to vote 5% or more of the outstanding voting securities of a portfolio company. Refer to the Condensed Consolidated Schedules of Investments as of June 30, 2019 and December 31, 2018, for details regarding the nature and composition of the Company’s investment portfolio.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Levelling Policy</w:t>
      </w:r>
    </w:p>
    <w:p>
      <w:pPr>
        <w:spacing w:after="0" w:line="229" w:lineRule="exact"/>
        <w:rPr>
          <w:sz w:val="20"/>
          <w:szCs w:val="20"/>
          <w:color w:val="auto"/>
        </w:rPr>
      </w:pPr>
    </w:p>
    <w:p>
      <w:pPr>
        <w:jc w:val="both"/>
        <w:ind w:firstLine="351"/>
        <w:spacing w:after="0" w:line="255" w:lineRule="auto"/>
        <w:rPr>
          <w:sz w:val="20"/>
          <w:szCs w:val="20"/>
          <w:color w:val="auto"/>
        </w:rPr>
      </w:pPr>
      <w:r>
        <w:rPr>
          <w:rFonts w:ascii="Times New Roman" w:cs="Times New Roman" w:eastAsia="Times New Roman" w:hAnsi="Times New Roman"/>
          <w:sz w:val="18"/>
          <w:szCs w:val="18"/>
          <w:color w:val="auto"/>
        </w:rPr>
        <w:t>The portfolio companies in which the Company invests may offer their shares in IPOs. The Company’s shares in such portfolio companies are typically subject to lock-up agreements for 180 days following the IPO. Upon the IPO date, the Company transfers its investment from Level 3 to Level 1 due to the presence of an active market, or Level 2 if limited by the lock-up agreement. The Company prices the investment at the closing price on a public exchange as of the measurement date. In situations where there are lock-up restrictions, as well as legal or contractual restrictions on the sale or use of such security that under ASC 820-10-35 should be incorporated into the security’s fair value measurement as a characteristic of the security that would transfer to market participants who would buy the security, the Company will classify the investment as Level 2 subject to an appropriate DLOM to reflect the restrictions upon sale. The Company transfers investments between levels based on the fair value at the beginning of the measurement period in accordance with FASB ASC 820. For investments transferred out of Level 3 due to an IPO, the Company transfers these investments based on their fair value at the IPO date.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Transactions</w:t>
      </w:r>
    </w:p>
    <w:p>
      <w:pPr>
        <w:spacing w:after="0" w:line="227"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Securities transactions are accounted for on the date the transaction for the purchase or sale of the securities is entered into by the Company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trade date). Securities transactions outside conventional channels, such as private transactions, are recorded as of the date the Company obtains the right to demand the securities purchased or to collect the proceeds from a sale and incurs an obligation to pay for securities purchased or to deliver securities sold, respectively.</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of Other Financial Instruments</w:t>
      </w:r>
    </w:p>
    <w:p>
      <w:pPr>
        <w:spacing w:after="0" w:line="229" w:lineRule="exact"/>
        <w:rPr>
          <w:sz w:val="20"/>
          <w:szCs w:val="20"/>
          <w:color w:val="auto"/>
        </w:rPr>
      </w:pPr>
    </w:p>
    <w:p>
      <w:pPr>
        <w:jc w:val="both"/>
        <w:ind w:firstLine="351"/>
        <w:spacing w:after="0" w:line="282" w:lineRule="auto"/>
        <w:rPr>
          <w:sz w:val="20"/>
          <w:szCs w:val="20"/>
          <w:color w:val="auto"/>
        </w:rPr>
      </w:pPr>
      <w:r>
        <w:rPr>
          <w:rFonts w:ascii="Times New Roman" w:cs="Times New Roman" w:eastAsia="Times New Roman" w:hAnsi="Times New Roman"/>
          <w:sz w:val="18"/>
          <w:szCs w:val="18"/>
          <w:color w:val="auto"/>
        </w:rPr>
        <w:t>The carrying amounts of the Company’s other, non-investment financial instruments, consisting of cash, receivables, accounts payable, and accrued expenses, approximate fair value due to their short-term nature.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229"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The Company places its cash with U.S. Bank, N.A., Bridge Bank (a subsidiary of Western Alliance Bank), and Silicon Valley Bank, and at times, cash held in these accounts may exceed the Federal Deposit Insurance Corporation insured limit. The Company believes that U.S. Bank, N.A., Western Alliance Bank, and Silicon Valley Bank are high-quality financial institutions and that the risk of loss associated with any uninsured balance is remote.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Escrow Proceeds Receivable</w:t>
      </w:r>
    </w:p>
    <w:p>
      <w:pPr>
        <w:spacing w:after="0" w:line="229" w:lineRule="exact"/>
        <w:rPr>
          <w:sz w:val="20"/>
          <w:szCs w:val="20"/>
          <w:color w:val="auto"/>
        </w:rPr>
      </w:pPr>
    </w:p>
    <w:p>
      <w:pPr>
        <w:jc w:val="both"/>
        <w:ind w:firstLine="351"/>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2018, the Company completed the sale of its investments in General Assembly Space, Inc., Lytro, Inc., SugarCRM, Inc., and DreamBox Learning, Inc. During the three months ended June 30, 2019, the Company completed the sale of its investment in Knewton, Inc. A portion of the proceeds from the sale of these portfolio investments and those sold in prior years are held in escrow as a recourse for indemnity claims that may arise under the sale agreement. Amounts held in escrow are held at estimated realizable value and included in net realized gains (losses) on investments in the Condensed Consolidated Statements of Operations for the period in which they occurred. Any remaining escrow proceeds balances from these transactions reasonably expected to be received are reflected on the Condensed Consolidated Statement of Assets and Liabilities as escrow proceeds receivable. At June 30, 2019 and December 31, 2018, the Company had $2,074,820 and $2,494,582, respectively, in escrow proceeds receivable. During the three months ended June 30, 2019, the Company received escrow proceeds from the sales of Gilt Groupe Holdings, Inc., Lytro, Inc., and JAMF Holdings, Inc.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Financing Costs</w:t>
      </w:r>
    </w:p>
    <w:p>
      <w:pPr>
        <w:spacing w:after="0" w:line="229" w:lineRule="exact"/>
        <w:rPr>
          <w:sz w:val="20"/>
          <w:szCs w:val="20"/>
          <w:color w:val="auto"/>
        </w:rPr>
      </w:pPr>
    </w:p>
    <w:p>
      <w:pPr>
        <w:jc w:val="both"/>
        <w:ind w:firstLine="351"/>
        <w:spacing w:after="0" w:line="255" w:lineRule="auto"/>
        <w:rPr>
          <w:sz w:val="20"/>
          <w:szCs w:val="20"/>
          <w:color w:val="auto"/>
        </w:rPr>
      </w:pPr>
      <w:r>
        <w:rPr>
          <w:rFonts w:ascii="Times New Roman" w:cs="Times New Roman" w:eastAsia="Times New Roman" w:hAnsi="Times New Roman"/>
          <w:sz w:val="18"/>
          <w:szCs w:val="18"/>
          <w:color w:val="auto"/>
        </w:rPr>
        <w:t>The Company records origination costs related to lines of credit as deferred financing costs. These costs are deferred and amortized as part of interest expense using the straight-line method over the respective life of the line of credit. For modifications to a line of credit, any unamortized origination costs are expensed. Included within deferred financing costs are offering costs incurred relating to the Company’s shelf registration statement on Form N-2. The Company defers these offering costs until capital is raised pursuant to the shelf registration statement or until the shelf registration statement expires. For equity capital raised, the offering costs reduce paid-in capital resulting from the offering. For debt capital raised, the associated offering costs are amortized over the life of the debt instrument. As of June 30, 2019 and December 31, 2018, the Company had deferred financing costs of $0 and $267,541, respectively, on the Condensed Consolidated Statements of Assets and Liabilities.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3"/>
                <w:szCs w:val="13"/>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3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credit facility costs</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offering costs</w:t>
            </w:r>
          </w:p>
        </w:tc>
        <w:tc>
          <w:tcPr>
            <w:tcW w:w="1100" w:type="dxa"/>
            <w:vAlign w:val="bottom"/>
          </w:tcPr>
          <w:p>
            <w:pPr>
              <w:spacing w:after="0"/>
              <w:rPr>
                <w:sz w:val="21"/>
                <w:szCs w:val="21"/>
                <w:color w:val="auto"/>
              </w:rPr>
            </w:pP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267,541</w:t>
            </w:r>
          </w:p>
        </w:tc>
      </w:tr>
      <w:tr>
        <w:trPr>
          <w:trHeight w:val="27"/>
        </w:trPr>
        <w:tc>
          <w:tcPr>
            <w:tcW w:w="83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Deferred Financing Costs</w:t>
            </w:r>
          </w:p>
        </w:tc>
        <w:tc>
          <w:tcPr>
            <w:tcW w:w="110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267,541</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52825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 &amp; Related Deposits</w:t>
      </w:r>
    </w:p>
    <w:p>
      <w:pPr>
        <w:spacing w:after="0" w:line="227"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its operating leases as prescribed by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which requires lessees to recognize a right of use asset on the balance sheet, representing its right to use the underlying asset for the lease term, and a corresponding lease liability for all leases with terms greater than 12 months. The lease expense is presented as a single lease cost that is amortized on a straight-line basis over the life of the lease. Non-lease components (maintenance, property tax, insurance and parking) are not included in the lease cost. On June 3, 2019, the Company entered a 5-year operating lease for primary office space for which the Company has recorded a right-of-use asset and a corresponding lease liability for the operating lease obligation. These amounts have been discounted using the rate implicit in the lease. Refer to “Note 7—Commitments and Contingencies—</w:t>
      </w:r>
      <w:r>
        <w:rPr>
          <w:rFonts w:ascii="Times New Roman" w:cs="Times New Roman" w:eastAsia="Times New Roman" w:hAnsi="Times New Roman"/>
          <w:sz w:val="18"/>
          <w:szCs w:val="18"/>
          <w:i w:val="1"/>
          <w:iCs w:val="1"/>
          <w:color w:val="auto"/>
        </w:rPr>
        <w:t>Operating Leases and Related Deposits</w:t>
      </w:r>
      <w:r>
        <w:rPr>
          <w:rFonts w:ascii="Times New Roman" w:cs="Times New Roman" w:eastAsia="Times New Roman" w:hAnsi="Times New Roman"/>
          <w:sz w:val="18"/>
          <w:szCs w:val="18"/>
          <w:color w:val="auto"/>
        </w:rPr>
        <w:t>” for further detail.</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firstLine="351"/>
        <w:spacing w:after="0" w:line="282" w:lineRule="auto"/>
        <w:rPr>
          <w:sz w:val="20"/>
          <w:szCs w:val="20"/>
          <w:color w:val="auto"/>
        </w:rPr>
      </w:pPr>
      <w:r>
        <w:rPr>
          <w:rFonts w:ascii="Times New Roman" w:cs="Times New Roman" w:eastAsia="Times New Roman" w:hAnsi="Times New Roman"/>
          <w:sz w:val="18"/>
          <w:szCs w:val="18"/>
          <w:color w:val="auto"/>
        </w:rPr>
        <w:t>The Company recognizes gains or losses on the sale of investments using the specific identification method. The Company recognizes interest income, adjusted for amortization of premium and accretion of discount, on an accrual basis. The Company recognizes dividend income on the ex-dividend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Transaction Costs and Escrow Deposits</w:t>
      </w:r>
    </w:p>
    <w:p>
      <w:pPr>
        <w:spacing w:after="0" w:line="229" w:lineRule="exact"/>
        <w:rPr>
          <w:sz w:val="20"/>
          <w:szCs w:val="20"/>
          <w:color w:val="auto"/>
        </w:rPr>
      </w:pPr>
    </w:p>
    <w:p>
      <w:pPr>
        <w:jc w:val="both"/>
        <w:ind w:firstLine="351"/>
        <w:spacing w:after="0" w:line="256" w:lineRule="auto"/>
        <w:rPr>
          <w:sz w:val="20"/>
          <w:szCs w:val="20"/>
          <w:color w:val="auto"/>
        </w:rPr>
      </w:pPr>
      <w:r>
        <w:rPr>
          <w:rFonts w:ascii="Times New Roman" w:cs="Times New Roman" w:eastAsia="Times New Roman" w:hAnsi="Times New Roman"/>
          <w:sz w:val="18"/>
          <w:szCs w:val="18"/>
          <w:color w:val="auto"/>
        </w:rPr>
        <w:t>Commissions and other costs associated with an investment transaction, including legal expenses not reimbursed by the portfolio company, are included in the cost basis of purchases and deducted from the proceeds of sales. The Company makes certain acquisitions on secondary markets, which may involve making deposits to escrow accounts until certain conditions are met, including the underlying private company’s right of first refusal. If the underlying private company does not exercise or assign its right of first refusal and all other conditions are met, then the funds in the escrow account are delivered to the seller and the account is closed. Such transactions would be reflected on the Condensed Consolidated Statement of Assets and Liabilities as escrow deposits. At June 30, 2019 and December 31, 2018, the Company had no escrow deposits.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Unrealized Appreciation or Depreciation of Investments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Unrealized appreciation or depreciation is calculated as the difference between the fair value of the investment and the cost basis of such investment.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and State Income Taxes</w:t>
      </w:r>
    </w:p>
    <w:p>
      <w:pPr>
        <w:spacing w:after="0" w:line="229" w:lineRule="exact"/>
        <w:rPr>
          <w:sz w:val="20"/>
          <w:szCs w:val="20"/>
          <w:color w:val="auto"/>
        </w:rPr>
      </w:pPr>
    </w:p>
    <w:p>
      <w:pPr>
        <w:jc w:val="both"/>
        <w:ind w:firstLine="351"/>
        <w:spacing w:after="0" w:line="254" w:lineRule="auto"/>
        <w:rPr>
          <w:sz w:val="20"/>
          <w:szCs w:val="20"/>
          <w:color w:val="auto"/>
        </w:rPr>
      </w:pPr>
      <w:r>
        <w:rPr>
          <w:rFonts w:ascii="Times New Roman" w:cs="Times New Roman" w:eastAsia="Times New Roman" w:hAnsi="Times New Roman"/>
          <w:sz w:val="18"/>
          <w:szCs w:val="18"/>
          <w:color w:val="auto"/>
        </w:rPr>
        <w:t>The Company elected to be treated as a regulated investment company (a “RIC”) under Subchapter M of the Internal Revenue Code of 1986, as amended (the “Code”), beginning with its taxable year ended December 31, 2014, has qualified to be treated as a RIC for subsequent taxable years and intends to continue to operate in a manner so as to qualify for the tax treatment applicable to RICs. To qualify for tax treatment as a RIC, among other things, the Company is required to meet certain source of income and asset diversification requirements and timely distribute to its stockholders at least 90% of the sum of investment company taxable income (“ICTI”) including payment-in-kind interest income, as defined by the Code, and net tax-exempt interest income (which is the excess of its gross tax-exempt interest income over certain disallowed deductions) for each taxable year (the "Annual Distribution Requirement"). Depending on the level of ICTI earned in a tax year, the Company may choose to carry forward into the next tax year ICTI in excess of current year dividend distributions. Any such carryforward ICTI must be distributed on or before December 31 of the subsequent tax year to which it was carried forward.</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If the Company meets the Annual Distribution Requirement, but does not distribute (or is not deemed to have distributed) each calendar year a sum of</w:t>
      </w:r>
    </w:p>
    <w:p>
      <w:pPr>
        <w:spacing w:after="0" w:line="27" w:lineRule="exact"/>
        <w:rPr>
          <w:sz w:val="20"/>
          <w:szCs w:val="20"/>
          <w:color w:val="auto"/>
        </w:rPr>
      </w:pPr>
    </w:p>
    <w:p>
      <w:pPr>
        <w:jc w:val="both"/>
        <w:ind w:firstLine="8"/>
        <w:spacing w:after="0" w:line="252" w:lineRule="auto"/>
        <w:tabs>
          <w:tab w:leader="none" w:pos="2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its net ordinary income for each calendar year, (2) 98.2% of its capital gain net income for the one-year period ending October 31 in that calendar year and (3) any income recognized, but not distributed, in preceding years (the “Excise Tax Avoidance Requirement”), it generally will be required to pay an excise tax equal to 4% of the amount by which the Excise Tax Avoidance Requirement exceeds the distributions for the year. To the extent that the Company determines that its estimated current year annual taxable income will exceed estimated current year dividend distributions from such taxable income, the Company will accrue excise taxes, if any, on estimated excess taxable income as taxable income is earned using an annual effective excise tax rate. The annual effective excise tax rate is determined by dividing the estimated annual excise tax by the estimated annual taxable income.</w:t>
      </w:r>
    </w:p>
    <w:p>
      <w:pPr>
        <w:spacing w:after="0" w:line="190" w:lineRule="exact"/>
        <w:rPr>
          <w:sz w:val="20"/>
          <w:szCs w:val="20"/>
          <w:color w:val="auto"/>
        </w:rPr>
      </w:pPr>
    </w:p>
    <w:p>
      <w:pPr>
        <w:jc w:val="both"/>
        <w:ind w:firstLine="351"/>
        <w:spacing w:after="0" w:line="256" w:lineRule="auto"/>
        <w:rPr>
          <w:sz w:val="20"/>
          <w:szCs w:val="20"/>
          <w:color w:val="auto"/>
        </w:rPr>
      </w:pPr>
      <w:r>
        <w:rPr>
          <w:rFonts w:ascii="Times New Roman" w:cs="Times New Roman" w:eastAsia="Times New Roman" w:hAnsi="Times New Roman"/>
          <w:sz w:val="18"/>
          <w:szCs w:val="18"/>
          <w:color w:val="auto"/>
        </w:rPr>
        <w:t>So long as the Company qualifies and maintains its tax treatment as a RIC, it generally will not pay corporate-level U.S. federal and state income taxes on any ordinary income or capital gains that it distributes at least annually to its stockholders as dividends. Rather, any tax liability related to income earned by the RIC will represent obligations of the Company’s investors and will not be reflected in the consolidated financial statements of the Company. Included in the Company’s consolidated financial statements, the GSVC Holdings are taxable subsidiaries, regardless of whether the Company is a RIC. These taxable subsidiaries are not consolidated for income tax purposes and may generate income tax expenses as a result of their ownership of the portfolio companies. Such income tax expenses and deferred taxes, if any, will be reflected in the Company’s consolidated financial statements.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200" w:lineRule="exact"/>
        <w:rPr>
          <w:sz w:val="20"/>
          <w:szCs w:val="20"/>
          <w:color w:val="auto"/>
        </w:rPr>
      </w:pPr>
    </w:p>
    <w:p>
      <w:pPr>
        <w:spacing w:after="0" w:line="250" w:lineRule="exact"/>
        <w:rPr>
          <w:sz w:val="20"/>
          <w:szCs w:val="20"/>
          <w:color w:val="auto"/>
        </w:rPr>
      </w:pPr>
    </w:p>
    <w:p>
      <w:pPr>
        <w:jc w:val="both"/>
        <w:ind w:firstLine="351"/>
        <w:spacing w:after="0" w:line="252" w:lineRule="auto"/>
        <w:rPr>
          <w:sz w:val="20"/>
          <w:szCs w:val="20"/>
          <w:color w:val="auto"/>
        </w:rPr>
      </w:pPr>
      <w:r>
        <w:rPr>
          <w:rFonts w:ascii="Times New Roman" w:cs="Times New Roman" w:eastAsia="Times New Roman" w:hAnsi="Times New Roman"/>
          <w:sz w:val="18"/>
          <w:szCs w:val="18"/>
          <w:color w:val="auto"/>
        </w:rPr>
        <w:t>If it is not treated as a RIC, the Company will be taxed as a regular corporation (a “C corporation”) under Subchapter C of the Code for such taxable year. If the Company has previously qualified as a RIC but is subsequently unable to qualify for treatment as a RIC, and certain amelioration provisions are not applicable, the Company would be subject to tax on all of its taxable income (including its net capital gains) at regular corporate rates. The Company would not be able to deduct distributions to stockholders, nor would it be required to make distributions. Distributions, including distributions of net long-term capital gain, would generally be taxable to its stockholders as ordinary dividend income to the extent of the Company’s current and accumulated earnings and profits. Subject to certain limitations under the Code, corporate stockholders would be eligible to claim a dividend received deduction with respect to such dividend; non-corporate stockholders would generally be able to treat such dividends as “qualified dividend income,” which is subject to reduced rates of U.S. federal income tax. Distributions in excess of the Company’s current and accumulated earnings and profits would be treated first as a return of capital to the extent of the stockholder’s tax basis, and any remaining distributions would be treated as a capital gain. In order to requalify as a RIC, in addition to the other requirements discussed above, the Company would be required to distribute all of its previously undistributed earnings attributable to the period it failed to qualify as a RIC by the end of the first year that it intends to requalify for tax treatment as a RIC. If the Company fails to requalify for tax treatment as a RIC for a period greater than two taxable years, it may be subject to regular corporate tax on any net built-in gains with respect to certain of its assets (i.e., the excess of the aggregate gains, including items of income, over aggregate losses that would have been realized with respect to such assets if the Company had been liquidated) that it elects to recognize on requalification or when recognized over the next five years. The Company was taxed as a C Corporation for its 2012 and 2013 taxable years. Refer to “Note 9—Income Taxes” for further details.</w:t>
      </w:r>
    </w:p>
    <w:p>
      <w:pPr>
        <w:spacing w:after="0" w:line="19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elected to be treated as a RIC for the taxable year ended December 31, 2014 in connection with the filing of its 2014 tax return. As a result, the Company was required to pay a corporate-level U.S. federal income tax on the amount of the net built-in gains in its assets (the amount by which the net fair market value of the Company’s assets exceeds the net adjusted basis in its assets) either (1) as of the date it converted to a RIC (i.e., the beginning of the first taxable year that the Company qualifies as a RIC, which would be January 1, 2014), or (2) to the extent that the Company recognized such net built-in gains during the five-year recognition period beginning on the date of conversion. As of January 1, 2014, the Company had net unrealized built-in gains, but did not incur a built-in-gains tax for the 2014 tax year due to the fact that there were sufficient net capital loss carryforwards to completely offset recognized built-in gains as well as available net operating losses. The five-year recognition period ended on December 31, 2018.</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 Share Information</w:t>
      </w:r>
    </w:p>
    <w:p>
      <w:pPr>
        <w:spacing w:after="0" w:line="229" w:lineRule="exact"/>
        <w:rPr>
          <w:sz w:val="20"/>
          <w:szCs w:val="20"/>
          <w:color w:val="auto"/>
        </w:rPr>
      </w:pPr>
    </w:p>
    <w:p>
      <w:pPr>
        <w:jc w:val="both"/>
        <w:ind w:firstLine="351"/>
        <w:spacing w:after="0" w:line="256" w:lineRule="auto"/>
        <w:rPr>
          <w:sz w:val="20"/>
          <w:szCs w:val="20"/>
          <w:color w:val="auto"/>
        </w:rPr>
      </w:pPr>
      <w:r>
        <w:rPr>
          <w:rFonts w:ascii="Times New Roman" w:cs="Times New Roman" w:eastAsia="Times New Roman" w:hAnsi="Times New Roman"/>
          <w:sz w:val="18"/>
          <w:szCs w:val="18"/>
          <w:color w:val="auto"/>
        </w:rPr>
        <w:t xml:space="preserve">Net change in net assets resulting from operations per basic common share is computed using the weighted-average number of shares outstanding for the period presented. Diluted net change in net assets resulting from operations per common share is computed by dividing net increase/(decrease) in net assets resulting from operations for the period adjusted to include the pre-tax effects of interest incurred on potentially dilutive securities, by the weighted-average number of common shares outstanding plus any potentially dilutive shares outstanding during the period. The Company used the if-converted method in accordance with </w:t>
      </w:r>
      <w:r>
        <w:rPr>
          <w:rFonts w:ascii="Times New Roman" w:cs="Times New Roman" w:eastAsia="Times New Roman" w:hAnsi="Times New Roman"/>
          <w:sz w:val="18"/>
          <w:szCs w:val="18"/>
          <w:i w:val="1"/>
          <w:iCs w:val="1"/>
          <w:color w:val="auto"/>
        </w:rPr>
        <w:t>FASB ASC 260, Earnings Per Share</w:t>
      </w:r>
      <w:r>
        <w:rPr>
          <w:rFonts w:ascii="Times New Roman" w:cs="Times New Roman" w:eastAsia="Times New Roman" w:hAnsi="Times New Roman"/>
          <w:sz w:val="18"/>
          <w:szCs w:val="18"/>
          <w:color w:val="auto"/>
        </w:rPr>
        <w:t xml:space="preserve"> (“ASC 260”) to determine the number of potentially dilutive shares outstanding. Refer to “Note 6—Net Increase in Net Assets Resulting from Operations per Common Share—Basic and Diluted” for further detail.</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227" w:lineRule="exact"/>
        <w:rPr>
          <w:sz w:val="20"/>
          <w:szCs w:val="20"/>
          <w:color w:val="auto"/>
        </w:rPr>
      </w:pPr>
    </w:p>
    <w:p>
      <w:pPr>
        <w:jc w:val="both"/>
        <w:ind w:firstLine="351"/>
        <w:spacing w:after="0" w:line="256" w:lineRule="auto"/>
        <w:rPr>
          <w:sz w:val="20"/>
          <w:szCs w:val="20"/>
          <w:color w:val="auto"/>
        </w:rPr>
      </w:pPr>
      <w:r>
        <w:rPr>
          <w:rFonts w:ascii="Times New Roman" w:cs="Times New Roman" w:eastAsia="Times New Roman" w:hAnsi="Times New Roman"/>
          <w:sz w:val="18"/>
          <w:szCs w:val="18"/>
          <w:color w:val="auto"/>
        </w:rPr>
        <w:t xml:space="preserve">In July 2017, the FASB issued ASU 2017-13 which addressed the application of ASU 2014-9,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as it relates to adoption period for entities not otherwise required to adopt the new revenue recognition standard, but whose financial statements or financial information are included in another entity’s filing with the Securities and Exchange Commission (the "SEC"). ASU 2014-9, issued by FASB in May 2014, and related amendments, provide comprehensive guidance for recognizing revenue from contracts with customers. Entities will be able to recognize revenue when the entity transfers promised goods or services to customers in an amount that reflects the consideration to which the entity expects to be entitled to in exchange for those goods or services. The guidance in ASU 2014-9, and the related amendments, is effective for the Company on January 1, 2018. The Company adopted ASU 2017-13, which did not have a material impact on the Company's condensed consolidated financial statements.</w:t>
      </w:r>
    </w:p>
    <w:p>
      <w:pPr>
        <w:spacing w:after="0" w:line="183"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which requires lessees to recognize on the balance sheet a right-of-use asset, representing its right to use the underlying asset for the lease term, and a lease liability for all leases with terms greater than 12 months. The guidance is effective for annual periods beginning after December 15, 2018, and interim periods therein. The Company adopted ASU 2016-02 in connection with its operating lease beginning June 3, 2019.</w:t>
      </w:r>
    </w:p>
    <w:p>
      <w:pPr>
        <w:spacing w:after="0" w:line="180" w:lineRule="exact"/>
        <w:rPr>
          <w:sz w:val="20"/>
          <w:szCs w:val="20"/>
          <w:color w:val="auto"/>
        </w:rPr>
      </w:pPr>
    </w:p>
    <w:p>
      <w:pPr>
        <w:jc w:val="both"/>
        <w:ind w:firstLine="351"/>
        <w:spacing w:after="0" w:line="259" w:lineRule="auto"/>
        <w:rPr>
          <w:sz w:val="20"/>
          <w:szCs w:val="20"/>
          <w:color w:val="auto"/>
        </w:rPr>
      </w:pPr>
      <w:r>
        <w:rPr>
          <w:rFonts w:ascii="Times New Roman" w:cs="Times New Roman" w:eastAsia="Times New Roman" w:hAnsi="Times New Roman"/>
          <w:sz w:val="18"/>
          <w:szCs w:val="18"/>
          <w:color w:val="auto"/>
        </w:rPr>
        <w:t xml:space="preserve">In February 2019, the FASB issued ASU 2019-07, </w:t>
      </w:r>
      <w:r>
        <w:rPr>
          <w:rFonts w:ascii="Times New Roman" w:cs="Times New Roman" w:eastAsia="Times New Roman" w:hAnsi="Times New Roman"/>
          <w:sz w:val="18"/>
          <w:szCs w:val="18"/>
          <w:i w:val="1"/>
          <w:iCs w:val="1"/>
          <w:color w:val="auto"/>
        </w:rPr>
        <w:t>Codification Updates to SEC Sections</w:t>
      </w:r>
      <w:r>
        <w:rPr>
          <w:rFonts w:ascii="Times New Roman" w:cs="Times New Roman" w:eastAsia="Times New Roman" w:hAnsi="Times New Roman"/>
          <w:sz w:val="18"/>
          <w:szCs w:val="18"/>
          <w:color w:val="auto"/>
        </w:rPr>
        <w:t>, which amends various SEC paragraphs pursuant to the issuance of recent SEC Final Rule Releases. The guidance requires interim financial statements to provide the information required by SEC for the current and comparative year-to-date periods, with subtotals for each interim period. The guidance in ASU 2019-07, and the related amendments, are effective upon issuance. The Company adopted ASU 2019-07 in the current period and amended the presentation of the Condensed Consolidated Statements of Changes in Net Assets as of June 30, 2019.</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August 2018, the FASB issued ASU 2018-13, which changes the fair value measurement disclosure requirements of </w:t>
      </w:r>
      <w:r>
        <w:rPr>
          <w:rFonts w:ascii="Times New Roman" w:cs="Times New Roman" w:eastAsia="Times New Roman" w:hAnsi="Times New Roman"/>
          <w:sz w:val="18"/>
          <w:szCs w:val="18"/>
          <w:i w:val="1"/>
          <w:iCs w:val="1"/>
          <w:color w:val="auto"/>
        </w:rPr>
        <w:t>FASB ASC 820, 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w:t>
      </w:r>
      <w:r>
        <w:rPr>
          <w:rFonts w:ascii="Times New Roman" w:cs="Times New Roman" w:eastAsia="Times New Roman" w:hAnsi="Times New Roman"/>
          <w:sz w:val="18"/>
          <w:szCs w:val="18"/>
          <w:color w:val="auto"/>
        </w:rPr>
        <w:t>. The guidance is effective for all entities for interim and annual periods beginning after December 15, 2019. Early adoption is permitted for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eliminated or modified disclosure requirements upon issuance of the guidance. The Company did not early adopt the eliminated and modified disclosure requirements during the three and six months ended June 30, 2019, but plans to adopt the guidance upon its effective date.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3—RELATED-PARTY ARRANGEMENTS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Internalization of Company’s Operating Structure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and effective March 12, 2019 (the "Effective Date"), our Board of Directors approved internalizing our operating structure and we began operating as an internally managed non-diversified closed-end management investment company that has elected to be regulated as a BDC under the 1940 Act. Prior to the Effective Date, we were externally managed by our former investment adviser, GSV Asset Management, pursuant to the Investment Advisory Agreement, and our former administrator, GSV Capital Service Company, provided the administrative services necessary for our operations pursuant to the Administration Agreement.</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accounting implications and related controls associated with the Internalization continue to be analyzed and updated for fiscal year 2019.</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of Investment Advisory Agreement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and effective March 12, 2019, the Investment Advisory Agreement was terminated by mutual agreement of GSV Asset Management and us in connection with our Internalization.</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Prior to our Internalization, GSV Asset Management served as our external investment adviser pursuant to the Investment Advisory Agreement. Pursuant to the terms of the Investment Advisory Agreement, we paid GSV Asset Management a fee for its services consisting of two components - a base management fee and an incentive fee. The base management fee was calculated at an annual rate of 2.00% of our gross assets (our total assets as reflected on our balance sheet with no deduction for liabilities). The incentive fee was determined and payable in arrears as of the end of each calendar year (or upon termination of the Investment Advisory Agreement, as of the termination date), and equaled the lesser of (i) 20% of our realized capital gains during such calendar year, if any, calculated on an investment-by-investment basis, subject to a non-compounded preferred return, or “hurdle” of 8.00% per year, and a “catch-up” feature, and (ii) 20% of our realized capital gains, if any, on a cumulative basis from inception through the end of each calendar year, computed net of all realized capital losses and unrealized capital depreciation on a cumulative basis, less the aggregate amount of any previously paid incentive fees. See “—Investment Advisory Agreement” below.</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the Investment Advisory Agreement has been terminated, there will be no base management fees or incentives fees payable to GSV Asset Management going forward.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of Administration Agreement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and effective March 12, 2019, the Administration Agreement was terminated by mutual agreement of GSV Capital Service Company and us in connection with our Internalization.</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Prior to our Internalization, GSV Capital Service Company served as our external administrator and provided administrative services necessary for our operations, including but not limited to, furnishing us with office facilities, equipment and clerical, bookkeeping and record keeping services at such facilities, as well as providing us with certain other administrative services, including, but not limited to, assisting us with determining and publishing our net asset value, overseeing the preparation and filing of our tax returns and the printing and dissemination of reports to our stockholders.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Under the Administration Agreement, we did not pay any fees to GSV Capital Service Company but reimbursed GSV Capital Service Company for our allocable portion of overhead and other expenses incurred by GSV Capital Service Company in performing its services under the Administration Agreement, including, but not limited to, fees and expenses associated with performing compliance functions and our allocable portion of rent and compensation of our President, Chief Financial Officer, Chief Compliance Officer and other staff providing administrative services. There were $0 and $397,113 in such costs incurred under the Administration Agreement for the three months ended June 30, 2019 and June 30, 2018 respectively. There were $306,084 and $821,258 in such costs incurred under the Administration Agreement for the six months ended June 30, 2019 and June 30, 2018 respectively. See “—Administration Agreement” below.</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the Administration Agreement has been terminated, there will be no costs incurred by GSV Capital Service Company going forward.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Departure of Director and Reduction of Number of Directors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and effective March 12, 2019, Michael T. Moe resigned from our Board of Directors in connection with our Internalization. As a result of Mr. Moe’s resignation, our Board of Directors reduced the number of directors that constitute our full Board of Directors to five directors from six directors in accordance with our bylaws. Mr. Moe will continue to provide services to us pursuant to the Consulting Agreement (as defined below). See “—Consulting Agreement.”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Consulting Agreement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and effective March 12, 2019, we entered into a Consulting Agreement (the “Consulting Agreement”) with Michael T. Moe, the former Chairman of our Board of Directors and the Chief Executive Officer and Chief Investment Officer of GSV Asset Management, for the purpose of assisting us with certain transition services following the termination of the Investment Advisory Agreement and our Internalization. Pursuant to the Consulting Agreement, Mr. Moe will provide certain transition services to us related to our existing portfolio investments for which Mr. Moe previously had oversight in his role as the Chief Executive Officer and Chief Investment Officer of GSV Asset Management. Such transition services will include providing information to us regarding such portfolio companies, including as a member of a portfolio company’s board of directors, assisting with the transition of portfolio company board seats as requested by us, making appropriate introductions to representatives of portfolio companies, and providing other similar types of services that we may reasonably request.</w:t>
      </w:r>
    </w:p>
    <w:p>
      <w:pPr>
        <w:spacing w:after="0" w:line="18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term of the Consulting Agreement commenced on March 12, 2019 and will continue for eighteen months, unless the parties thereto mutually agree to extend the Consulting Agreement for an additional period. Pursuant to the Consulting Agreement, we will pay Mr. Moe a total amount equal to $1,250,000.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Trademark License Agreement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and effective March 12, 2019, we entered into an Amended and Restated Trademark License Agreement (the “Amended and Restated License Agreement”) with GSV Asset Management in connection with termination of the Investment Advisory Agreement. See “—Termination of Investment Advisory Agreement.”</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GSV Asset Management is the owner of the trade name “GSV”, and other state or unregistered “GSV” marks, including the trading symbol “GSVC” (collectively, the “Licensed Marks”). Pursuant to the Amended and Restated License Agreement, GSV Asset Management granted us a non-transferable, non-sublicensable, and non-exclusive right and license to use the Licensed Marks, solely in connection with the operation of our existing business.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term of the Amended and Restated License Agreement commenced on March 12, 2019 and will continue for eighteen months, unless the parties thereto mutually agree to extend the Amended and Restated License Agreement for an additional period. Pursuant to the Amended and Restated License Agreement, we will pay GSV Asset Management a total amount equal to $1,250,000.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Advisory Agreement</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On March 12, 2019, in connection with the Company's Internalization, the Investment Advisory Agreement was terminated in accordance with its terms.</w:t>
      </w:r>
    </w:p>
    <w:p>
      <w:pPr>
        <w:spacing w:after="0" w:line="225" w:lineRule="exact"/>
        <w:rPr>
          <w:sz w:val="20"/>
          <w:szCs w:val="20"/>
          <w:color w:val="auto"/>
        </w:rPr>
      </w:pPr>
    </w:p>
    <w:p>
      <w:pPr>
        <w:jc w:val="both"/>
        <w:ind w:firstLine="351"/>
        <w:spacing w:after="0" w:line="254" w:lineRule="auto"/>
        <w:rPr>
          <w:sz w:val="20"/>
          <w:szCs w:val="20"/>
          <w:color w:val="auto"/>
        </w:rPr>
      </w:pPr>
      <w:r>
        <w:rPr>
          <w:rFonts w:ascii="Times New Roman" w:cs="Times New Roman" w:eastAsia="Times New Roman" w:hAnsi="Times New Roman"/>
          <w:sz w:val="18"/>
          <w:szCs w:val="18"/>
          <w:color w:val="auto"/>
        </w:rPr>
        <w:t>Prior to our Internalization on March 12, 2019, the Company had entered into the Investment Advisory Agreement with GSV Asset Management. Under the terms of the Investment Advisory Agreement, GSV Asset Management was paid a quarterly management fee and an annual incentive fee. GSV Asset Management is controlled by Michael T. Moe, the former Chairman of the Company’s Board of Directors. Mr. Moe, through his ownership interest in GSV Asset Management, was entitled to a portion of any profits earned by GSV Asset Management in performing its services under the Investment Advisory Agreement. Mr. Moe serves as the principal of GSV Asset Management and manages the business and internal affairs of GSV Asset Management. Mark Klein, the Company’s Chief Executive Officer, President, and a member of the Company’s Board of Directors, or entities with which he is affiliated, received consulting fees from GSV Asset Management equal to a percentage of each of the base management fee and the incentive fee paid by the Company to GSV Asset Management pursuant to a consulting agreement with GSV Asset Management. As the Investment Advisory Agreement has been terminated, Mr. Klein no longer has a consulting agreement or any other affiliation with GSV Asset Management.</w:t>
      </w:r>
    </w:p>
    <w:p>
      <w:pPr>
        <w:spacing w:after="0" w:line="189"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Under the Investment Advisory Agreement, there were no restrictions on the right of any manager, partner, officer or employee of GSV Asset Management to engage in any other business or to devote his or her time and attention in part to any other business, whether of a similar or dissimilar nature, or to receive any fees or compensation in connection therewith (including fees for serving as a director of, or providing consulting services to, one or more of the Company’s portfolio companies). GSV Asset Management had, however, adopted an internal policy whereby any fees or compensation received by a manager, partner, officer or employee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GSV Asset Management in exchange for serving as a director of, or providing consulting services to, any of the Company’s portfolio companies would be transferred to the Company, net of any personal taxes incurred, upon such receipt for the benefit of the Company and its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Fees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Under the terms of the Investment Advisory Agreement, GSV Asset Management was paid a base management fee of 2.00% of gross assets, which is the Company’s total assets reflected on its Condensed Consolidated Statements of Assets and Liabilities (with no deduction for liabilities) reduced by any non-portfolio investments. During the month of January 2018, pursuant to a voluntary waiver by GSV Asset Management, the Company paid GSV Asset Management a base management fee of 1.75%, a 0.25% reduction from the 2.00% base management fee payable under the Investment Advisory Agreement. On February 2, 2018 GSV Asset Management voluntarily agreed to reduce fees payable under the Investment Advisory Agreement (the “Waiver Agreement”). Pursuant to the Waiver Agreement, effective February 1, 2018, the base management fee is reduced to 1.75% of the Company’s gross assets, as further described below. The waiver of a portion of the base management fee is not subject to recourse against or reimbursement by the Company.</w:t>
      </w:r>
    </w:p>
    <w:p>
      <w:pPr>
        <w:spacing w:after="0" w:line="189"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GSV Asset Management earned $0 and $1,286,066 in management fees for the three months ended June 30, 2019 and 2018, respectively, and waived $0 and $335,403 in management fees for the three months ended June 30, 2019 and 2018, respectively. For the six months ended June 30, 2019 and 2018, GSV Asset Management earned $848,723 and $2,609,642 in management fees, respectively, and waived $0 and $490,347 in management fees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As the Investment Advisory Agreement has been terminated, there will be no base management fee payable to GSV Asset Management going forward.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Incentive Fees</w:t>
      </w:r>
    </w:p>
    <w:p>
      <w:pPr>
        <w:spacing w:after="0" w:line="229" w:lineRule="exact"/>
        <w:rPr>
          <w:sz w:val="20"/>
          <w:szCs w:val="20"/>
          <w:color w:val="auto"/>
        </w:rPr>
      </w:pPr>
    </w:p>
    <w:p>
      <w:pPr>
        <w:jc w:val="both"/>
        <w:ind w:firstLine="351"/>
        <w:spacing w:after="0" w:line="256" w:lineRule="auto"/>
        <w:rPr>
          <w:sz w:val="20"/>
          <w:szCs w:val="20"/>
          <w:color w:val="auto"/>
        </w:rPr>
      </w:pPr>
      <w:r>
        <w:rPr>
          <w:rFonts w:ascii="Times New Roman" w:cs="Times New Roman" w:eastAsia="Times New Roman" w:hAnsi="Times New Roman"/>
          <w:sz w:val="18"/>
          <w:szCs w:val="18"/>
          <w:color w:val="auto"/>
        </w:rPr>
        <w:t>Under the terms of the Investment Advisory Agreement, GSV Asset Management was paid an annual incentive fee equal to the lesser of (i) 20% of the Company’s realized capital gains during each calendar year, if any, calculated on an investment-by-investment basis, subject to a non-compounded preferred return, or “hurdle,” and a “catch-up” feature, and (ii) 20% of the Company’s realized capital gains, if any, on a cumulative basis from inception through the end of each calendar year, computed net of all realized capital losses and unrealized capital depreciation on a cumulative basis, less the aggregate amount of any previously paid incentive fees. Effective February 1, 2018, the incentive fee paid by the Company to GSV Asset Management under the Investment Advisory Agreement was modified pursuant to the terms of the Waiver Agreement, as further described below.</w:t>
      </w:r>
    </w:p>
    <w:p>
      <w:pPr>
        <w:spacing w:after="0" w:line="188"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The Company was required to accrue incentive fees for all periods as if the Company had fully liquidated its entire investment portfolio at the fair value stated on the Condensed Consolidated Statements of Assets and Liabilities as of June 30, 2019 and December 31, 2018 or prior to the termination of the Investment Advisory Agreement. The accrual considered both the hypothetical liquidation of the Company’s portfolio described previously, as well as the Company’s actual cumulative realized gains and losses since inception, as well any previously paid incentive fees.</w:t>
      </w:r>
    </w:p>
    <w:p>
      <w:pPr>
        <w:spacing w:after="0" w:line="180"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For the three and six months ended June 30, 2019, the Company reversed previously accrued incentive fees of $0 and $4,660,472 due to the termination of the Investment Advisory Agreement. For the three and six months ended June 30, 2018, the Company accrued incentive fees of $2,588,085 and $4,059,419, respectively. Pursuant to the Waiver Agreement, on February 2, 2018, GSV Asset Management forfeited $5.0 million of the the accrued incentive fees. As the Investment Advisory Agreement has been terminated, there will be no incentive fee payable to GSV Asset Management going forward.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and Incentive Fee Waiver Agreement</w:t>
      </w:r>
    </w:p>
    <w:p>
      <w:pPr>
        <w:spacing w:after="0" w:line="229"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On February 2, 2018, GSV Asset Management voluntarily agreed to reduce the fees payable under the Investment Advisory Agreement pursuant to the Waiver Agreement. The Waiver Agreement was effective beginning February 1, 2018 and changed the fee structure set forth in the Investment Advisory Agreement by: (i) reducing the Company’s base management fee from 2.00% to 1.75%; and (ii) creating certain high-water marks that must be reached before any incentive fee is paid to GSV Asset Management. In addition to the changes to the fee structure, GSV Asset Management also agreed to a one-time forfeiture of $5.0 million of previously accrued but unpaid incentive fees.</w:t>
      </w:r>
    </w:p>
    <w:p>
      <w:pPr>
        <w:spacing w:after="0" w:line="184" w:lineRule="exact"/>
        <w:rPr>
          <w:sz w:val="20"/>
          <w:szCs w:val="20"/>
          <w:color w:val="auto"/>
        </w:rPr>
      </w:pPr>
    </w:p>
    <w:p>
      <w:pPr>
        <w:jc w:val="both"/>
        <w:ind w:firstLine="351"/>
        <w:spacing w:after="0" w:line="254" w:lineRule="auto"/>
        <w:rPr>
          <w:sz w:val="20"/>
          <w:szCs w:val="20"/>
          <w:color w:val="auto"/>
        </w:rPr>
      </w:pPr>
      <w:r>
        <w:rPr>
          <w:rFonts w:ascii="Times New Roman" w:cs="Times New Roman" w:eastAsia="Times New Roman" w:hAnsi="Times New Roman"/>
          <w:sz w:val="18"/>
          <w:szCs w:val="18"/>
          <w:color w:val="auto"/>
        </w:rPr>
        <w:t>Pursuant to the Waiver Agreement, effective February 1, 2018, the base management fee was reduced to 1.75% of the Company’s gross assets. The base management fee was calculated based on the average value of the Company’s gross assets at the end of the two most recently completed calendar quarters, and appropriately adjusted for any equity or debt capital raises, repurchases or redemptions during the current calendar quarter. The base management fee for any partial month or quarter will be appropriately prorated. In addition, because the Company's 5.25% Convertible Senior Notes matured on September 15, 2018 (the "5.25% Convertible Senior Notes due 2018"), the Company was previously carrying a larger cash balance than it would in the ordinary course of its business. As a result, under the Waiver Agreement, GSV Asset Management agreed to waive its base management fee on any cash balances effective February 1, 2018 until the 5.25% Convertible Senior Notes due 2018 matured on September 15, 2018, at which time the Company repaid the remaining outstanding aggregate principal amount of the 5.25% Convertible Senior Notes due 2018, including accrued but unpaid interest. As a result, as of and after September 15, 2018, the Company paid GSV Asset Management a 1.75% base management fee on its cash balances.</w:t>
      </w:r>
    </w:p>
    <w:p>
      <w:pPr>
        <w:spacing w:after="0" w:line="189" w:lineRule="exact"/>
        <w:rPr>
          <w:sz w:val="20"/>
          <w:szCs w:val="20"/>
          <w:color w:val="auto"/>
        </w:rPr>
      </w:pPr>
    </w:p>
    <w:p>
      <w:pPr>
        <w:jc w:val="both"/>
        <w:ind w:firstLine="351"/>
        <w:spacing w:after="0" w:line="254" w:lineRule="auto"/>
        <w:rPr>
          <w:sz w:val="20"/>
          <w:szCs w:val="20"/>
          <w:color w:val="auto"/>
        </w:rPr>
      </w:pPr>
      <w:r>
        <w:rPr>
          <w:rFonts w:ascii="Times New Roman" w:cs="Times New Roman" w:eastAsia="Times New Roman" w:hAnsi="Times New Roman"/>
          <w:sz w:val="18"/>
          <w:szCs w:val="18"/>
          <w:color w:val="auto"/>
        </w:rPr>
        <w:t>Pursuant to the Waiver Agreement, in addition to the “hurdle” feature in the incentive fee, GSV Asset Management had agreed to additional conditions on its ability to receive an incentive fee. Specifically, the Waiver Agreement provided that an incentive fee earned by GSV Asset Management under the Investment Advisory Agreement would be payable to GSV Asset Management only if, at the time that such incentive fee becomes payable under the Investment Advisory Agreement, both the Company’s stock price and its last reported net asset value per share were equal to, or greater than, $12.55 (the “High-Water Mark”). The High-Water Mark was based upon the volume weighted average price (VWAP) of all the Company’s equity offerings since its initial public offering, less the dollar amount of all dividends paid by the Company since inception. Upon such time that the High-Water Mark was achieved, and GSV Asset Management was paid an incentive fee, a new High-Water Mark would have been established. Each new High-Water Mark would have been equal to the most recent High-Water Mark, plus 10%. Any High-Water Mark then in effect would have been adjusted to reflect any dividends paid by the Company or any stock split effected by the Company.</w:t>
      </w:r>
    </w:p>
    <w:p>
      <w:pPr>
        <w:spacing w:after="0" w:line="189"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For the avoidance of doubt, after the effective date of the Waiver Agreement, under no circumstances would the aggregate fees earned by GSV Asset Management in any quarterly period have been higher than those aggregate fees that would have been earned prior to the effectiveness of the Waiver Agreement.</w:t>
      </w:r>
    </w:p>
    <w:p>
      <w:pPr>
        <w:spacing w:after="0" w:line="176" w:lineRule="exact"/>
        <w:rPr>
          <w:sz w:val="20"/>
          <w:szCs w:val="20"/>
          <w:color w:val="auto"/>
        </w:rPr>
      </w:pPr>
    </w:p>
    <w:p>
      <w:pPr>
        <w:jc w:val="both"/>
        <w:ind w:right="20" w:firstLine="351"/>
        <w:spacing w:after="0" w:line="282" w:lineRule="auto"/>
        <w:rPr>
          <w:sz w:val="20"/>
          <w:szCs w:val="20"/>
          <w:color w:val="auto"/>
        </w:rPr>
      </w:pPr>
      <w:r>
        <w:rPr>
          <w:rFonts w:ascii="Times New Roman" w:cs="Times New Roman" w:eastAsia="Times New Roman" w:hAnsi="Times New Roman"/>
          <w:sz w:val="18"/>
          <w:szCs w:val="18"/>
          <w:color w:val="auto"/>
        </w:rPr>
        <w:t>As of each of June 30, 2019 and December 31, 2018, there were no receivables owed to the Company by GSV Asset Management. As the Investment Advisory Agreement has been terminated, there will be no receivables owed to the Company by GSV Asset Management going forward.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Administration Agreement</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On March 12, 2019, in connection with the Company's Internalization, the Administration Agreement was terminated in accordance with its terms.</w:t>
      </w:r>
    </w:p>
    <w:p>
      <w:pPr>
        <w:spacing w:after="0" w:line="225" w:lineRule="exact"/>
        <w:rPr>
          <w:sz w:val="20"/>
          <w:szCs w:val="20"/>
          <w:color w:val="auto"/>
        </w:rPr>
      </w:pPr>
    </w:p>
    <w:p>
      <w:pPr>
        <w:jc w:val="both"/>
        <w:ind w:firstLine="351"/>
        <w:spacing w:after="0" w:line="255" w:lineRule="auto"/>
        <w:rPr>
          <w:sz w:val="20"/>
          <w:szCs w:val="20"/>
          <w:color w:val="auto"/>
        </w:rPr>
      </w:pPr>
      <w:r>
        <w:rPr>
          <w:rFonts w:ascii="Times New Roman" w:cs="Times New Roman" w:eastAsia="Times New Roman" w:hAnsi="Times New Roman"/>
          <w:sz w:val="18"/>
          <w:szCs w:val="18"/>
          <w:color w:val="auto"/>
        </w:rPr>
        <w:t>Prior to the Internalization, the Company had entered into the Administration Agreement with GSV Capital Service Company to provide administrative services, including furnishing the Company with office facilities, equipment, clerical, bookkeeping, record keeping services, and other administrative services. The Company reimbursed GSV Capital Service Company an allocable portion of overhead and other expenses in performing its obligations under the Administration Agreement, including a portion of the rent and the compensation of the Company’s President, Chief Financial Officer, Chief Compliance Officer and other staff providing administrative services. While there was no limit on the total amount of expenses the Company may have been required to reimburse to GSV Capital Service Company, GSV Capital Service Company would only charge the Company for the actual expenses GSV Capital Service Company incurred on the Company’s behalf, or the Company’s allocable portion thereof, without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profit to GSV Capital Service Company. There were $0 and $306,084 in such costs incurred under the Administration Agreement for the three and six months ended June 30, 2019, respectively. For the three and six months ended June 30, 2018, the Company accrued incentive fees of $397,113 and $821,258, respectively. As the Administration Agreement has been terminated, there will be no costs incurred by GSV Capital Service Company going forward.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12, 2019, in connection with the Company's Internalization, as of the Effective Date, the Company entered into the Amended and Restated Trademark License Agreement to use the trade name “GSV”, and other state or unregistered “GSV” marks, including the trading symbol “GSVC.” for a period of up to eighteen months and a predetermined fee of $1,250,000. Other than with respect to this limited license, the Company has no legal right to the “GSV” name.</w:t>
      </w:r>
    </w:p>
    <w:p>
      <w:pPr>
        <w:spacing w:after="0" w:line="180"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Prior to the Internalization on March 12, 2019, the Company entered into a license agreement with GSV Asset Management pursuant to which GSV Asset Management had agreed to grant the Company a non-exclusive, royalty-free license to use the name “GSV.” Under this agreement, the Company had the right to use the GSV name for so long as the Investment Advisory Agreement with GSV Asset Management is in effect.</w:t>
      </w:r>
    </w:p>
    <w:p>
      <w:pPr>
        <w:spacing w:after="0" w:line="176"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2019, the Company incurred $208,333 and $250,896, respectively, of licensing expense, as reflected on the Condensed Consolidated Statements of Operations. As of June 30, 2019, the Company recorded $249,104 of prepaid expense related to the Amended and Restated Trademark License Agreement on the Condensed Consolidated Statements of Assets and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Arrangements</w:t>
      </w:r>
    </w:p>
    <w:p>
      <w:pPr>
        <w:spacing w:after="0" w:line="229"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Mark Moe, who is the brother of Michael Moe, the former Chairman of the Company’s Board of Directors, serves as Vice President of Business Development, Global Expansion for NestGSV, Inc. (d/b/a GSV Labs, Inc.), one of the Company’s portfolio companies. Ron Johnson, the Chief Executive Officer of Enjoy Technology, Inc., one of the Company’s portfolio companies, is the brother-in-law of the Company’s former President, Mark Flynn. As of June 30, 2019, the fair values of the Company’s investments in NestGSV, Inc. and Enjoy Technology, Inc. were $4,811,180 and $9,716,388, respectively.</w:t>
      </w:r>
    </w:p>
    <w:p>
      <w:pPr>
        <w:spacing w:after="0" w:line="180"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In addition, the Company’s executive officers and directors, and the principals of the Company’s former investment adviser, GSV Asset Management, serve or may serve as officers, directors, or managers of entities that operate in a line of business similar to the Company’s, including new entities that may be formed in the future. Accordingly, they may have obligations to investors in those entities, the fulfillment of which might not be in the best interests of the Company or the Company’s stockholders.</w:t>
      </w:r>
    </w:p>
    <w:p>
      <w:pPr>
        <w:spacing w:after="0" w:line="180"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The 1940 Act prohibits the Company from participating in certain negotiated co-investments with certain affiliates unless it receives an order from the SEC permitting it to do so. As a BDC, the Company is prohibited under the 1940 Act from participating in certain transactions with certain of its affiliates without the prior approval of the Board of Directors, including its independent directors, and, in some cases, the SEC. The affiliates with which the Company may be prohibited from transacting include its officers, directors, and employees and any person controlling or under common control with the Company, subject to certain exceptions.</w:t>
      </w:r>
    </w:p>
    <w:p>
      <w:pPr>
        <w:spacing w:after="0" w:line="184"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may enter into transactions with portfolio companies that may be considered related-party transactions. To ensure that the Company does not engage in any prohibited transactions with any persons affiliated with the Company, the Company has implemented certain written policies and procedures whereby the Company’s executive officers screen each of the Company’s transactions for any possible affiliations between the proposed portfolio investment, the Company, companies controlled by the Company, and the Company’s executive officers and directors.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4—INVESTMENTS AT FAIR VALUE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Portfolio Composition</w:t>
      </w:r>
    </w:p>
    <w:p>
      <w:pPr>
        <w:spacing w:after="0" w:line="229"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The Company’s investments in portfolio companies consist primarily of equity securities (such as common stock, preferred stock and warrants to purchase common and preferred stock) and to a lesser extent, debt securities, issued by private and publicly traded companies. The Company may also, from time to time, invest in U.S. Treasury securities. Non-portfolio investments represent investments in U.S. Treasury securities. At June 30, 2019, the Company had 50 positions in 24 portfolio companies. As of December 31, 2018, the Company had 55 positions in 26 portfolio companies.</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tables summarize the composition of the Company’s investment portfolio by security type at cost and fair value as of June 30, 2019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2018:</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2"/>
                <w:szCs w:val="12"/>
                <w:color w:val="auto"/>
              </w:rPr>
            </w:pPr>
          </w:p>
        </w:tc>
        <w:tc>
          <w:tcPr>
            <w:tcW w:w="13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300" w:type="dxa"/>
            <w:vAlign w:val="bottom"/>
          </w:tcPr>
          <w:p>
            <w:pPr>
              <w:spacing w:after="0"/>
              <w:rPr>
                <w:sz w:val="12"/>
                <w:szCs w:val="12"/>
                <w:color w:val="auto"/>
              </w:rPr>
            </w:pPr>
          </w:p>
        </w:tc>
        <w:tc>
          <w:tcPr>
            <w:tcW w:w="12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2"/>
                <w:szCs w:val="12"/>
                <w:color w:val="auto"/>
              </w:rPr>
            </w:pPr>
          </w:p>
        </w:tc>
        <w:tc>
          <w:tcPr>
            <w:tcW w:w="14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60" w:type="dxa"/>
            <w:vAlign w:val="bottom"/>
          </w:tcPr>
          <w:p>
            <w:pPr>
              <w:jc w:val="right"/>
              <w:ind w:right="273"/>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95"/>
        </w:trPr>
        <w:tc>
          <w:tcPr>
            <w:tcW w:w="1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3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56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0" w:type="dxa"/>
            <w:vAlign w:val="bottom"/>
          </w:tcPr>
          <w:p>
            <w:pPr>
              <w:spacing w:after="0"/>
              <w:rPr>
                <w:sz w:val="1"/>
                <w:szCs w:val="1"/>
                <w:color w:val="auto"/>
              </w:rPr>
            </w:pPr>
          </w:p>
        </w:tc>
      </w:tr>
      <w:tr>
        <w:trPr>
          <w:trHeight w:val="206"/>
        </w:trPr>
        <w:tc>
          <w:tcPr>
            <w:tcW w:w="1900" w:type="dxa"/>
            <w:vAlign w:val="bottom"/>
            <w:tcBorders>
              <w:top w:val="single" w:sz="8" w:color="CCEEFF"/>
            </w:tcBorders>
            <w:shd w:val="clear" w:color="auto" w:fill="CCEEFF"/>
          </w:tcPr>
          <w:p>
            <w:pPr>
              <w:ind w:left="40"/>
              <w:spacing w:after="0" w:line="206" w:lineRule="exact"/>
              <w:rPr>
                <w:sz w:val="20"/>
                <w:szCs w:val="20"/>
                <w:color w:val="auto"/>
              </w:rPr>
            </w:pPr>
            <w:r>
              <w:rPr>
                <w:rFonts w:ascii="Times New Roman" w:cs="Times New Roman" w:eastAsia="Times New Roman" w:hAnsi="Times New Roman"/>
                <w:sz w:val="18"/>
                <w:szCs w:val="18"/>
                <w:b w:val="1"/>
                <w:bCs w:val="1"/>
                <w:color w:val="auto"/>
              </w:rPr>
              <w:t>Private Portfolio</w:t>
            </w:r>
          </w:p>
        </w:tc>
        <w:tc>
          <w:tcPr>
            <w:tcW w:w="2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19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Companies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48,424,535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45,474,228</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48,424,535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48,517,824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7"/>
        </w:trPr>
        <w:tc>
          <w:tcPr>
            <w:tcW w:w="1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80,425,553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106,382,765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89,715,085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99,856,159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43"/>
        </w:trPr>
        <w:tc>
          <w:tcPr>
            <w:tcW w:w="1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Investments</w:t>
            </w:r>
          </w:p>
        </w:tc>
        <w:tc>
          <w:tcPr>
            <w:tcW w:w="2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6,689,080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1,343,579</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9,156,012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5,584,994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1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209,761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225,625</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209,761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267,446</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1"/>
        </w:trPr>
        <w:tc>
          <w:tcPr>
            <w:tcW w:w="1900" w:type="dxa"/>
            <w:vAlign w:val="bottom"/>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Private Portfolio</w:t>
            </w: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9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Companies</w:t>
            </w:r>
          </w:p>
        </w:tc>
        <w:tc>
          <w:tcPr>
            <w:tcW w:w="280" w:type="dxa"/>
            <w:vAlign w:val="bottom"/>
          </w:tcPr>
          <w:p>
            <w:pPr>
              <w:spacing w:after="0"/>
              <w:rPr>
                <w:sz w:val="20"/>
                <w:szCs w:val="20"/>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135,748,929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153,426,197</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147,505,393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154,226,423</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7"/>
        </w:trPr>
        <w:tc>
          <w:tcPr>
            <w:tcW w:w="1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900" w:type="dxa"/>
            <w:vAlign w:val="bottom"/>
            <w:shd w:val="clear" w:color="auto" w:fill="CCEEFF"/>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Publicly Traded</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19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Portfolio Companies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2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11,759,400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29,988,925</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23,659,010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44,589,406</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7"/>
        </w:trPr>
        <w:tc>
          <w:tcPr>
            <w:tcW w:w="1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900" w:type="dxa"/>
            <w:vAlign w:val="bottom"/>
            <w:shd w:val="clear" w:color="auto" w:fill="CCEEFF"/>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Total Portfolio</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19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147,508,329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183,415,122</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171,164,403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198,815,829</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0" w:type="dxa"/>
            <w:vAlign w:val="bottom"/>
          </w:tcPr>
          <w:p>
            <w:pPr>
              <w:spacing w:after="0"/>
              <w:rPr>
                <w:sz w:val="1"/>
                <w:szCs w:val="1"/>
                <w:color w:val="auto"/>
              </w:rPr>
            </w:pPr>
          </w:p>
        </w:tc>
      </w:tr>
      <w:tr>
        <w:trPr>
          <w:trHeight w:val="201"/>
        </w:trPr>
        <w:tc>
          <w:tcPr>
            <w:tcW w:w="1900" w:type="dxa"/>
            <w:vAlign w:val="bottom"/>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Non-Portfolio</w:t>
            </w: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9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Treasury bill</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99,979,000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99,995,000</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99,982,067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99,994,000</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57"/>
        </w:trPr>
        <w:tc>
          <w:tcPr>
            <w:tcW w:w="1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247,487,329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283,410,122</w:t>
            </w:r>
          </w:p>
        </w:tc>
        <w:tc>
          <w:tcPr>
            <w:tcW w:w="100" w:type="dxa"/>
            <w:vAlign w:val="bottom"/>
          </w:tcPr>
          <w:p>
            <w:pPr>
              <w:spacing w:after="0"/>
              <w:rPr>
                <w:sz w:val="22"/>
                <w:szCs w:val="22"/>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271,146,470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298,809,829</w:t>
            </w: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geographic and industrial compositions of the Company’s portfolio at fair value as of June 30, 2019 and December 31, 2018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As of June 30, 2019</w:t>
            </w:r>
          </w:p>
        </w:tc>
        <w:tc>
          <w:tcPr>
            <w:tcW w:w="1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2018</w:t>
            </w: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6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260" w:type="dxa"/>
            <w:vAlign w:val="bottom"/>
          </w:tcPr>
          <w:p>
            <w:pPr>
              <w:spacing w:after="0"/>
              <w:rPr>
                <w:sz w:val="12"/>
                <w:szCs w:val="12"/>
                <w:color w:val="auto"/>
              </w:rPr>
            </w:pPr>
          </w:p>
        </w:tc>
        <w:tc>
          <w:tcPr>
            <w:tcW w:w="13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520" w:type="dxa"/>
            <w:vAlign w:val="bottom"/>
          </w:tcPr>
          <w:p>
            <w:pPr>
              <w:jc w:val="right"/>
              <w:ind w:right="255"/>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95"/>
        </w:trPr>
        <w:tc>
          <w:tcPr>
            <w:tcW w:w="1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2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152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0" w:type="dxa"/>
            <w:vAlign w:val="bottom"/>
          </w:tcPr>
          <w:p>
            <w:pPr>
              <w:spacing w:after="0"/>
              <w:rPr>
                <w:sz w:val="1"/>
                <w:szCs w:val="1"/>
                <w:color w:val="auto"/>
              </w:rPr>
            </w:pPr>
          </w:p>
        </w:tc>
      </w:tr>
      <w:tr>
        <w:trPr>
          <w:trHeight w:val="249"/>
        </w:trPr>
        <w:tc>
          <w:tcPr>
            <w:tcW w:w="18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Geographic Region</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West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182,963,766</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167,687,933</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Mid-west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201,356</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Northeast</w:t>
            </w: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4,414,536</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International</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26,713,360</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57"/>
        </w:trPr>
        <w:tc>
          <w:tcPr>
            <w:tcW w:w="18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183,415,122</w:t>
            </w:r>
          </w:p>
        </w:tc>
        <w:tc>
          <w:tcPr>
            <w:tcW w:w="120" w:type="dxa"/>
            <w:vAlign w:val="bottom"/>
          </w:tcPr>
          <w:p>
            <w:pPr>
              <w:spacing w:after="0"/>
              <w:rPr>
                <w:sz w:val="22"/>
                <w:szCs w:val="22"/>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2"/>
                <w:szCs w:val="22"/>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198,815,829</w:t>
            </w:r>
          </w:p>
        </w:tc>
        <w:tc>
          <w:tcPr>
            <w:tcW w:w="100" w:type="dxa"/>
            <w:vAlign w:val="bottom"/>
          </w:tcPr>
          <w:p>
            <w:pPr>
              <w:spacing w:after="0"/>
              <w:rPr>
                <w:sz w:val="22"/>
                <w:szCs w:val="22"/>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2"/>
                <w:szCs w:val="22"/>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1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jc w:val="right"/>
              <w:ind w:right="654"/>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As of June 30, 2019</w:t>
            </w:r>
          </w:p>
        </w:tc>
        <w:tc>
          <w:tcPr>
            <w:tcW w:w="1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 2018</w:t>
            </w: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6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260" w:type="dxa"/>
            <w:vAlign w:val="bottom"/>
          </w:tcPr>
          <w:p>
            <w:pPr>
              <w:spacing w:after="0"/>
              <w:rPr>
                <w:sz w:val="12"/>
                <w:szCs w:val="12"/>
                <w:color w:val="auto"/>
              </w:rPr>
            </w:pPr>
          </w:p>
        </w:tc>
        <w:tc>
          <w:tcPr>
            <w:tcW w:w="13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520" w:type="dxa"/>
            <w:vAlign w:val="bottom"/>
          </w:tcPr>
          <w:p>
            <w:pPr>
              <w:jc w:val="right"/>
              <w:ind w:right="254"/>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95"/>
        </w:trPr>
        <w:tc>
          <w:tcPr>
            <w:tcW w:w="1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2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152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0" w:type="dxa"/>
            <w:vAlign w:val="bottom"/>
          </w:tcPr>
          <w:p>
            <w:pPr>
              <w:spacing w:after="0"/>
              <w:rPr>
                <w:sz w:val="1"/>
                <w:szCs w:val="1"/>
                <w:color w:val="auto"/>
              </w:rPr>
            </w:pPr>
          </w:p>
        </w:tc>
      </w:tr>
      <w:tr>
        <w:trPr>
          <w:trHeight w:val="249"/>
        </w:trPr>
        <w:tc>
          <w:tcPr>
            <w:tcW w:w="1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Industry</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Education Technology</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69,239,169</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64,480,375</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7"/>
        </w:trPr>
        <w:tc>
          <w:tcPr>
            <w:tcW w:w="1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Marketplaces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46,029,862</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33,892,561</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43"/>
        </w:trPr>
        <w:tc>
          <w:tcPr>
            <w:tcW w:w="1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Big Data/Cloud</w:t>
            </w:r>
          </w:p>
        </w:tc>
        <w:tc>
          <w:tcPr>
            <w:tcW w:w="2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41,618,420</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51,929,440</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7"/>
        </w:trPr>
        <w:tc>
          <w:tcPr>
            <w:tcW w:w="1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Financial Technology</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13,839,358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7,798,878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43"/>
        </w:trPr>
        <w:tc>
          <w:tcPr>
            <w:tcW w:w="1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Social/Mobile</w:t>
            </w:r>
          </w:p>
        </w:tc>
        <w:tc>
          <w:tcPr>
            <w:tcW w:w="2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11,872,115</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39,964,377</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7"/>
        </w:trPr>
        <w:tc>
          <w:tcPr>
            <w:tcW w:w="1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Sustainability</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816,198</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750,198</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57"/>
        </w:trPr>
        <w:tc>
          <w:tcPr>
            <w:tcW w:w="18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183,415,122</w:t>
            </w:r>
          </w:p>
        </w:tc>
        <w:tc>
          <w:tcPr>
            <w:tcW w:w="100" w:type="dxa"/>
            <w:vAlign w:val="bottom"/>
          </w:tcPr>
          <w:p>
            <w:pPr>
              <w:spacing w:after="0"/>
              <w:rPr>
                <w:sz w:val="22"/>
                <w:szCs w:val="22"/>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2"/>
                <w:szCs w:val="22"/>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198,815,829</w:t>
            </w:r>
          </w:p>
        </w:tc>
        <w:tc>
          <w:tcPr>
            <w:tcW w:w="100" w:type="dxa"/>
            <w:vAlign w:val="bottom"/>
          </w:tcPr>
          <w:p>
            <w:pPr>
              <w:spacing w:after="0"/>
              <w:rPr>
                <w:sz w:val="22"/>
                <w:szCs w:val="22"/>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2"/>
                <w:szCs w:val="22"/>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details the composition of the Company’s industrial themes presented above:</w:t>
      </w:r>
    </w:p>
    <w:p>
      <w:pPr>
        <w:sectPr>
          <w:pgSz w:w="11900" w:h="16838" w:orient="portrait"/>
          <w:cols w:equalWidth="0" w:num="1">
            <w:col w:w="11420"/>
          </w:cols>
          <w:pgMar w:left="240" w:top="118" w:right="239" w:bottom="1440" w:gutter="0" w:footer="0" w:header="0"/>
        </w:sectPr>
      </w:pPr>
    </w:p>
    <w:p>
      <w:pPr>
        <w:spacing w:after="0" w:line="2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Industry Theme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3241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Education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1406525</wp:posOffset>
            </wp:positionV>
            <wp:extent cx="23241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Big Data/Cloud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23241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Marketplaces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892175</wp:posOffset>
            </wp:positionV>
            <wp:extent cx="23241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Financial Technology</w:t>
      </w:r>
      <w:r>
        <w:rPr>
          <w:rFonts w:ascii="Times New Roman" w:cs="Times New Roman" w:eastAsia="Times New Roman" w:hAnsi="Times New Roman"/>
          <w:sz w:val="25"/>
          <w:szCs w:val="25"/>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23241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Social/Mobile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549275</wp:posOffset>
            </wp:positionV>
            <wp:extent cx="23241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Sustainability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24765</wp:posOffset>
            </wp:positionV>
            <wp:extent cx="48539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Education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 Software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Education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Education Media Platform</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Education Software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Education Technology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E-Transcript Exchange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Interactive Learning</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Online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34290</wp:posOffset>
            </wp:positionV>
            <wp:extent cx="48539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Cloud Computing Services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 Analysis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 Cognitive Learning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34290</wp:posOffset>
            </wp:positionV>
            <wp:extent cx="48539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Innovation Platform</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Knowledge Networks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On-Demand Commerce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On-Demand Transportation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Micromobility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Peer-to-Peer Pet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34290</wp:posOffset>
            </wp:positionV>
            <wp:extent cx="48539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Online Marketplace Finance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34290</wp:posOffset>
            </wp:positionV>
            <wp:extent cx="48539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Digital Media Platform</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 Networking</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On-Demand Music Streaming</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 Data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34290</wp:posOffset>
            </wp:positionV>
            <wp:extent cx="48539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Clean Technology</w:t>
      </w:r>
    </w:p>
    <w:p>
      <w:pPr>
        <w:spacing w:after="0" w:line="365" w:lineRule="exact"/>
        <w:rPr>
          <w:sz w:val="20"/>
          <w:szCs w:val="20"/>
          <w:color w:val="auto"/>
        </w:rPr>
      </w:pPr>
    </w:p>
    <w:p>
      <w:pPr>
        <w:sectPr>
          <w:pgSz w:w="11900" w:h="16838" w:orient="portrait"/>
          <w:cols w:equalWidth="0" w:num="2">
            <w:col w:w="3080" w:space="720"/>
            <w:col w:w="7620"/>
          </w:cols>
          <w:pgMar w:left="240" w:top="118" w:right="239" w:bottom="1440" w:gutter="0" w:footer="0" w:header="0"/>
          <w:type w:val="continuous"/>
        </w:sectPr>
      </w:pPr>
    </w:p>
    <w:p>
      <w:pPr>
        <w:ind w:left="660" w:hanging="652"/>
        <w:spacing w:after="0" w:line="281" w:lineRule="auto"/>
        <w:tabs>
          <w:tab w:leader="none" w:pos="6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quarter ended June 30, 2019, the Company reclassified the industry theme for "Online Marketplace Finance" and "Financial Services" industries from "Marketplaces" to "Financial Technology". The industrial classifications as of December 31, 2018 were also updated to reflect this change.</w:t>
      </w:r>
    </w:p>
    <w:p>
      <w:pPr>
        <w:sectPr>
          <w:pgSz w:w="11900" w:h="16838" w:orient="portrait"/>
          <w:cols w:equalWidth="0" w:num="1">
            <w:col w:w="11420"/>
          </w:cols>
          <w:pgMar w:left="240" w:top="118" w:right="239" w:bottom="1440" w:gutter="0" w:footer="0" w:header="0"/>
          <w:type w:val="continuous"/>
        </w:sectPr>
      </w:pP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18" w:right="239" w:bottom="1440" w:gutter="0" w:footer="0" w:header="0"/>
          <w:type w:val="continuous"/>
        </w:sectPr>
      </w:pPr>
    </w:p>
    <w:bookmarkStart w:id="32" w:name="page33"/>
    <w:bookmarkEnd w:id="3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Valuation Inputs</w:t>
      </w:r>
    </w:p>
    <w:p>
      <w:pPr>
        <w:spacing w:after="0" w:line="229" w:lineRule="exact"/>
        <w:rPr>
          <w:sz w:val="20"/>
          <w:szCs w:val="20"/>
          <w:color w:val="auto"/>
        </w:rPr>
      </w:pPr>
    </w:p>
    <w:p>
      <w:pPr>
        <w:ind w:firstLine="351"/>
        <w:spacing w:after="0" w:line="282" w:lineRule="auto"/>
        <w:rPr>
          <w:sz w:val="20"/>
          <w:szCs w:val="20"/>
          <w:color w:val="auto"/>
        </w:rPr>
      </w:pPr>
      <w:r>
        <w:rPr>
          <w:rFonts w:ascii="Times New Roman" w:cs="Times New Roman" w:eastAsia="Times New Roman" w:hAnsi="Times New Roman"/>
          <w:sz w:val="18"/>
          <w:szCs w:val="18"/>
          <w:color w:val="auto"/>
        </w:rPr>
        <w:t>The fair values of the Company’s investments disaggregated into the three levels of the fair value hierarchy based upon the lowest level of significant input used in the valuation as of June 30, 2019 and December 31, 2018 are as follows: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 of June 30, 2019</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220" w:type="dxa"/>
            <w:vAlign w:val="bottom"/>
          </w:tcPr>
          <w:p>
            <w:pPr>
              <w:spacing w:after="0"/>
              <w:rPr>
                <w:sz w:val="12"/>
                <w:szCs w:val="12"/>
                <w:color w:val="auto"/>
              </w:rPr>
            </w:pPr>
          </w:p>
        </w:tc>
        <w:tc>
          <w:tcPr>
            <w:tcW w:w="15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220" w:type="dxa"/>
            <w:vAlign w:val="bottom"/>
          </w:tcPr>
          <w:p>
            <w:pPr>
              <w:spacing w:after="0"/>
              <w:rPr>
                <w:sz w:val="12"/>
                <w:szCs w:val="12"/>
                <w:color w:val="auto"/>
              </w:rPr>
            </w:pPr>
          </w:p>
        </w:tc>
        <w:tc>
          <w:tcPr>
            <w:tcW w:w="15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Identical Securities</w:t>
            </w:r>
          </w:p>
        </w:tc>
        <w:tc>
          <w:tcPr>
            <w:tcW w:w="220" w:type="dxa"/>
            <w:vAlign w:val="bottom"/>
          </w:tcPr>
          <w:p>
            <w:pPr>
              <w:spacing w:after="0"/>
              <w:rPr>
                <w:sz w:val="12"/>
                <w:szCs w:val="12"/>
                <w:color w:val="auto"/>
              </w:rPr>
            </w:pPr>
          </w:p>
        </w:tc>
        <w:tc>
          <w:tcPr>
            <w:tcW w:w="15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400" w:type="dxa"/>
            <w:vAlign w:val="bottom"/>
          </w:tcPr>
          <w:p>
            <w:pPr>
              <w:spacing w:after="0"/>
              <w:rPr>
                <w:sz w:val="12"/>
                <w:szCs w:val="12"/>
                <w:color w:val="auto"/>
              </w:rPr>
            </w:pPr>
          </w:p>
        </w:tc>
        <w:tc>
          <w:tcPr>
            <w:tcW w:w="1300" w:type="dxa"/>
            <w:vAlign w:val="bottom"/>
            <w:vMerge w:val="restart"/>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6"/>
                <w:szCs w:val="16"/>
                <w:color w:val="auto"/>
              </w:rPr>
            </w:pP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6"/>
                <w:szCs w:val="16"/>
                <w:color w:val="auto"/>
              </w:rPr>
            </w:pPr>
          </w:p>
        </w:tc>
        <w:tc>
          <w:tcPr>
            <w:tcW w:w="15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Investments at Fair Value</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Private Portfolio Companies</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45,474,228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45,474,228</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w:t>
            </w:r>
          </w:p>
        </w:tc>
        <w:tc>
          <w:tcPr>
            <w:tcW w:w="200" w:type="dxa"/>
            <w:vAlign w:val="bottom"/>
          </w:tcPr>
          <w:p>
            <w:pPr>
              <w:spacing w:after="0"/>
              <w:rPr>
                <w:sz w:val="21"/>
                <w:szCs w:val="21"/>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106,382,765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106,382,765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1,343,579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1,343,579</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200" w:type="dxa"/>
            <w:vAlign w:val="bottom"/>
          </w:tcPr>
          <w:p>
            <w:pPr>
              <w:spacing w:after="0"/>
              <w:rPr>
                <w:sz w:val="21"/>
                <w:szCs w:val="21"/>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225,625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225,625</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Private Portfolio Companies</w:t>
            </w:r>
          </w:p>
        </w:tc>
        <w:tc>
          <w:tcPr>
            <w:tcW w:w="2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153,426,197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153,426,197</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Publicly Traded Portfolio Companies</w:t>
            </w:r>
          </w:p>
        </w:tc>
        <w:tc>
          <w:tcPr>
            <w:tcW w:w="2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10,960,127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19,028,798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29,988,925</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Portfolio Investments</w:t>
            </w:r>
          </w:p>
        </w:tc>
        <w:tc>
          <w:tcPr>
            <w:tcW w:w="2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10,960,127</w:t>
            </w:r>
          </w:p>
        </w:tc>
        <w:tc>
          <w:tcPr>
            <w:tcW w:w="12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19,028,798</w:t>
            </w:r>
          </w:p>
        </w:tc>
        <w:tc>
          <w:tcPr>
            <w:tcW w:w="100" w:type="dxa"/>
            <w:vAlign w:val="bottom"/>
            <w:tcBorders>
              <w:top w:val="single" w:sz="8" w:color="CCEEFF"/>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153,426,197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183,415,122</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Non-Portfolio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Treasury bills</w:t>
            </w:r>
          </w:p>
        </w:tc>
        <w:tc>
          <w:tcPr>
            <w:tcW w:w="200" w:type="dxa"/>
            <w:vAlign w:val="bottom"/>
          </w:tcPr>
          <w:p>
            <w:pPr>
              <w:spacing w:after="0"/>
              <w:rPr>
                <w:sz w:val="21"/>
                <w:szCs w:val="21"/>
                <w:color w:val="auto"/>
              </w:rPr>
            </w:pPr>
          </w:p>
        </w:tc>
        <w:tc>
          <w:tcPr>
            <w:tcW w:w="15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99,995,000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99,995,000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Investments at Fair Value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110,955,127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19,028,798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153,426,197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283,410,122</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2"/>
        </w:trPr>
        <w:tc>
          <w:tcPr>
            <w:tcW w:w="4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 of December 31, 2018</w:t>
            </w: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220" w:type="dxa"/>
            <w:vAlign w:val="bottom"/>
          </w:tcPr>
          <w:p>
            <w:pPr>
              <w:spacing w:after="0"/>
              <w:rPr>
                <w:sz w:val="12"/>
                <w:szCs w:val="12"/>
                <w:color w:val="auto"/>
              </w:rPr>
            </w:pPr>
          </w:p>
        </w:tc>
        <w:tc>
          <w:tcPr>
            <w:tcW w:w="15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220" w:type="dxa"/>
            <w:vAlign w:val="bottom"/>
          </w:tcPr>
          <w:p>
            <w:pPr>
              <w:spacing w:after="0"/>
              <w:rPr>
                <w:sz w:val="12"/>
                <w:szCs w:val="12"/>
                <w:color w:val="auto"/>
              </w:rPr>
            </w:pPr>
          </w:p>
        </w:tc>
        <w:tc>
          <w:tcPr>
            <w:tcW w:w="15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Identical Securities</w:t>
            </w:r>
          </w:p>
        </w:tc>
        <w:tc>
          <w:tcPr>
            <w:tcW w:w="220" w:type="dxa"/>
            <w:vAlign w:val="bottom"/>
          </w:tcPr>
          <w:p>
            <w:pPr>
              <w:spacing w:after="0"/>
              <w:rPr>
                <w:sz w:val="12"/>
                <w:szCs w:val="12"/>
                <w:color w:val="auto"/>
              </w:rPr>
            </w:pPr>
          </w:p>
        </w:tc>
        <w:tc>
          <w:tcPr>
            <w:tcW w:w="15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400" w:type="dxa"/>
            <w:vAlign w:val="bottom"/>
          </w:tcPr>
          <w:p>
            <w:pPr>
              <w:spacing w:after="0"/>
              <w:rPr>
                <w:sz w:val="12"/>
                <w:szCs w:val="12"/>
                <w:color w:val="auto"/>
              </w:rPr>
            </w:pPr>
          </w:p>
        </w:tc>
        <w:tc>
          <w:tcPr>
            <w:tcW w:w="1300" w:type="dxa"/>
            <w:vAlign w:val="bottom"/>
            <w:vMerge w:val="restart"/>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6"/>
                <w:szCs w:val="16"/>
                <w:color w:val="auto"/>
              </w:rPr>
            </w:pP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6"/>
                <w:szCs w:val="16"/>
                <w:color w:val="auto"/>
              </w:rPr>
            </w:pPr>
          </w:p>
        </w:tc>
        <w:tc>
          <w:tcPr>
            <w:tcW w:w="15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Investments at Fair Value</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Private Portfolio Companies</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48,517,824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48,517,824</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w:t>
            </w:r>
          </w:p>
        </w:tc>
        <w:tc>
          <w:tcPr>
            <w:tcW w:w="200" w:type="dxa"/>
            <w:vAlign w:val="bottom"/>
          </w:tcPr>
          <w:p>
            <w:pPr>
              <w:spacing w:after="0"/>
              <w:rPr>
                <w:sz w:val="21"/>
                <w:szCs w:val="21"/>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99,856,159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99,856,159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5,584,994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5,584,994</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200" w:type="dxa"/>
            <w:vAlign w:val="bottom"/>
          </w:tcPr>
          <w:p>
            <w:pPr>
              <w:spacing w:after="0"/>
              <w:rPr>
                <w:sz w:val="21"/>
                <w:szCs w:val="21"/>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267,446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267,446</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Private Portfolio Companies</w:t>
            </w:r>
          </w:p>
        </w:tc>
        <w:tc>
          <w:tcPr>
            <w:tcW w:w="2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154,226,423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154,226,423</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Publicly Traded Portfolio Companies</w:t>
            </w:r>
          </w:p>
        </w:tc>
        <w:tc>
          <w:tcPr>
            <w:tcW w:w="2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44,589,406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44,589,406</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Portfolio Investments</w:t>
            </w:r>
          </w:p>
        </w:tc>
        <w:tc>
          <w:tcPr>
            <w:tcW w:w="2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44,589,406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154,226,423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198,815,829</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Non-Portfolio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Treasury bills</w:t>
            </w:r>
          </w:p>
        </w:tc>
        <w:tc>
          <w:tcPr>
            <w:tcW w:w="200" w:type="dxa"/>
            <w:vAlign w:val="bottom"/>
          </w:tcPr>
          <w:p>
            <w:pPr>
              <w:spacing w:after="0"/>
              <w:rPr>
                <w:sz w:val="21"/>
                <w:szCs w:val="21"/>
                <w:color w:val="auto"/>
              </w:rPr>
            </w:pPr>
          </w:p>
        </w:tc>
        <w:tc>
          <w:tcPr>
            <w:tcW w:w="15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99,994,000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99,994,000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Investments at Fair Value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144,583,406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154,226,423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298,809,829</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-3712845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-3712845</wp:posOffset>
            </wp:positionV>
            <wp:extent cx="774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-4064000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-4064000</wp:posOffset>
            </wp:positionV>
            <wp:extent cx="774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-4775835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-4775835</wp:posOffset>
            </wp:positionV>
            <wp:extent cx="774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SUTTER ROCK CAPITAL CORP.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Unobservable Inputs for Level 3 Assets and Liabilities</w:t>
      </w:r>
    </w:p>
    <w:p>
      <w:pPr>
        <w:spacing w:after="0" w:line="229" w:lineRule="exact"/>
        <w:rPr>
          <w:sz w:val="20"/>
          <w:szCs w:val="20"/>
          <w:color w:val="auto"/>
        </w:rPr>
      </w:pPr>
    </w:p>
    <w:p>
      <w:pPr>
        <w:jc w:val="both"/>
        <w:ind w:right="20" w:firstLine="351"/>
        <w:spacing w:after="0" w:line="255" w:lineRule="auto"/>
        <w:rPr>
          <w:sz w:val="20"/>
          <w:szCs w:val="20"/>
          <w:color w:val="auto"/>
        </w:rPr>
      </w:pPr>
      <w:r>
        <w:rPr>
          <w:rFonts w:ascii="Times New Roman" w:cs="Times New Roman" w:eastAsia="Times New Roman" w:hAnsi="Times New Roman"/>
          <w:sz w:val="18"/>
          <w:szCs w:val="18"/>
          <w:color w:val="auto"/>
        </w:rPr>
        <w:t>In accordance with FASB ASC 820, the tables below provide quantitative information about the Company’s fair value measurements of its Level 3 assets as of June 30, 2019 and December 31, 2018. In addition to the techniques and inputs noted in the tables below, according to the Company’s valuation policy, the Company may also use other valuation techniques and methodologies when determining the Company’s fair value measurements. The tables below are not intended to be all-inclusive, but rather provide information on the significant Level 3 inputs as they relate to the Company’s fair value measurements. To the extent an unobservable input is not reflected in the tables below, such input is deemed insignificant with respect to the Company’s Level 3 fair value measurements as of June 30, 2019 and December 31, 2018. Significant changes in the inputs in isolation would result in a significant change in the fair value measurement, depending on the input and the materiality of the investment. Refer to “Note 2—Significant Accounting Policies—</w:t>
      </w:r>
      <w:r>
        <w:rPr>
          <w:rFonts w:ascii="Times New Roman" w:cs="Times New Roman" w:eastAsia="Times New Roman" w:hAnsi="Times New Roman"/>
          <w:sz w:val="18"/>
          <w:szCs w:val="18"/>
          <w:i w:val="1"/>
          <w:iCs w:val="1"/>
          <w:color w:val="auto"/>
        </w:rPr>
        <w:t>Investments at Fair Value</w:t>
      </w:r>
      <w:r>
        <w:rPr>
          <w:rFonts w:ascii="Times New Roman" w:cs="Times New Roman" w:eastAsia="Times New Roman" w:hAnsi="Times New Roman"/>
          <w:sz w:val="18"/>
          <w:szCs w:val="18"/>
          <w:color w:val="auto"/>
        </w:rPr>
        <w:t>” for more detail.</w:t>
      </w:r>
    </w:p>
    <w:p>
      <w:pPr>
        <w:spacing w:after="0" w:line="3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of June 30, 2019</w:t>
      </w:r>
    </w:p>
    <w:p>
      <w:pPr>
        <w:spacing w:after="0" w:line="65" w:lineRule="exact"/>
        <w:rPr>
          <w:sz w:val="20"/>
          <w:szCs w:val="20"/>
          <w:color w:val="auto"/>
        </w:rPr>
      </w:pPr>
    </w:p>
    <w:tbl>
      <w:tblPr>
        <w:tblLayout w:type="fixed"/>
        <w:tblInd w:w="10" w:type="dxa"/>
        <w:tblCellMar>
          <w:top w:w="0" w:type="dxa"/>
          <w:left w:w="0" w:type="dxa"/>
          <w:bottom w:w="0" w:type="dxa"/>
          <w:right w:w="0" w:type="dxa"/>
        </w:tblCellMar>
      </w:tblPr>
      <w:tr>
        <w:trPr>
          <w:trHeight w:val="164"/>
        </w:trPr>
        <w:tc>
          <w:tcPr>
            <w:tcW w:w="3680" w:type="dxa"/>
            <w:vAlign w:val="bottom"/>
            <w:tcBorders>
              <w:top w:val="single" w:sz="8" w:color="auto"/>
              <w:left w:val="single" w:sz="8" w:color="auto"/>
              <w:right w:val="single" w:sz="8" w:color="auto"/>
            </w:tcBorders>
          </w:tcPr>
          <w:p>
            <w:pPr>
              <w:spacing w:after="0"/>
              <w:rPr>
                <w:sz w:val="14"/>
                <w:szCs w:val="14"/>
                <w:color w:val="auto"/>
              </w:rPr>
            </w:pPr>
          </w:p>
        </w:tc>
        <w:tc>
          <w:tcPr>
            <w:tcW w:w="1960" w:type="dxa"/>
            <w:vAlign w:val="bottom"/>
            <w:tcBorders>
              <w:top w:val="single" w:sz="8" w:color="auto"/>
              <w:right w:val="single" w:sz="8" w:color="auto"/>
            </w:tcBorders>
          </w:tcPr>
          <w:p>
            <w:pPr>
              <w:spacing w:after="0"/>
              <w:rPr>
                <w:sz w:val="14"/>
                <w:szCs w:val="14"/>
                <w:color w:val="auto"/>
              </w:rPr>
            </w:pPr>
          </w:p>
        </w:tc>
        <w:tc>
          <w:tcPr>
            <w:tcW w:w="1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Valuation</w:t>
            </w:r>
          </w:p>
        </w:tc>
        <w:tc>
          <w:tcPr>
            <w:tcW w:w="1920" w:type="dxa"/>
            <w:vAlign w:val="bottom"/>
            <w:tcBorders>
              <w:top w:val="single" w:sz="8" w:color="auto"/>
              <w:right w:val="single" w:sz="8" w:color="auto"/>
            </w:tcBorders>
          </w:tcPr>
          <w:p>
            <w:pPr>
              <w:spacing w:after="0"/>
              <w:rPr>
                <w:sz w:val="14"/>
                <w:szCs w:val="14"/>
                <w:color w:val="auto"/>
              </w:rPr>
            </w:pPr>
          </w:p>
        </w:tc>
        <w:tc>
          <w:tcPr>
            <w:tcW w:w="19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Range</w:t>
            </w:r>
          </w:p>
        </w:tc>
        <w:tc>
          <w:tcPr>
            <w:tcW w:w="0" w:type="dxa"/>
            <w:vAlign w:val="bottom"/>
          </w:tcPr>
          <w:p>
            <w:pPr>
              <w:spacing w:after="0"/>
              <w:rPr>
                <w:sz w:val="1"/>
                <w:szCs w:val="1"/>
                <w:color w:val="auto"/>
              </w:rPr>
            </w:pPr>
          </w:p>
        </w:tc>
      </w:tr>
      <w:tr>
        <w:trPr>
          <w:trHeight w:val="68"/>
        </w:trPr>
        <w:tc>
          <w:tcPr>
            <w:tcW w:w="3680" w:type="dxa"/>
            <w:vAlign w:val="bottom"/>
            <w:tcBorders>
              <w:left w:val="single" w:sz="8" w:color="auto"/>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Asset</w:t>
            </w:r>
          </w:p>
        </w:tc>
        <w:tc>
          <w:tcPr>
            <w:tcW w:w="1960" w:type="dxa"/>
            <w:vAlign w:val="bottom"/>
            <w:tcBorders>
              <w:right w:val="single" w:sz="8" w:color="auto"/>
            </w:tcBorders>
            <w:vMerge w:val="restart"/>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94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Approach/</w:t>
            </w:r>
          </w:p>
        </w:tc>
        <w:tc>
          <w:tcPr>
            <w:tcW w:w="192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r>
              <w:rPr>
                <w:rFonts w:ascii="Times New Roman" w:cs="Times New Roman" w:eastAsia="Times New Roman" w:hAnsi="Times New Roman"/>
                <w:sz w:val="8"/>
                <w:szCs w:val="8"/>
                <w:b w:val="1"/>
                <w:bCs w:val="1"/>
                <w:color w:val="auto"/>
              </w:rPr>
              <w:t>(2)</w:t>
            </w:r>
          </w:p>
        </w:tc>
        <w:tc>
          <w:tcPr>
            <w:tcW w:w="19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680" w:type="dxa"/>
            <w:vAlign w:val="bottom"/>
            <w:tcBorders>
              <w:left w:val="single" w:sz="8" w:color="auto"/>
              <w:right w:val="single" w:sz="8" w:color="auto"/>
            </w:tcBorders>
            <w:vMerge w:val="continue"/>
          </w:tcPr>
          <w:p>
            <w:pPr>
              <w:spacing w:after="0"/>
              <w:rPr>
                <w:sz w:val="7"/>
                <w:szCs w:val="7"/>
                <w:color w:val="auto"/>
              </w:rPr>
            </w:pPr>
          </w:p>
        </w:tc>
        <w:tc>
          <w:tcPr>
            <w:tcW w:w="1960" w:type="dxa"/>
            <w:vAlign w:val="bottom"/>
            <w:tcBorders>
              <w:right w:val="single" w:sz="8" w:color="auto"/>
            </w:tcBorders>
            <w:vMerge w:val="continue"/>
          </w:tcPr>
          <w:p>
            <w:pPr>
              <w:spacing w:after="0"/>
              <w:rPr>
                <w:sz w:val="7"/>
                <w:szCs w:val="7"/>
                <w:color w:val="auto"/>
              </w:rPr>
            </w:pPr>
          </w:p>
        </w:tc>
        <w:tc>
          <w:tcPr>
            <w:tcW w:w="1940" w:type="dxa"/>
            <w:vAlign w:val="bottom"/>
            <w:tcBorders>
              <w:right w:val="single" w:sz="8" w:color="auto"/>
            </w:tcBorders>
            <w:vMerge w:val="continue"/>
          </w:tcPr>
          <w:p>
            <w:pPr>
              <w:spacing w:after="0"/>
              <w:rPr>
                <w:sz w:val="7"/>
                <w:szCs w:val="7"/>
                <w:color w:val="auto"/>
              </w:rPr>
            </w:pPr>
          </w:p>
        </w:tc>
        <w:tc>
          <w:tcPr>
            <w:tcW w:w="1920" w:type="dxa"/>
            <w:vAlign w:val="bottom"/>
            <w:tcBorders>
              <w:right w:val="single" w:sz="8" w:color="auto"/>
            </w:tcBorders>
            <w:vMerge w:val="continue"/>
          </w:tcPr>
          <w:p>
            <w:pPr>
              <w:spacing w:after="0"/>
              <w:rPr>
                <w:sz w:val="7"/>
                <w:szCs w:val="7"/>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09"/>
        </w:trPr>
        <w:tc>
          <w:tcPr>
            <w:tcW w:w="3680" w:type="dxa"/>
            <w:vAlign w:val="bottom"/>
            <w:tcBorders>
              <w:left w:val="single" w:sz="8" w:color="auto"/>
              <w:right w:val="single" w:sz="8" w:color="auto"/>
            </w:tcBorders>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Technique</w:t>
            </w:r>
            <w:r>
              <w:rPr>
                <w:rFonts w:ascii="Times New Roman" w:cs="Times New Roman" w:eastAsia="Times New Roman" w:hAnsi="Times New Roman"/>
                <w:sz w:val="8"/>
                <w:szCs w:val="8"/>
                <w:b w:val="1"/>
                <w:bCs w:val="1"/>
                <w:color w:val="auto"/>
              </w:rPr>
              <w:t>(1)</w:t>
            </w:r>
          </w:p>
        </w:tc>
        <w:tc>
          <w:tcPr>
            <w:tcW w:w="1920" w:type="dxa"/>
            <w:vAlign w:val="bottom"/>
            <w:tcBorders>
              <w:right w:val="single" w:sz="8" w:color="auto"/>
            </w:tcBorders>
          </w:tcPr>
          <w:p>
            <w:pPr>
              <w:spacing w:after="0"/>
              <w:rPr>
                <w:sz w:val="9"/>
                <w:szCs w:val="9"/>
                <w:color w:val="auto"/>
              </w:rPr>
            </w:pPr>
          </w:p>
        </w:tc>
        <w:tc>
          <w:tcPr>
            <w:tcW w:w="1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3680" w:type="dxa"/>
            <w:vAlign w:val="bottom"/>
            <w:tcBorders>
              <w:left w:val="single" w:sz="8" w:color="auto"/>
              <w:bottom w:val="single" w:sz="8" w:color="auto"/>
              <w:right w:val="single" w:sz="8" w:color="auto"/>
            </w:tcBorders>
          </w:tcPr>
          <w:p>
            <w:pPr>
              <w:spacing w:after="0"/>
              <w:rPr>
                <w:sz w:val="7"/>
                <w:szCs w:val="7"/>
                <w:color w:val="auto"/>
              </w:rPr>
            </w:pPr>
          </w:p>
        </w:tc>
        <w:tc>
          <w:tcPr>
            <w:tcW w:w="196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9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36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Common stock in</w:t>
            </w:r>
          </w:p>
        </w:tc>
        <w:tc>
          <w:tcPr>
            <w:tcW w:w="1960" w:type="dxa"/>
            <w:vAlign w:val="bottom"/>
            <w:tcBorders>
              <w:right w:val="single" w:sz="8" w:color="auto"/>
            </w:tcBorders>
          </w:tcPr>
          <w:p>
            <w:pPr>
              <w:spacing w:after="0"/>
              <w:rPr>
                <w:sz w:val="21"/>
                <w:szCs w:val="21"/>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Market approach</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Revenue multiples</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1.61x - 3.40x (3.06x)</w:t>
            </w:r>
          </w:p>
        </w:tc>
        <w:tc>
          <w:tcPr>
            <w:tcW w:w="0" w:type="dxa"/>
            <w:vAlign w:val="bottom"/>
          </w:tcPr>
          <w:p>
            <w:pPr>
              <w:spacing w:after="0"/>
              <w:rPr>
                <w:sz w:val="1"/>
                <w:szCs w:val="1"/>
                <w:color w:val="auto"/>
              </w:rPr>
            </w:pPr>
          </w:p>
        </w:tc>
      </w:tr>
      <w:tr>
        <w:trPr>
          <w:trHeight w:val="27"/>
        </w:trPr>
        <w:tc>
          <w:tcPr>
            <w:tcW w:w="3680" w:type="dxa"/>
            <w:vAlign w:val="bottom"/>
            <w:tcBorders>
              <w:left w:val="single" w:sz="8" w:color="auto"/>
              <w:right w:val="single" w:sz="8" w:color="auto"/>
            </w:tcBorders>
            <w:vMerge w:val="continue"/>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1940" w:type="dxa"/>
            <w:vAlign w:val="bottom"/>
            <w:tcBorders>
              <w:right w:val="single" w:sz="8" w:color="auto"/>
            </w:tcBorders>
            <w:vMerge w:val="continue"/>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0"/>
        </w:trPr>
        <w:tc>
          <w:tcPr>
            <w:tcW w:w="3680" w:type="dxa"/>
            <w:vAlign w:val="bottom"/>
            <w:tcBorders>
              <w:left w:val="single" w:sz="8" w:color="auto"/>
              <w:right w:val="single" w:sz="8" w:color="auto"/>
            </w:tcBorders>
            <w:vMerge w:val="continue"/>
          </w:tcPr>
          <w:p>
            <w:pPr>
              <w:spacing w:after="0"/>
              <w:rPr>
                <w:sz w:val="9"/>
                <w:szCs w:val="9"/>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$45,474,228</w:t>
            </w:r>
          </w:p>
        </w:tc>
        <w:tc>
          <w:tcPr>
            <w:tcW w:w="1940" w:type="dxa"/>
            <w:vAlign w:val="bottom"/>
            <w:tcBorders>
              <w:right w:val="single" w:sz="8" w:color="auto"/>
            </w:tcBorders>
            <w:vMerge w:val="continue"/>
          </w:tcPr>
          <w:p>
            <w:pPr>
              <w:spacing w:after="0"/>
              <w:rPr>
                <w:sz w:val="9"/>
                <w:szCs w:val="9"/>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Liquidation value</w:t>
            </w: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26"/>
        </w:trPr>
        <w:tc>
          <w:tcPr>
            <w:tcW w:w="36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private companies</w:t>
            </w:r>
          </w:p>
        </w:tc>
        <w:tc>
          <w:tcPr>
            <w:tcW w:w="1960" w:type="dxa"/>
            <w:vAlign w:val="bottom"/>
            <w:tcBorders>
              <w:right w:val="single" w:sz="8" w:color="auto"/>
            </w:tcBorders>
            <w:vMerge w:val="continue"/>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19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3680" w:type="dxa"/>
            <w:vAlign w:val="bottom"/>
            <w:tcBorders>
              <w:left w:val="single" w:sz="8" w:color="auto"/>
              <w:right w:val="single" w:sz="8" w:color="auto"/>
            </w:tcBorders>
            <w:vMerge w:val="continue"/>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3680" w:type="dxa"/>
            <w:vAlign w:val="bottom"/>
            <w:tcBorders>
              <w:left w:val="single" w:sz="8" w:color="auto"/>
              <w:right w:val="single" w:sz="8" w:color="auto"/>
            </w:tcBorders>
            <w:vMerge w:val="continue"/>
          </w:tcPr>
          <w:p>
            <w:pPr>
              <w:spacing w:after="0"/>
              <w:rPr>
                <w:sz w:val="5"/>
                <w:szCs w:val="5"/>
                <w:color w:val="auto"/>
              </w:rPr>
            </w:pPr>
          </w:p>
        </w:tc>
        <w:tc>
          <w:tcPr>
            <w:tcW w:w="1960" w:type="dxa"/>
            <w:vAlign w:val="bottom"/>
            <w:tcBorders>
              <w:right w:val="single" w:sz="8" w:color="auto"/>
            </w:tcBorders>
          </w:tcPr>
          <w:p>
            <w:pPr>
              <w:spacing w:after="0"/>
              <w:rPr>
                <w:sz w:val="5"/>
                <w:szCs w:val="5"/>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Discounted cash flow</w:t>
            </w: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Discount rate</w:t>
            </w: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12.0% (12.0%)</w:t>
            </w:r>
          </w:p>
        </w:tc>
        <w:tc>
          <w:tcPr>
            <w:tcW w:w="0" w:type="dxa"/>
            <w:vAlign w:val="bottom"/>
          </w:tcPr>
          <w:p>
            <w:pPr>
              <w:spacing w:after="0"/>
              <w:rPr>
                <w:sz w:val="1"/>
                <w:szCs w:val="1"/>
                <w:color w:val="auto"/>
              </w:rPr>
            </w:pPr>
          </w:p>
        </w:tc>
      </w:tr>
      <w:tr>
        <w:trPr>
          <w:trHeight w:val="176"/>
        </w:trPr>
        <w:tc>
          <w:tcPr>
            <w:tcW w:w="3680" w:type="dxa"/>
            <w:vAlign w:val="bottom"/>
            <w:tcBorders>
              <w:left w:val="single" w:sz="8" w:color="auto"/>
              <w:right w:val="single" w:sz="8" w:color="auto"/>
            </w:tcBorders>
          </w:tcPr>
          <w:p>
            <w:pPr>
              <w:spacing w:after="0"/>
              <w:rPr>
                <w:sz w:val="15"/>
                <w:szCs w:val="15"/>
                <w:color w:val="auto"/>
              </w:rPr>
            </w:pPr>
          </w:p>
        </w:tc>
        <w:tc>
          <w:tcPr>
            <w:tcW w:w="1960" w:type="dxa"/>
            <w:vAlign w:val="bottom"/>
            <w:tcBorders>
              <w:right w:val="single" w:sz="8" w:color="auto"/>
            </w:tcBorders>
          </w:tcPr>
          <w:p>
            <w:pPr>
              <w:spacing w:after="0"/>
              <w:rPr>
                <w:sz w:val="15"/>
                <w:szCs w:val="15"/>
                <w:color w:val="auto"/>
              </w:rPr>
            </w:pPr>
          </w:p>
        </w:tc>
        <w:tc>
          <w:tcPr>
            <w:tcW w:w="1940" w:type="dxa"/>
            <w:vAlign w:val="bottom"/>
            <w:tcBorders>
              <w:right w:val="single" w:sz="8" w:color="auto"/>
            </w:tcBorders>
            <w:vMerge w:val="continue"/>
          </w:tcPr>
          <w:p>
            <w:pPr>
              <w:spacing w:after="0"/>
              <w:rPr>
                <w:sz w:val="15"/>
                <w:szCs w:val="15"/>
                <w:color w:val="auto"/>
              </w:rPr>
            </w:pPr>
          </w:p>
        </w:tc>
        <w:tc>
          <w:tcPr>
            <w:tcW w:w="1920" w:type="dxa"/>
            <w:vAlign w:val="bottom"/>
            <w:tcBorders>
              <w:right w:val="single" w:sz="8" w:color="auto"/>
            </w:tcBorders>
            <w:vMerge w:val="continue"/>
          </w:tcPr>
          <w:p>
            <w:pPr>
              <w:spacing w:after="0"/>
              <w:rPr>
                <w:sz w:val="15"/>
                <w:szCs w:val="15"/>
                <w:color w:val="auto"/>
              </w:rPr>
            </w:pPr>
          </w:p>
        </w:tc>
        <w:tc>
          <w:tcPr>
            <w:tcW w:w="194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8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Revenue multiples</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2.99x - 6.02x (4.46x)</w:t>
            </w:r>
          </w:p>
        </w:tc>
        <w:tc>
          <w:tcPr>
            <w:tcW w:w="0" w:type="dxa"/>
            <w:vAlign w:val="bottom"/>
          </w:tcPr>
          <w:p>
            <w:pPr>
              <w:spacing w:after="0"/>
              <w:rPr>
                <w:sz w:val="1"/>
                <w:szCs w:val="1"/>
                <w:color w:val="auto"/>
              </w:rPr>
            </w:pPr>
          </w:p>
        </w:tc>
      </w:tr>
      <w:tr>
        <w:trPr>
          <w:trHeight w:val="27"/>
        </w:trPr>
        <w:tc>
          <w:tcPr>
            <w:tcW w:w="368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Market approach</w:t>
            </w: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680" w:type="dxa"/>
            <w:vAlign w:val="bottom"/>
            <w:tcBorders>
              <w:left w:val="single" w:sz="8" w:color="auto"/>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vMerge w:val="continue"/>
          </w:tcPr>
          <w:p>
            <w:pPr>
              <w:spacing w:after="0"/>
              <w:rPr>
                <w:sz w:val="18"/>
                <w:szCs w:val="18"/>
                <w:color w:val="auto"/>
              </w:rPr>
            </w:pP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Precedent</w:t>
            </w: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4.70x (4.70x)</w:t>
            </w:r>
          </w:p>
        </w:tc>
        <w:tc>
          <w:tcPr>
            <w:tcW w:w="0" w:type="dxa"/>
            <w:vAlign w:val="bottom"/>
          </w:tcPr>
          <w:p>
            <w:pPr>
              <w:spacing w:after="0"/>
              <w:rPr>
                <w:sz w:val="1"/>
                <w:szCs w:val="1"/>
                <w:color w:val="auto"/>
              </w:rPr>
            </w:pPr>
          </w:p>
        </w:tc>
      </w:tr>
      <w:tr>
        <w:trPr>
          <w:trHeight w:val="126"/>
        </w:trPr>
        <w:tc>
          <w:tcPr>
            <w:tcW w:w="36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Preferred stock in</w:t>
            </w:r>
          </w:p>
        </w:tc>
        <w:tc>
          <w:tcPr>
            <w:tcW w:w="1960" w:type="dxa"/>
            <w:vAlign w:val="bottom"/>
            <w:tcBorders>
              <w:right w:val="single" w:sz="8" w:color="auto"/>
            </w:tcBorders>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transactions</w:t>
            </w:r>
          </w:p>
        </w:tc>
        <w:tc>
          <w:tcPr>
            <w:tcW w:w="19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680" w:type="dxa"/>
            <w:vAlign w:val="bottom"/>
            <w:tcBorders>
              <w:left w:val="single" w:sz="8" w:color="auto"/>
              <w:right w:val="single" w:sz="8" w:color="auto"/>
            </w:tcBorders>
            <w:vMerge w:val="continue"/>
          </w:tcPr>
          <w:p>
            <w:pPr>
              <w:spacing w:after="0"/>
              <w:rPr>
                <w:sz w:val="9"/>
                <w:szCs w:val="9"/>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$106,382,765</w:t>
            </w:r>
          </w:p>
        </w:tc>
        <w:tc>
          <w:tcPr>
            <w:tcW w:w="1940" w:type="dxa"/>
            <w:vAlign w:val="bottom"/>
            <w:tcBorders>
              <w:right w:val="single" w:sz="8" w:color="auto"/>
            </w:tcBorders>
          </w:tcPr>
          <w:p>
            <w:pPr>
              <w:spacing w:after="0"/>
              <w:rPr>
                <w:sz w:val="9"/>
                <w:szCs w:val="9"/>
                <w:color w:val="auto"/>
              </w:rPr>
            </w:pPr>
          </w:p>
        </w:tc>
        <w:tc>
          <w:tcPr>
            <w:tcW w:w="1920" w:type="dxa"/>
            <w:vAlign w:val="bottom"/>
            <w:tcBorders>
              <w:right w:val="single" w:sz="8" w:color="auto"/>
            </w:tcBorders>
            <w:vMerge w:val="continue"/>
          </w:tcPr>
          <w:p>
            <w:pPr>
              <w:spacing w:after="0"/>
              <w:rPr>
                <w:sz w:val="9"/>
                <w:szCs w:val="9"/>
                <w:color w:val="auto"/>
              </w:rPr>
            </w:pPr>
          </w:p>
        </w:tc>
        <w:tc>
          <w:tcPr>
            <w:tcW w:w="19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680" w:type="dxa"/>
            <w:vAlign w:val="bottom"/>
            <w:tcBorders>
              <w:left w:val="single" w:sz="8" w:color="auto"/>
              <w:right w:val="single" w:sz="8" w:color="auto"/>
            </w:tcBorders>
            <w:vMerge w:val="continue"/>
          </w:tcPr>
          <w:p>
            <w:pPr>
              <w:spacing w:after="0"/>
              <w:rPr>
                <w:sz w:val="2"/>
                <w:szCs w:val="2"/>
                <w:color w:val="auto"/>
              </w:rPr>
            </w:pPr>
          </w:p>
        </w:tc>
        <w:tc>
          <w:tcPr>
            <w:tcW w:w="1960" w:type="dxa"/>
            <w:vAlign w:val="bottom"/>
            <w:tcBorders>
              <w:right w:val="single" w:sz="8" w:color="auto"/>
            </w:tcBorders>
            <w:vMerge w:val="continue"/>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6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private companies</w:t>
            </w:r>
          </w:p>
        </w:tc>
        <w:tc>
          <w:tcPr>
            <w:tcW w:w="1960" w:type="dxa"/>
            <w:vAlign w:val="bottom"/>
            <w:tcBorders>
              <w:right w:val="single" w:sz="8" w:color="auto"/>
            </w:tcBorders>
            <w:vMerge w:val="continue"/>
          </w:tcPr>
          <w:p>
            <w:pPr>
              <w:spacing w:after="0"/>
              <w:rPr>
                <w:sz w:val="11"/>
                <w:szCs w:val="11"/>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Discounted cash flow</w:t>
            </w: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Discount rate</w:t>
            </w: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12.0% (12.0%)</w:t>
            </w:r>
          </w:p>
        </w:tc>
        <w:tc>
          <w:tcPr>
            <w:tcW w:w="0" w:type="dxa"/>
            <w:vAlign w:val="bottom"/>
          </w:tcPr>
          <w:p>
            <w:pPr>
              <w:spacing w:after="0"/>
              <w:rPr>
                <w:sz w:val="1"/>
                <w:szCs w:val="1"/>
                <w:color w:val="auto"/>
              </w:rPr>
            </w:pPr>
          </w:p>
        </w:tc>
      </w:tr>
      <w:tr>
        <w:trPr>
          <w:trHeight w:val="108"/>
        </w:trPr>
        <w:tc>
          <w:tcPr>
            <w:tcW w:w="3680" w:type="dxa"/>
            <w:vAlign w:val="bottom"/>
            <w:tcBorders>
              <w:left w:val="single" w:sz="8" w:color="auto"/>
              <w:right w:val="single" w:sz="8" w:color="auto"/>
            </w:tcBorders>
            <w:vMerge w:val="continue"/>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1940" w:type="dxa"/>
            <w:vAlign w:val="bottom"/>
            <w:tcBorders>
              <w:right w:val="single" w:sz="8" w:color="auto"/>
            </w:tcBorders>
            <w:vMerge w:val="continue"/>
          </w:tcPr>
          <w:p>
            <w:pPr>
              <w:spacing w:after="0"/>
              <w:rPr>
                <w:sz w:val="9"/>
                <w:szCs w:val="9"/>
                <w:color w:val="auto"/>
              </w:rPr>
            </w:pPr>
          </w:p>
        </w:tc>
        <w:tc>
          <w:tcPr>
            <w:tcW w:w="1920" w:type="dxa"/>
            <w:vAlign w:val="bottom"/>
            <w:tcBorders>
              <w:right w:val="single" w:sz="8" w:color="auto"/>
            </w:tcBorders>
            <w:vMerge w:val="continue"/>
          </w:tcPr>
          <w:p>
            <w:pPr>
              <w:spacing w:after="0"/>
              <w:rPr>
                <w:sz w:val="9"/>
                <w:szCs w:val="9"/>
                <w:color w:val="auto"/>
              </w:rPr>
            </w:pPr>
          </w:p>
        </w:tc>
        <w:tc>
          <w:tcPr>
            <w:tcW w:w="1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68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8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PWERM</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Revenue multiples</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1.21x - 2.16x (1.94x)</w:t>
            </w:r>
          </w:p>
        </w:tc>
        <w:tc>
          <w:tcPr>
            <w:tcW w:w="0" w:type="dxa"/>
            <w:vAlign w:val="bottom"/>
          </w:tcPr>
          <w:p>
            <w:pPr>
              <w:spacing w:after="0"/>
              <w:rPr>
                <w:sz w:val="1"/>
                <w:szCs w:val="1"/>
                <w:color w:val="auto"/>
              </w:rPr>
            </w:pPr>
          </w:p>
        </w:tc>
      </w:tr>
      <w:tr>
        <w:trPr>
          <w:trHeight w:val="27"/>
        </w:trPr>
        <w:tc>
          <w:tcPr>
            <w:tcW w:w="368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1940" w:type="dxa"/>
            <w:vAlign w:val="bottom"/>
            <w:tcBorders>
              <w:right w:val="single" w:sz="8" w:color="auto"/>
            </w:tcBorders>
            <w:vMerge w:val="continue"/>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680" w:type="dxa"/>
            <w:vAlign w:val="bottom"/>
            <w:tcBorders>
              <w:left w:val="single" w:sz="8" w:color="auto"/>
              <w:right w:val="single" w:sz="8" w:color="auto"/>
            </w:tcBorders>
          </w:tcPr>
          <w:p>
            <w:pPr>
              <w:spacing w:after="0"/>
              <w:rPr>
                <w:sz w:val="7"/>
                <w:szCs w:val="7"/>
                <w:color w:val="auto"/>
              </w:rPr>
            </w:pPr>
          </w:p>
        </w:tc>
        <w:tc>
          <w:tcPr>
            <w:tcW w:w="1960" w:type="dxa"/>
            <w:vAlign w:val="bottom"/>
            <w:tcBorders>
              <w:right w:val="single" w:sz="8" w:color="auto"/>
            </w:tcBorders>
          </w:tcPr>
          <w:p>
            <w:pPr>
              <w:spacing w:after="0"/>
              <w:rPr>
                <w:sz w:val="7"/>
                <w:szCs w:val="7"/>
                <w:color w:val="auto"/>
              </w:rPr>
            </w:pPr>
          </w:p>
        </w:tc>
        <w:tc>
          <w:tcPr>
            <w:tcW w:w="1940" w:type="dxa"/>
            <w:vAlign w:val="bottom"/>
            <w:tcBorders>
              <w:right w:val="single" w:sz="8" w:color="auto"/>
            </w:tcBorders>
            <w:vMerge w:val="continue"/>
          </w:tcPr>
          <w:p>
            <w:pPr>
              <w:spacing w:after="0"/>
              <w:rPr>
                <w:sz w:val="7"/>
                <w:szCs w:val="7"/>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Precedent transactions</w:t>
            </w: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3.07x (3.07x)</w:t>
            </w:r>
          </w:p>
        </w:tc>
        <w:tc>
          <w:tcPr>
            <w:tcW w:w="0" w:type="dxa"/>
            <w:vAlign w:val="bottom"/>
          </w:tcPr>
          <w:p>
            <w:pPr>
              <w:spacing w:after="0"/>
              <w:rPr>
                <w:sz w:val="1"/>
                <w:szCs w:val="1"/>
                <w:color w:val="auto"/>
              </w:rPr>
            </w:pPr>
          </w:p>
        </w:tc>
      </w:tr>
      <w:tr>
        <w:trPr>
          <w:trHeight w:val="149"/>
        </w:trPr>
        <w:tc>
          <w:tcPr>
            <w:tcW w:w="3680" w:type="dxa"/>
            <w:vAlign w:val="bottom"/>
            <w:tcBorders>
              <w:left w:val="single" w:sz="8" w:color="auto"/>
              <w:right w:val="single" w:sz="8" w:color="auto"/>
            </w:tcBorders>
          </w:tcPr>
          <w:p>
            <w:pPr>
              <w:spacing w:after="0"/>
              <w:rPr>
                <w:sz w:val="12"/>
                <w:szCs w:val="12"/>
                <w:color w:val="auto"/>
              </w:rPr>
            </w:pPr>
          </w:p>
        </w:tc>
        <w:tc>
          <w:tcPr>
            <w:tcW w:w="196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vMerge w:val="continue"/>
          </w:tcPr>
          <w:p>
            <w:pPr>
              <w:spacing w:after="0"/>
              <w:rPr>
                <w:sz w:val="12"/>
                <w:szCs w:val="12"/>
                <w:color w:val="auto"/>
              </w:rPr>
            </w:pPr>
          </w:p>
        </w:tc>
        <w:tc>
          <w:tcPr>
            <w:tcW w:w="19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8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Market approach</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Revenue multiples</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1.61x - 1.89x (1.75x)</w:t>
            </w:r>
          </w:p>
        </w:tc>
        <w:tc>
          <w:tcPr>
            <w:tcW w:w="0" w:type="dxa"/>
            <w:vAlign w:val="bottom"/>
          </w:tcPr>
          <w:p>
            <w:pPr>
              <w:spacing w:after="0"/>
              <w:rPr>
                <w:sz w:val="1"/>
                <w:szCs w:val="1"/>
                <w:color w:val="auto"/>
              </w:rPr>
            </w:pPr>
          </w:p>
        </w:tc>
      </w:tr>
      <w:tr>
        <w:trPr>
          <w:trHeight w:val="27"/>
        </w:trPr>
        <w:tc>
          <w:tcPr>
            <w:tcW w:w="368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Debt investments</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$1,343,579</w:t>
            </w: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PWERM</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Revenue multiples</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1.84x - 1.94x (1.89x)</w:t>
            </w:r>
          </w:p>
        </w:tc>
        <w:tc>
          <w:tcPr>
            <w:tcW w:w="0" w:type="dxa"/>
            <w:vAlign w:val="bottom"/>
          </w:tcPr>
          <w:p>
            <w:pPr>
              <w:spacing w:after="0"/>
              <w:rPr>
                <w:sz w:val="1"/>
                <w:szCs w:val="1"/>
                <w:color w:val="auto"/>
              </w:rPr>
            </w:pPr>
          </w:p>
        </w:tc>
      </w:tr>
      <w:tr>
        <w:trPr>
          <w:trHeight w:val="27"/>
        </w:trPr>
        <w:tc>
          <w:tcPr>
            <w:tcW w:w="368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1940" w:type="dxa"/>
            <w:vAlign w:val="bottom"/>
            <w:tcBorders>
              <w:right w:val="single" w:sz="8" w:color="auto"/>
            </w:tcBorders>
            <w:vMerge w:val="continue"/>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680" w:type="dxa"/>
            <w:vAlign w:val="bottom"/>
            <w:tcBorders>
              <w:left w:val="single" w:sz="8" w:color="auto"/>
              <w:right w:val="single" w:sz="8" w:color="auto"/>
            </w:tcBorders>
          </w:tcPr>
          <w:p>
            <w:pPr>
              <w:spacing w:after="0"/>
              <w:rPr>
                <w:sz w:val="7"/>
                <w:szCs w:val="7"/>
                <w:color w:val="auto"/>
              </w:rPr>
            </w:pPr>
          </w:p>
        </w:tc>
        <w:tc>
          <w:tcPr>
            <w:tcW w:w="1960" w:type="dxa"/>
            <w:vAlign w:val="bottom"/>
            <w:tcBorders>
              <w:right w:val="single" w:sz="8" w:color="auto"/>
            </w:tcBorders>
          </w:tcPr>
          <w:p>
            <w:pPr>
              <w:spacing w:after="0"/>
              <w:rPr>
                <w:sz w:val="7"/>
                <w:szCs w:val="7"/>
                <w:color w:val="auto"/>
              </w:rPr>
            </w:pPr>
          </w:p>
        </w:tc>
        <w:tc>
          <w:tcPr>
            <w:tcW w:w="1940" w:type="dxa"/>
            <w:vAlign w:val="bottom"/>
            <w:tcBorders>
              <w:right w:val="single" w:sz="8" w:color="auto"/>
            </w:tcBorders>
            <w:vMerge w:val="continue"/>
          </w:tcPr>
          <w:p>
            <w:pPr>
              <w:spacing w:after="0"/>
              <w:rPr>
                <w:sz w:val="7"/>
                <w:szCs w:val="7"/>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Liquidation value</w:t>
            </w: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49"/>
        </w:trPr>
        <w:tc>
          <w:tcPr>
            <w:tcW w:w="3680" w:type="dxa"/>
            <w:vAlign w:val="bottom"/>
            <w:tcBorders>
              <w:left w:val="single" w:sz="8" w:color="auto"/>
              <w:right w:val="single" w:sz="8" w:color="auto"/>
            </w:tcBorders>
          </w:tcPr>
          <w:p>
            <w:pPr>
              <w:spacing w:after="0"/>
              <w:rPr>
                <w:sz w:val="12"/>
                <w:szCs w:val="12"/>
                <w:color w:val="auto"/>
              </w:rPr>
            </w:pPr>
          </w:p>
        </w:tc>
        <w:tc>
          <w:tcPr>
            <w:tcW w:w="196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vMerge w:val="continue"/>
          </w:tcPr>
          <w:p>
            <w:pPr>
              <w:spacing w:after="0"/>
              <w:rPr>
                <w:sz w:val="12"/>
                <w:szCs w:val="12"/>
                <w:color w:val="auto"/>
              </w:rPr>
            </w:pPr>
          </w:p>
        </w:tc>
        <w:tc>
          <w:tcPr>
            <w:tcW w:w="19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680" w:type="dxa"/>
            <w:vAlign w:val="bottom"/>
            <w:tcBorders>
              <w:left w:val="single" w:sz="8" w:color="auto"/>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Term to expiration</w:t>
            </w: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0.63 - 8.78 (2.21)</w:t>
            </w:r>
          </w:p>
        </w:tc>
        <w:tc>
          <w:tcPr>
            <w:tcW w:w="0" w:type="dxa"/>
            <w:vAlign w:val="bottom"/>
          </w:tcPr>
          <w:p>
            <w:pPr>
              <w:spacing w:after="0"/>
              <w:rPr>
                <w:sz w:val="1"/>
                <w:szCs w:val="1"/>
                <w:color w:val="auto"/>
              </w:rPr>
            </w:pPr>
          </w:p>
        </w:tc>
      </w:tr>
      <w:tr>
        <w:trPr>
          <w:trHeight w:val="126"/>
        </w:trPr>
        <w:tc>
          <w:tcPr>
            <w:tcW w:w="36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Warrants</w:t>
            </w: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$225,625</w:t>
            </w: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Option pricing model</w:t>
            </w: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(Years)</w:t>
            </w:r>
          </w:p>
        </w:tc>
        <w:tc>
          <w:tcPr>
            <w:tcW w:w="19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680" w:type="dxa"/>
            <w:vAlign w:val="bottom"/>
            <w:tcBorders>
              <w:left w:val="single" w:sz="8" w:color="auto"/>
              <w:right w:val="single" w:sz="8" w:color="auto"/>
            </w:tcBorders>
            <w:vMerge w:val="continue"/>
          </w:tcPr>
          <w:p>
            <w:pPr>
              <w:spacing w:after="0"/>
              <w:rPr>
                <w:sz w:val="11"/>
                <w:szCs w:val="11"/>
                <w:color w:val="auto"/>
              </w:rPr>
            </w:pPr>
          </w:p>
        </w:tc>
        <w:tc>
          <w:tcPr>
            <w:tcW w:w="1960" w:type="dxa"/>
            <w:vAlign w:val="bottom"/>
            <w:tcBorders>
              <w:right w:val="single" w:sz="8" w:color="auto"/>
            </w:tcBorders>
            <w:vMerge w:val="continue"/>
          </w:tcPr>
          <w:p>
            <w:pPr>
              <w:spacing w:after="0"/>
              <w:rPr>
                <w:sz w:val="11"/>
                <w:szCs w:val="11"/>
                <w:color w:val="auto"/>
              </w:rPr>
            </w:pPr>
          </w:p>
        </w:tc>
        <w:tc>
          <w:tcPr>
            <w:tcW w:w="1940" w:type="dxa"/>
            <w:vAlign w:val="bottom"/>
            <w:tcBorders>
              <w:right w:val="single" w:sz="8" w:color="auto"/>
            </w:tcBorders>
            <w:vMerge w:val="continue"/>
          </w:tcPr>
          <w:p>
            <w:pPr>
              <w:spacing w:after="0"/>
              <w:rPr>
                <w:sz w:val="11"/>
                <w:szCs w:val="11"/>
                <w:color w:val="auto"/>
              </w:rPr>
            </w:pPr>
          </w:p>
        </w:tc>
        <w:tc>
          <w:tcPr>
            <w:tcW w:w="1920" w:type="dxa"/>
            <w:vAlign w:val="bottom"/>
            <w:tcBorders>
              <w:bottom w:val="single" w:sz="8" w:color="auto"/>
              <w:right w:val="single" w:sz="8" w:color="auto"/>
            </w:tcBorders>
            <w:vMerge w:val="continue"/>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368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Volatility</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28.8%-48.0% (29.8%)</w:t>
            </w:r>
          </w:p>
        </w:tc>
        <w:tc>
          <w:tcPr>
            <w:tcW w:w="0" w:type="dxa"/>
            <w:vAlign w:val="bottom"/>
          </w:tcPr>
          <w:p>
            <w:pPr>
              <w:spacing w:after="0"/>
              <w:rPr>
                <w:sz w:val="1"/>
                <w:szCs w:val="1"/>
                <w:color w:val="auto"/>
              </w:rPr>
            </w:pP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117" w:lineRule="exact"/>
        <w:rPr>
          <w:sz w:val="20"/>
          <w:szCs w:val="20"/>
          <w:color w:val="auto"/>
        </w:rPr>
      </w:pPr>
    </w:p>
    <w:p>
      <w:pPr>
        <w:jc w:val="both"/>
        <w:ind w:left="660" w:right="20" w:hanging="652"/>
        <w:spacing w:after="0" w:line="255" w:lineRule="auto"/>
        <w:tabs>
          <w:tab w:leader="none" w:pos="6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June 30, 2019, the Company used a hybrid market and income approach to value certain common and preferred stock investments as the Company felt this approach better reflected the fair value of these investments. By considering multiple valuation approaches (and consequently, multiple valuation techniques), the valuation approaches and techniques are not likely to change from one period of measurement to the next; however, the weighting of each in determining the final fair value of a Level 3 investment may change based on recent events or transactions. Refer to “Note 2—Significant Accounting Policies—</w:t>
      </w:r>
      <w:r>
        <w:rPr>
          <w:rFonts w:ascii="Times New Roman" w:cs="Times New Roman" w:eastAsia="Times New Roman" w:hAnsi="Times New Roman"/>
          <w:sz w:val="16"/>
          <w:szCs w:val="16"/>
          <w:i w:val="1"/>
          <w:iCs w:val="1"/>
          <w:color w:val="auto"/>
        </w:rPr>
        <w:t>Investments at Fair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Value</w:t>
      </w:r>
      <w:r>
        <w:rPr>
          <w:rFonts w:ascii="Times New Roman" w:cs="Times New Roman" w:eastAsia="Times New Roman" w:hAnsi="Times New Roman"/>
          <w:sz w:val="16"/>
          <w:szCs w:val="16"/>
          <w:color w:val="auto"/>
        </w:rPr>
        <w:t>” for more detail.</w:t>
      </w:r>
    </w:p>
    <w:p>
      <w:pPr>
        <w:spacing w:after="0" w:line="75" w:lineRule="exact"/>
        <w:rPr>
          <w:rFonts w:ascii="Times New Roman" w:cs="Times New Roman" w:eastAsia="Times New Roman" w:hAnsi="Times New Roman"/>
          <w:sz w:val="16"/>
          <w:szCs w:val="16"/>
          <w:color w:val="auto"/>
        </w:rPr>
      </w:pPr>
    </w:p>
    <w:p>
      <w:pPr>
        <w:jc w:val="both"/>
        <w:ind w:left="660" w:right="20" w:hanging="652"/>
        <w:spacing w:after="0" w:line="263" w:lineRule="auto"/>
        <w:tabs>
          <w:tab w:leader="none" w:pos="6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considers all relevant information that can reasonably be obtained when determining the fair value of Level 3 investments. Due to any given portfolio company’s information rights, changes in capital structure, recent events, transactions, or liquidity events, the type and availability of unobservable inputs may change. Increases/(decreases) in revenue multiples, earnings before interest and</w:t>
      </w: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40"/>
          </w:cols>
          <w:pgMar w:left="240" w:top="118" w:right="219" w:bottom="1440" w:gutter="0" w:footer="0" w:header="0"/>
        </w:sectPr>
      </w:pPr>
    </w:p>
    <w:bookmarkStart w:id="34" w:name="page35"/>
    <w:bookmarkEnd w:id="3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SUTTER ROCK CAPITAL CORP.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373" w:lineRule="exact"/>
        <w:rPr>
          <w:sz w:val="20"/>
          <w:szCs w:val="20"/>
          <w:color w:val="auto"/>
        </w:rPr>
      </w:pPr>
    </w:p>
    <w:p>
      <w:pPr>
        <w:jc w:val="both"/>
        <w:ind w:left="660" w:right="20"/>
        <w:spacing w:after="0" w:line="340" w:lineRule="auto"/>
        <w:rPr>
          <w:sz w:val="20"/>
          <w:szCs w:val="20"/>
          <w:color w:val="auto"/>
        </w:rPr>
      </w:pPr>
      <w:r>
        <w:rPr>
          <w:rFonts w:ascii="Times New Roman" w:cs="Times New Roman" w:eastAsia="Times New Roman" w:hAnsi="Times New Roman"/>
          <w:sz w:val="16"/>
          <w:szCs w:val="16"/>
          <w:color w:val="auto"/>
        </w:rPr>
        <w:t>taxes (“EBIT”) multiples, time to expiration, and stock price/strike price would result in higher (lower) fair values all else equal. Decreases (increases) in discount rates, volatility, and annual risk rates, would result in higher (lower) fair values all else equal. The market approach utilizes market value (revenue and EBIT) multiples of publicly traded comparable companies and available precedent sales transactions of comparable companies. The Company carefully considers numerous factors when selecting the appropriate companies whose multiples are used to value its portfolio companies. These factors include, but are 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2—Significant Accounting Policies—</w:t>
      </w:r>
      <w:r>
        <w:rPr>
          <w:rFonts w:ascii="Times New Roman" w:cs="Times New Roman" w:eastAsia="Times New Roman" w:hAnsi="Times New Roman"/>
          <w:sz w:val="16"/>
          <w:szCs w:val="16"/>
          <w:i w:val="1"/>
          <w:iCs w:val="1"/>
          <w:color w:val="auto"/>
        </w:rPr>
        <w:t>Investments at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Fair Value</w:t>
      </w:r>
      <w:r>
        <w:rPr>
          <w:rFonts w:ascii="Times New Roman" w:cs="Times New Roman" w:eastAsia="Times New Roman" w:hAnsi="Times New Roman"/>
          <w:sz w:val="16"/>
          <w:szCs w:val="16"/>
          <w:color w:val="auto"/>
        </w:rPr>
        <w:t>” for more detail.</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of December 31, 2018</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0" w:type="dxa"/>
            <w:vAlign w:val="bottom"/>
            <w:tcBorders>
              <w:right w:val="single" w:sz="8" w:color="auto"/>
            </w:tcBorders>
          </w:tcPr>
          <w:p>
            <w:pPr>
              <w:spacing w:after="0"/>
              <w:rPr>
                <w:sz w:val="14"/>
                <w:szCs w:val="14"/>
                <w:color w:val="auto"/>
              </w:rPr>
            </w:pPr>
          </w:p>
        </w:tc>
        <w:tc>
          <w:tcPr>
            <w:tcW w:w="2860" w:type="dxa"/>
            <w:vAlign w:val="bottom"/>
            <w:tcBorders>
              <w:top w:val="single" w:sz="8" w:color="auto"/>
              <w:right w:val="single" w:sz="8" w:color="auto"/>
            </w:tcBorders>
          </w:tcPr>
          <w:p>
            <w:pPr>
              <w:spacing w:after="0"/>
              <w:rPr>
                <w:sz w:val="14"/>
                <w:szCs w:val="14"/>
                <w:color w:val="auto"/>
              </w:rPr>
            </w:pPr>
          </w:p>
        </w:tc>
        <w:tc>
          <w:tcPr>
            <w:tcW w:w="1820" w:type="dxa"/>
            <w:vAlign w:val="bottom"/>
            <w:tcBorders>
              <w:top w:val="single" w:sz="8" w:color="auto"/>
              <w:right w:val="single" w:sz="8" w:color="auto"/>
            </w:tcBorders>
          </w:tcPr>
          <w:p>
            <w:pPr>
              <w:spacing w:after="0"/>
              <w:rPr>
                <w:sz w:val="14"/>
                <w:szCs w:val="14"/>
                <w:color w:val="auto"/>
              </w:rPr>
            </w:pPr>
          </w:p>
        </w:tc>
        <w:tc>
          <w:tcPr>
            <w:tcW w:w="20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2500" w:type="dxa"/>
            <w:vAlign w:val="bottom"/>
            <w:tcBorders>
              <w:top w:val="single" w:sz="8" w:color="auto"/>
              <w:right w:val="single" w:sz="8" w:color="auto"/>
            </w:tcBorders>
          </w:tcPr>
          <w:p>
            <w:pPr>
              <w:spacing w:after="0"/>
              <w:rPr>
                <w:sz w:val="14"/>
                <w:szCs w:val="14"/>
                <w:color w:val="auto"/>
              </w:rPr>
            </w:pPr>
          </w:p>
        </w:tc>
        <w:tc>
          <w:tcPr>
            <w:tcW w:w="21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Range</w:t>
            </w: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286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Asset</w:t>
            </w:r>
          </w:p>
        </w:tc>
        <w:tc>
          <w:tcPr>
            <w:tcW w:w="1820" w:type="dxa"/>
            <w:vAlign w:val="bottom"/>
            <w:tcBorders>
              <w:right w:val="single" w:sz="8" w:color="auto"/>
            </w:tcBorders>
            <w:vMerge w:val="restart"/>
          </w:tcPr>
          <w:p>
            <w:pPr>
              <w:ind w:left="58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06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Approach/</w:t>
            </w:r>
          </w:p>
        </w:tc>
        <w:tc>
          <w:tcPr>
            <w:tcW w:w="250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r>
              <w:rPr>
                <w:rFonts w:ascii="Times New Roman" w:cs="Times New Roman" w:eastAsia="Times New Roman" w:hAnsi="Times New Roman"/>
                <w:sz w:val="8"/>
                <w:szCs w:val="8"/>
                <w:b w:val="1"/>
                <w:bCs w:val="1"/>
                <w:color w:val="auto"/>
              </w:rPr>
              <w:t>(2)</w:t>
            </w:r>
          </w:p>
        </w:tc>
        <w:tc>
          <w:tcPr>
            <w:tcW w:w="21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tcPr>
          <w:p>
            <w:pPr>
              <w:spacing w:after="0"/>
              <w:rPr>
                <w:sz w:val="7"/>
                <w:szCs w:val="7"/>
                <w:color w:val="auto"/>
              </w:rPr>
            </w:pPr>
          </w:p>
        </w:tc>
        <w:tc>
          <w:tcPr>
            <w:tcW w:w="2860" w:type="dxa"/>
            <w:vAlign w:val="bottom"/>
            <w:tcBorders>
              <w:right w:val="single" w:sz="8" w:color="auto"/>
            </w:tcBorders>
            <w:vMerge w:val="continue"/>
          </w:tcPr>
          <w:p>
            <w:pPr>
              <w:spacing w:after="0"/>
              <w:rPr>
                <w:sz w:val="7"/>
                <w:szCs w:val="7"/>
                <w:color w:val="auto"/>
              </w:rPr>
            </w:pPr>
          </w:p>
        </w:tc>
        <w:tc>
          <w:tcPr>
            <w:tcW w:w="1820" w:type="dxa"/>
            <w:vAlign w:val="bottom"/>
            <w:tcBorders>
              <w:right w:val="single" w:sz="8" w:color="auto"/>
            </w:tcBorders>
            <w:vMerge w:val="continue"/>
          </w:tcPr>
          <w:p>
            <w:pPr>
              <w:spacing w:after="0"/>
              <w:rPr>
                <w:sz w:val="7"/>
                <w:szCs w:val="7"/>
                <w:color w:val="auto"/>
              </w:rPr>
            </w:pPr>
          </w:p>
        </w:tc>
        <w:tc>
          <w:tcPr>
            <w:tcW w:w="2060" w:type="dxa"/>
            <w:vAlign w:val="bottom"/>
            <w:tcBorders>
              <w:right w:val="single" w:sz="8" w:color="auto"/>
            </w:tcBorders>
            <w:vMerge w:val="continue"/>
          </w:tcPr>
          <w:p>
            <w:pPr>
              <w:spacing w:after="0"/>
              <w:rPr>
                <w:sz w:val="7"/>
                <w:szCs w:val="7"/>
                <w:color w:val="auto"/>
              </w:rPr>
            </w:pPr>
          </w:p>
        </w:tc>
        <w:tc>
          <w:tcPr>
            <w:tcW w:w="2500" w:type="dxa"/>
            <w:vAlign w:val="bottom"/>
            <w:tcBorders>
              <w:right w:val="single" w:sz="8" w:color="auto"/>
            </w:tcBorders>
            <w:vMerge w:val="continue"/>
          </w:tcPr>
          <w:p>
            <w:pPr>
              <w:spacing w:after="0"/>
              <w:rPr>
                <w:sz w:val="7"/>
                <w:szCs w:val="7"/>
                <w:color w:val="auto"/>
              </w:rPr>
            </w:pPr>
          </w:p>
        </w:tc>
        <w:tc>
          <w:tcPr>
            <w:tcW w:w="2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2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Technique</w:t>
            </w:r>
            <w:r>
              <w:rPr>
                <w:rFonts w:ascii="Times New Roman" w:cs="Times New Roman" w:eastAsia="Times New Roman" w:hAnsi="Times New Roman"/>
                <w:sz w:val="8"/>
                <w:szCs w:val="8"/>
                <w:b w:val="1"/>
                <w:bCs w:val="1"/>
                <w:color w:val="auto"/>
              </w:rPr>
              <w:t>(1)</w:t>
            </w:r>
          </w:p>
        </w:tc>
        <w:tc>
          <w:tcPr>
            <w:tcW w:w="2500" w:type="dxa"/>
            <w:vAlign w:val="bottom"/>
            <w:tcBorders>
              <w:right w:val="single" w:sz="8" w:color="auto"/>
            </w:tcBorders>
          </w:tcPr>
          <w:p>
            <w:pPr>
              <w:spacing w:after="0"/>
              <w:rPr>
                <w:sz w:val="9"/>
                <w:szCs w:val="9"/>
                <w:color w:val="auto"/>
              </w:rPr>
            </w:pPr>
          </w:p>
        </w:tc>
        <w:tc>
          <w:tcPr>
            <w:tcW w:w="21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40" w:type="dxa"/>
            <w:vAlign w:val="bottom"/>
            <w:tcBorders>
              <w:right w:val="single" w:sz="8" w:color="auto"/>
            </w:tcBorders>
          </w:tcPr>
          <w:p>
            <w:pPr>
              <w:spacing w:after="0"/>
              <w:rPr>
                <w:sz w:val="7"/>
                <w:szCs w:val="7"/>
                <w:color w:val="auto"/>
              </w:rPr>
            </w:pPr>
          </w:p>
        </w:tc>
        <w:tc>
          <w:tcPr>
            <w:tcW w:w="286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2060" w:type="dxa"/>
            <w:vAlign w:val="bottom"/>
            <w:tcBorders>
              <w:bottom w:val="single" w:sz="8" w:color="auto"/>
              <w:right w:val="single" w:sz="8" w:color="auto"/>
            </w:tcBorders>
            <w:vMerge w:val="continue"/>
          </w:tcPr>
          <w:p>
            <w:pPr>
              <w:spacing w:after="0"/>
              <w:rPr>
                <w:sz w:val="7"/>
                <w:szCs w:val="7"/>
                <w:color w:val="auto"/>
              </w:rPr>
            </w:pPr>
          </w:p>
        </w:tc>
        <w:tc>
          <w:tcPr>
            <w:tcW w:w="2500" w:type="dxa"/>
            <w:vAlign w:val="bottom"/>
            <w:tcBorders>
              <w:bottom w:val="single" w:sz="8" w:color="auto"/>
              <w:right w:val="single" w:sz="8" w:color="auto"/>
            </w:tcBorders>
          </w:tcPr>
          <w:p>
            <w:pPr>
              <w:spacing w:after="0"/>
              <w:rPr>
                <w:sz w:val="7"/>
                <w:szCs w:val="7"/>
                <w:color w:val="auto"/>
              </w:rPr>
            </w:pPr>
          </w:p>
        </w:tc>
        <w:tc>
          <w:tcPr>
            <w:tcW w:w="21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2860" w:type="dxa"/>
            <w:vAlign w:val="bottom"/>
            <w:tcBorders>
              <w:right w:val="single" w:sz="8" w:color="auto"/>
            </w:tcBorders>
          </w:tcPr>
          <w:p>
            <w:pPr>
              <w:spacing w:after="0"/>
              <w:rPr>
                <w:sz w:val="19"/>
                <w:szCs w:val="19"/>
                <w:color w:val="auto"/>
              </w:rPr>
            </w:pPr>
          </w:p>
        </w:tc>
        <w:tc>
          <w:tcPr>
            <w:tcW w:w="1820" w:type="dxa"/>
            <w:vAlign w:val="bottom"/>
            <w:tcBorders>
              <w:right w:val="single" w:sz="8" w:color="auto"/>
            </w:tcBorders>
          </w:tcPr>
          <w:p>
            <w:pPr>
              <w:spacing w:after="0"/>
              <w:rPr>
                <w:sz w:val="19"/>
                <w:szCs w:val="19"/>
                <w:color w:val="auto"/>
              </w:rPr>
            </w:pPr>
          </w:p>
        </w:tc>
        <w:tc>
          <w:tcPr>
            <w:tcW w:w="2060" w:type="dxa"/>
            <w:vAlign w:val="bottom"/>
            <w:tcBorders>
              <w:right w:val="single" w:sz="8" w:color="auto"/>
            </w:tcBorders>
          </w:tcPr>
          <w:p>
            <w:pPr>
              <w:spacing w:after="0"/>
              <w:rPr>
                <w:sz w:val="19"/>
                <w:szCs w:val="19"/>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Revenue multiples</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1.26x - 4.95x</w:t>
            </w:r>
          </w:p>
        </w:tc>
        <w:tc>
          <w:tcPr>
            <w:tcW w:w="0" w:type="dxa"/>
            <w:vAlign w:val="bottom"/>
          </w:tcPr>
          <w:p>
            <w:pPr>
              <w:spacing w:after="0"/>
              <w:rPr>
                <w:sz w:val="1"/>
                <w:szCs w:val="1"/>
                <w:color w:val="auto"/>
              </w:rPr>
            </w:pPr>
          </w:p>
        </w:tc>
      </w:tr>
      <w:tr>
        <w:trPr>
          <w:trHeight w:val="126"/>
        </w:trPr>
        <w:tc>
          <w:tcPr>
            <w:tcW w:w="40" w:type="dxa"/>
            <w:vAlign w:val="bottom"/>
            <w:tcBorders>
              <w:right w:val="single" w:sz="8" w:color="auto"/>
            </w:tcBorders>
          </w:tcPr>
          <w:p>
            <w:pPr>
              <w:spacing w:after="0"/>
              <w:rPr>
                <w:sz w:val="10"/>
                <w:szCs w:val="10"/>
                <w:color w:val="auto"/>
              </w:rPr>
            </w:pPr>
          </w:p>
        </w:tc>
        <w:tc>
          <w:tcPr>
            <w:tcW w:w="286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2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Market approach</w:t>
            </w:r>
          </w:p>
        </w:tc>
        <w:tc>
          <w:tcPr>
            <w:tcW w:w="250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(4.04x)</w:t>
            </w: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2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Common stock in</w:t>
            </w:r>
          </w:p>
        </w:tc>
        <w:tc>
          <w:tcPr>
            <w:tcW w:w="1820" w:type="dxa"/>
            <w:vAlign w:val="bottom"/>
            <w:tcBorders>
              <w:right w:val="single" w:sz="8" w:color="auto"/>
            </w:tcBorders>
          </w:tcPr>
          <w:p>
            <w:pPr>
              <w:spacing w:after="0"/>
              <w:rPr>
                <w:sz w:val="11"/>
                <w:szCs w:val="11"/>
                <w:color w:val="auto"/>
              </w:rPr>
            </w:pPr>
          </w:p>
        </w:tc>
        <w:tc>
          <w:tcPr>
            <w:tcW w:w="2060" w:type="dxa"/>
            <w:vAlign w:val="bottom"/>
            <w:tcBorders>
              <w:right w:val="single" w:sz="8" w:color="auto"/>
            </w:tcBorders>
            <w:vMerge w:val="continue"/>
          </w:tcPr>
          <w:p>
            <w:pPr>
              <w:spacing w:after="0"/>
              <w:rPr>
                <w:sz w:val="11"/>
                <w:szCs w:val="11"/>
                <w:color w:val="auto"/>
              </w:rPr>
            </w:pPr>
          </w:p>
        </w:tc>
        <w:tc>
          <w:tcPr>
            <w:tcW w:w="2500" w:type="dxa"/>
            <w:vAlign w:val="bottom"/>
            <w:tcBorders>
              <w:bottom w:val="single" w:sz="8" w:color="auto"/>
              <w:right w:val="single" w:sz="8" w:color="auto"/>
            </w:tcBorders>
          </w:tcPr>
          <w:p>
            <w:pPr>
              <w:spacing w:after="0"/>
              <w:rPr>
                <w:sz w:val="11"/>
                <w:szCs w:val="11"/>
                <w:color w:val="auto"/>
              </w:rPr>
            </w:pPr>
          </w:p>
        </w:tc>
        <w:tc>
          <w:tcPr>
            <w:tcW w:w="216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40" w:type="dxa"/>
            <w:vAlign w:val="bottom"/>
            <w:tcBorders>
              <w:right w:val="single" w:sz="8" w:color="auto"/>
            </w:tcBorders>
          </w:tcPr>
          <w:p>
            <w:pPr>
              <w:spacing w:after="0"/>
              <w:rPr>
                <w:sz w:val="9"/>
                <w:szCs w:val="9"/>
                <w:color w:val="auto"/>
              </w:rPr>
            </w:pPr>
          </w:p>
        </w:tc>
        <w:tc>
          <w:tcPr>
            <w:tcW w:w="286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$48,517,824</w:t>
            </w:r>
          </w:p>
        </w:tc>
        <w:tc>
          <w:tcPr>
            <w:tcW w:w="2060" w:type="dxa"/>
            <w:vAlign w:val="bottom"/>
            <w:tcBorders>
              <w:right w:val="single" w:sz="8" w:color="auto"/>
            </w:tcBorders>
          </w:tcPr>
          <w:p>
            <w:pPr>
              <w:spacing w:after="0"/>
              <w:rPr>
                <w:sz w:val="9"/>
                <w:szCs w:val="9"/>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Liquidation value</w:t>
            </w:r>
          </w:p>
        </w:tc>
        <w:tc>
          <w:tcPr>
            <w:tcW w:w="2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126"/>
        </w:trPr>
        <w:tc>
          <w:tcPr>
            <w:tcW w:w="40" w:type="dxa"/>
            <w:vAlign w:val="bottom"/>
            <w:tcBorders>
              <w:right w:val="single" w:sz="8" w:color="auto"/>
            </w:tcBorders>
          </w:tcPr>
          <w:p>
            <w:pPr>
              <w:spacing w:after="0"/>
              <w:rPr>
                <w:sz w:val="10"/>
                <w:szCs w:val="10"/>
                <w:color w:val="auto"/>
              </w:rPr>
            </w:pPr>
          </w:p>
        </w:tc>
        <w:tc>
          <w:tcPr>
            <w:tcW w:w="2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private companies</w:t>
            </w:r>
          </w:p>
        </w:tc>
        <w:tc>
          <w:tcPr>
            <w:tcW w:w="1820" w:type="dxa"/>
            <w:vAlign w:val="bottom"/>
            <w:tcBorders>
              <w:right w:val="single" w:sz="8" w:color="auto"/>
            </w:tcBorders>
            <w:vMerge w:val="continue"/>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250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60" w:type="dxa"/>
            <w:vAlign w:val="bottom"/>
            <w:tcBorders>
              <w:right w:val="single" w:sz="8" w:color="auto"/>
            </w:tcBorders>
            <w:vMerge w:val="continue"/>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2860" w:type="dxa"/>
            <w:vAlign w:val="bottom"/>
            <w:tcBorders>
              <w:right w:val="single" w:sz="8" w:color="auto"/>
            </w:tcBorders>
            <w:vMerge w:val="continue"/>
          </w:tcPr>
          <w:p>
            <w:pPr>
              <w:spacing w:after="0"/>
              <w:rPr>
                <w:sz w:val="5"/>
                <w:szCs w:val="5"/>
                <w:color w:val="auto"/>
              </w:rPr>
            </w:pPr>
          </w:p>
        </w:tc>
        <w:tc>
          <w:tcPr>
            <w:tcW w:w="1820" w:type="dxa"/>
            <w:vAlign w:val="bottom"/>
            <w:tcBorders>
              <w:right w:val="single" w:sz="8" w:color="auto"/>
            </w:tcBorders>
          </w:tcPr>
          <w:p>
            <w:pPr>
              <w:spacing w:after="0"/>
              <w:rPr>
                <w:sz w:val="5"/>
                <w:szCs w:val="5"/>
                <w:color w:val="auto"/>
              </w:rPr>
            </w:pPr>
          </w:p>
        </w:tc>
        <w:tc>
          <w:tcPr>
            <w:tcW w:w="2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Discounted</w:t>
            </w:r>
          </w:p>
        </w:tc>
        <w:tc>
          <w:tcPr>
            <w:tcW w:w="2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Discount rate</w:t>
            </w:r>
          </w:p>
        </w:tc>
        <w:tc>
          <w:tcPr>
            <w:tcW w:w="2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12.0% (12.0)%</w:t>
            </w:r>
          </w:p>
        </w:tc>
        <w:tc>
          <w:tcPr>
            <w:tcW w:w="0" w:type="dxa"/>
            <w:vAlign w:val="bottom"/>
          </w:tcPr>
          <w:p>
            <w:pPr>
              <w:spacing w:after="0"/>
              <w:rPr>
                <w:sz w:val="1"/>
                <w:szCs w:val="1"/>
                <w:color w:val="auto"/>
              </w:rPr>
            </w:pPr>
          </w:p>
        </w:tc>
      </w:tr>
      <w:tr>
        <w:trPr>
          <w:trHeight w:val="157"/>
        </w:trPr>
        <w:tc>
          <w:tcPr>
            <w:tcW w:w="40" w:type="dxa"/>
            <w:vAlign w:val="bottom"/>
            <w:tcBorders>
              <w:right w:val="single" w:sz="8" w:color="auto"/>
            </w:tcBorders>
          </w:tcPr>
          <w:p>
            <w:pPr>
              <w:spacing w:after="0"/>
              <w:rPr>
                <w:sz w:val="13"/>
                <w:szCs w:val="13"/>
                <w:color w:val="auto"/>
              </w:rPr>
            </w:pPr>
          </w:p>
        </w:tc>
        <w:tc>
          <w:tcPr>
            <w:tcW w:w="286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2060" w:type="dxa"/>
            <w:vAlign w:val="bottom"/>
            <w:tcBorders>
              <w:right w:val="single" w:sz="8" w:color="auto"/>
            </w:tcBorders>
            <w:vMerge w:val="continue"/>
          </w:tcPr>
          <w:p>
            <w:pPr>
              <w:spacing w:after="0"/>
              <w:rPr>
                <w:sz w:val="13"/>
                <w:szCs w:val="13"/>
                <w:color w:val="auto"/>
              </w:rPr>
            </w:pPr>
          </w:p>
        </w:tc>
        <w:tc>
          <w:tcPr>
            <w:tcW w:w="2500" w:type="dxa"/>
            <w:vAlign w:val="bottom"/>
            <w:tcBorders>
              <w:right w:val="single" w:sz="8" w:color="auto"/>
            </w:tcBorders>
            <w:vMerge w:val="continue"/>
          </w:tcPr>
          <w:p>
            <w:pPr>
              <w:spacing w:after="0"/>
              <w:rPr>
                <w:sz w:val="13"/>
                <w:szCs w:val="13"/>
                <w:color w:val="auto"/>
              </w:rPr>
            </w:pPr>
          </w:p>
        </w:tc>
        <w:tc>
          <w:tcPr>
            <w:tcW w:w="21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40" w:type="dxa"/>
            <w:vAlign w:val="bottom"/>
            <w:tcBorders>
              <w:right w:val="single" w:sz="8" w:color="auto"/>
            </w:tcBorders>
          </w:tcPr>
          <w:p>
            <w:pPr>
              <w:spacing w:after="0"/>
              <w:rPr>
                <w:sz w:val="10"/>
                <w:szCs w:val="10"/>
                <w:color w:val="auto"/>
              </w:rPr>
            </w:pPr>
          </w:p>
        </w:tc>
        <w:tc>
          <w:tcPr>
            <w:tcW w:w="286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2060" w:type="dxa"/>
            <w:vAlign w:val="bottom"/>
            <w:tcBorders>
              <w:right w:val="single" w:sz="8" w:color="auto"/>
            </w:tcBorders>
            <w:vMerge w:val="restart"/>
          </w:tcPr>
          <w:p>
            <w:pPr>
              <w:jc w:val="center"/>
              <w:spacing w:after="0" w:line="262" w:lineRule="exact"/>
              <w:rPr>
                <w:sz w:val="20"/>
                <w:szCs w:val="20"/>
                <w:color w:val="auto"/>
              </w:rPr>
            </w:pPr>
            <w:r>
              <w:rPr>
                <w:rFonts w:ascii="Times New Roman" w:cs="Times New Roman" w:eastAsia="Times New Roman" w:hAnsi="Times New Roman"/>
                <w:sz w:val="18"/>
                <w:szCs w:val="18"/>
                <w:color w:val="auto"/>
                <w:w w:val="94"/>
              </w:rPr>
              <w:t>Cash Flow</w:t>
            </w:r>
            <w:r>
              <w:rPr>
                <w:rFonts w:ascii="Times New Roman" w:cs="Times New Roman" w:eastAsia="Times New Roman" w:hAnsi="Times New Roman"/>
                <w:sz w:val="25"/>
                <w:szCs w:val="25"/>
                <w:color w:val="auto"/>
                <w:w w:val="94"/>
                <w:vertAlign w:val="superscript"/>
              </w:rPr>
              <w:t>(2)</w:t>
            </w:r>
          </w:p>
        </w:tc>
        <w:tc>
          <w:tcPr>
            <w:tcW w:w="250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2860" w:type="dxa"/>
            <w:vAlign w:val="bottom"/>
            <w:tcBorders>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2060" w:type="dxa"/>
            <w:vAlign w:val="bottom"/>
            <w:tcBorders>
              <w:bottom w:val="single" w:sz="8" w:color="auto"/>
              <w:right w:val="single" w:sz="8" w:color="auto"/>
            </w:tcBorders>
            <w:vMerge w:val="continue"/>
          </w:tcPr>
          <w:p>
            <w:pPr>
              <w:spacing w:after="0"/>
              <w:rPr>
                <w:sz w:val="11"/>
                <w:szCs w:val="11"/>
                <w:color w:val="auto"/>
              </w:rPr>
            </w:pPr>
          </w:p>
        </w:tc>
        <w:tc>
          <w:tcPr>
            <w:tcW w:w="2500" w:type="dxa"/>
            <w:vAlign w:val="bottom"/>
            <w:tcBorders>
              <w:bottom w:val="single" w:sz="8" w:color="auto"/>
              <w:right w:val="single" w:sz="8" w:color="auto"/>
            </w:tcBorders>
          </w:tcPr>
          <w:p>
            <w:pPr>
              <w:spacing w:after="0"/>
              <w:rPr>
                <w:sz w:val="11"/>
                <w:szCs w:val="11"/>
                <w:color w:val="auto"/>
              </w:rPr>
            </w:pPr>
          </w:p>
        </w:tc>
        <w:tc>
          <w:tcPr>
            <w:tcW w:w="21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Precedent transactions</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2.60x - 3.07x</w:t>
            </w:r>
          </w:p>
        </w:tc>
        <w:tc>
          <w:tcPr>
            <w:tcW w:w="0" w:type="dxa"/>
            <w:vAlign w:val="bottom"/>
          </w:tcPr>
          <w:p>
            <w:pPr>
              <w:spacing w:after="0"/>
              <w:rPr>
                <w:sz w:val="1"/>
                <w:szCs w:val="1"/>
                <w:color w:val="auto"/>
              </w:rPr>
            </w:pPr>
          </w:p>
        </w:tc>
      </w:tr>
      <w:tr>
        <w:trPr>
          <w:trHeight w:val="126"/>
        </w:trPr>
        <w:tc>
          <w:tcPr>
            <w:tcW w:w="40" w:type="dxa"/>
            <w:vAlign w:val="bottom"/>
            <w:tcBorders>
              <w:right w:val="single" w:sz="8" w:color="auto"/>
            </w:tcBorders>
          </w:tcPr>
          <w:p>
            <w:pPr>
              <w:spacing w:after="0"/>
              <w:rPr>
                <w:sz w:val="10"/>
                <w:szCs w:val="10"/>
                <w:color w:val="auto"/>
              </w:rPr>
            </w:pPr>
          </w:p>
        </w:tc>
        <w:tc>
          <w:tcPr>
            <w:tcW w:w="286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250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(2.69x)</w:t>
            </w:r>
          </w:p>
        </w:tc>
        <w:tc>
          <w:tcPr>
            <w:tcW w:w="0" w:type="dxa"/>
            <w:vAlign w:val="bottom"/>
          </w:tcPr>
          <w:p>
            <w:pPr>
              <w:spacing w:after="0"/>
              <w:rPr>
                <w:sz w:val="1"/>
                <w:szCs w:val="1"/>
                <w:color w:val="auto"/>
              </w:rPr>
            </w:pPr>
          </w:p>
        </w:tc>
      </w:tr>
      <w:tr>
        <w:trPr>
          <w:trHeight w:val="108"/>
        </w:trPr>
        <w:tc>
          <w:tcPr>
            <w:tcW w:w="40" w:type="dxa"/>
            <w:vAlign w:val="bottom"/>
            <w:tcBorders>
              <w:right w:val="single" w:sz="8" w:color="auto"/>
            </w:tcBorders>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2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Market approach</w:t>
            </w:r>
          </w:p>
        </w:tc>
        <w:tc>
          <w:tcPr>
            <w:tcW w:w="2500" w:type="dxa"/>
            <w:vAlign w:val="bottom"/>
            <w:tcBorders>
              <w:right w:val="single" w:sz="8" w:color="auto"/>
            </w:tcBorders>
          </w:tcPr>
          <w:p>
            <w:pPr>
              <w:spacing w:after="0"/>
              <w:rPr>
                <w:sz w:val="9"/>
                <w:szCs w:val="9"/>
                <w:color w:val="auto"/>
              </w:rPr>
            </w:pPr>
          </w:p>
        </w:tc>
        <w:tc>
          <w:tcPr>
            <w:tcW w:w="21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60" w:type="dxa"/>
            <w:vAlign w:val="bottom"/>
            <w:tcBorders>
              <w:right w:val="single" w:sz="8" w:color="auto"/>
            </w:tcBorders>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c>
          <w:tcPr>
            <w:tcW w:w="2060" w:type="dxa"/>
            <w:vAlign w:val="bottom"/>
            <w:tcBorders>
              <w:right w:val="single" w:sz="8" w:color="auto"/>
            </w:tcBorders>
            <w:vMerge w:val="continue"/>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0" w:type="dxa"/>
            <w:vAlign w:val="bottom"/>
            <w:tcBorders>
              <w:right w:val="single" w:sz="8" w:color="auto"/>
            </w:tcBorders>
          </w:tcPr>
          <w:p>
            <w:pPr>
              <w:spacing w:after="0"/>
              <w:rPr>
                <w:sz w:val="7"/>
                <w:szCs w:val="7"/>
                <w:color w:val="auto"/>
              </w:rPr>
            </w:pPr>
          </w:p>
        </w:tc>
        <w:tc>
          <w:tcPr>
            <w:tcW w:w="2860" w:type="dxa"/>
            <w:vAlign w:val="bottom"/>
            <w:tcBorders>
              <w:right w:val="single" w:sz="8" w:color="auto"/>
            </w:tcBorders>
          </w:tcPr>
          <w:p>
            <w:pPr>
              <w:spacing w:after="0"/>
              <w:rPr>
                <w:sz w:val="7"/>
                <w:szCs w:val="7"/>
                <w:color w:val="auto"/>
              </w:rPr>
            </w:pPr>
          </w:p>
        </w:tc>
        <w:tc>
          <w:tcPr>
            <w:tcW w:w="1820" w:type="dxa"/>
            <w:vAlign w:val="bottom"/>
            <w:tcBorders>
              <w:right w:val="single" w:sz="8" w:color="auto"/>
            </w:tcBorders>
          </w:tcPr>
          <w:p>
            <w:pPr>
              <w:spacing w:after="0"/>
              <w:rPr>
                <w:sz w:val="7"/>
                <w:szCs w:val="7"/>
                <w:color w:val="auto"/>
              </w:rPr>
            </w:pPr>
          </w:p>
        </w:tc>
        <w:tc>
          <w:tcPr>
            <w:tcW w:w="2060" w:type="dxa"/>
            <w:vAlign w:val="bottom"/>
            <w:tcBorders>
              <w:right w:val="single" w:sz="8" w:color="auto"/>
            </w:tcBorders>
            <w:vMerge w:val="continue"/>
          </w:tcPr>
          <w:p>
            <w:pPr>
              <w:spacing w:after="0"/>
              <w:rPr>
                <w:sz w:val="7"/>
                <w:szCs w:val="7"/>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Revenue multiples</w:t>
            </w:r>
          </w:p>
        </w:tc>
        <w:tc>
          <w:tcPr>
            <w:tcW w:w="2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2.20x - 4.15x</w:t>
            </w:r>
          </w:p>
        </w:tc>
        <w:tc>
          <w:tcPr>
            <w:tcW w:w="0" w:type="dxa"/>
            <w:vAlign w:val="bottom"/>
          </w:tcPr>
          <w:p>
            <w:pPr>
              <w:spacing w:after="0"/>
              <w:rPr>
                <w:sz w:val="1"/>
                <w:szCs w:val="1"/>
                <w:color w:val="auto"/>
              </w:rPr>
            </w:pPr>
          </w:p>
        </w:tc>
      </w:tr>
      <w:tr>
        <w:trPr>
          <w:trHeight w:val="130"/>
        </w:trPr>
        <w:tc>
          <w:tcPr>
            <w:tcW w:w="40" w:type="dxa"/>
            <w:vAlign w:val="bottom"/>
            <w:tcBorders>
              <w:right w:val="single" w:sz="8" w:color="auto"/>
            </w:tcBorders>
          </w:tcPr>
          <w:p>
            <w:pPr>
              <w:spacing w:after="0"/>
              <w:rPr>
                <w:sz w:val="11"/>
                <w:szCs w:val="11"/>
                <w:color w:val="auto"/>
              </w:rPr>
            </w:pPr>
          </w:p>
        </w:tc>
        <w:tc>
          <w:tcPr>
            <w:tcW w:w="2860" w:type="dxa"/>
            <w:vAlign w:val="bottom"/>
            <w:tcBorders>
              <w:right w:val="single" w:sz="8" w:color="auto"/>
            </w:tcBorders>
          </w:tcPr>
          <w:p>
            <w:pPr>
              <w:spacing w:after="0"/>
              <w:rPr>
                <w:sz w:val="11"/>
                <w:szCs w:val="11"/>
                <w:color w:val="auto"/>
              </w:rPr>
            </w:pPr>
          </w:p>
        </w:tc>
        <w:tc>
          <w:tcPr>
            <w:tcW w:w="1820" w:type="dxa"/>
            <w:vAlign w:val="bottom"/>
            <w:tcBorders>
              <w:right w:val="single" w:sz="8" w:color="auto"/>
            </w:tcBorders>
          </w:tcPr>
          <w:p>
            <w:pPr>
              <w:spacing w:after="0"/>
              <w:rPr>
                <w:sz w:val="11"/>
                <w:szCs w:val="11"/>
                <w:color w:val="auto"/>
              </w:rPr>
            </w:pPr>
          </w:p>
        </w:tc>
        <w:tc>
          <w:tcPr>
            <w:tcW w:w="2060" w:type="dxa"/>
            <w:vAlign w:val="bottom"/>
            <w:tcBorders>
              <w:right w:val="single" w:sz="8" w:color="auto"/>
            </w:tcBorders>
          </w:tcPr>
          <w:p>
            <w:pPr>
              <w:spacing w:after="0"/>
              <w:rPr>
                <w:sz w:val="11"/>
                <w:szCs w:val="11"/>
                <w:color w:val="auto"/>
              </w:rPr>
            </w:pPr>
          </w:p>
        </w:tc>
        <w:tc>
          <w:tcPr>
            <w:tcW w:w="2500" w:type="dxa"/>
            <w:vAlign w:val="bottom"/>
            <w:tcBorders>
              <w:right w:val="single" w:sz="8" w:color="auto"/>
            </w:tcBorders>
            <w:vMerge w:val="continue"/>
          </w:tcPr>
          <w:p>
            <w:pPr>
              <w:spacing w:after="0"/>
              <w:rPr>
                <w:sz w:val="11"/>
                <w:szCs w:val="11"/>
                <w:color w:val="auto"/>
              </w:rPr>
            </w:pPr>
          </w:p>
        </w:tc>
        <w:tc>
          <w:tcPr>
            <w:tcW w:w="21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40" w:type="dxa"/>
            <w:vAlign w:val="bottom"/>
            <w:tcBorders>
              <w:right w:val="single" w:sz="8" w:color="auto"/>
            </w:tcBorders>
          </w:tcPr>
          <w:p>
            <w:pPr>
              <w:spacing w:after="0"/>
              <w:rPr>
                <w:sz w:val="10"/>
                <w:szCs w:val="10"/>
                <w:color w:val="auto"/>
              </w:rPr>
            </w:pPr>
          </w:p>
        </w:tc>
        <w:tc>
          <w:tcPr>
            <w:tcW w:w="286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250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(3.39x)</w:t>
            </w:r>
          </w:p>
        </w:tc>
        <w:tc>
          <w:tcPr>
            <w:tcW w:w="0" w:type="dxa"/>
            <w:vAlign w:val="bottom"/>
          </w:tcPr>
          <w:p>
            <w:pPr>
              <w:spacing w:after="0"/>
              <w:rPr>
                <w:sz w:val="1"/>
                <w:szCs w:val="1"/>
                <w:color w:val="auto"/>
              </w:rPr>
            </w:pPr>
          </w:p>
        </w:tc>
      </w:tr>
      <w:tr>
        <w:trPr>
          <w:trHeight w:val="108"/>
        </w:trPr>
        <w:tc>
          <w:tcPr>
            <w:tcW w:w="40" w:type="dxa"/>
            <w:vAlign w:val="bottom"/>
            <w:tcBorders>
              <w:right w:val="single" w:sz="8" w:color="auto"/>
            </w:tcBorders>
          </w:tcPr>
          <w:p>
            <w:pPr>
              <w:spacing w:after="0"/>
              <w:rPr>
                <w:sz w:val="9"/>
                <w:szCs w:val="9"/>
                <w:color w:val="auto"/>
              </w:rPr>
            </w:pPr>
          </w:p>
        </w:tc>
        <w:tc>
          <w:tcPr>
            <w:tcW w:w="2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Preferred stock in</w:t>
            </w:r>
          </w:p>
        </w:tc>
        <w:tc>
          <w:tcPr>
            <w:tcW w:w="1820" w:type="dxa"/>
            <w:vAlign w:val="bottom"/>
            <w:tcBorders>
              <w:right w:val="single" w:sz="8" w:color="auto"/>
            </w:tcBorders>
          </w:tcPr>
          <w:p>
            <w:pPr>
              <w:spacing w:after="0"/>
              <w:rPr>
                <w:sz w:val="9"/>
                <w:szCs w:val="9"/>
                <w:color w:val="auto"/>
              </w:rPr>
            </w:pPr>
          </w:p>
        </w:tc>
        <w:tc>
          <w:tcPr>
            <w:tcW w:w="2060" w:type="dxa"/>
            <w:vAlign w:val="bottom"/>
            <w:tcBorders>
              <w:right w:val="single" w:sz="8" w:color="auto"/>
            </w:tcBorders>
          </w:tcPr>
          <w:p>
            <w:pPr>
              <w:spacing w:after="0"/>
              <w:rPr>
                <w:sz w:val="9"/>
                <w:szCs w:val="9"/>
                <w:color w:val="auto"/>
              </w:rPr>
            </w:pPr>
          </w:p>
        </w:tc>
        <w:tc>
          <w:tcPr>
            <w:tcW w:w="2500" w:type="dxa"/>
            <w:vAlign w:val="bottom"/>
            <w:tcBorders>
              <w:right w:val="single" w:sz="8" w:color="auto"/>
            </w:tcBorders>
          </w:tcPr>
          <w:p>
            <w:pPr>
              <w:spacing w:after="0"/>
              <w:rPr>
                <w:sz w:val="9"/>
                <w:szCs w:val="9"/>
                <w:color w:val="auto"/>
              </w:rPr>
            </w:pPr>
          </w:p>
        </w:tc>
        <w:tc>
          <w:tcPr>
            <w:tcW w:w="21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60" w:type="dxa"/>
            <w:vAlign w:val="bottom"/>
            <w:tcBorders>
              <w:right w:val="single" w:sz="8" w:color="auto"/>
            </w:tcBorders>
            <w:vMerge w:val="continue"/>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0"/>
        </w:trPr>
        <w:tc>
          <w:tcPr>
            <w:tcW w:w="40" w:type="dxa"/>
            <w:vAlign w:val="bottom"/>
            <w:tcBorders>
              <w:right w:val="single" w:sz="8" w:color="auto"/>
            </w:tcBorders>
          </w:tcPr>
          <w:p>
            <w:pPr>
              <w:spacing w:after="0"/>
              <w:rPr>
                <w:sz w:val="9"/>
                <w:szCs w:val="9"/>
                <w:color w:val="auto"/>
              </w:rPr>
            </w:pPr>
          </w:p>
        </w:tc>
        <w:tc>
          <w:tcPr>
            <w:tcW w:w="286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$99,856,159</w:t>
            </w:r>
          </w:p>
        </w:tc>
        <w:tc>
          <w:tcPr>
            <w:tcW w:w="2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Discounted</w:t>
            </w:r>
          </w:p>
        </w:tc>
        <w:tc>
          <w:tcPr>
            <w:tcW w:w="2500" w:type="dxa"/>
            <w:vAlign w:val="bottom"/>
            <w:tcBorders>
              <w:right w:val="single" w:sz="8" w:color="auto"/>
            </w:tcBorders>
          </w:tcPr>
          <w:p>
            <w:pPr>
              <w:spacing w:after="0"/>
              <w:rPr>
                <w:sz w:val="9"/>
                <w:szCs w:val="9"/>
                <w:color w:val="auto"/>
              </w:rPr>
            </w:pPr>
          </w:p>
        </w:tc>
        <w:tc>
          <w:tcPr>
            <w:tcW w:w="21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Borders>
              <w:right w:val="single" w:sz="8" w:color="auto"/>
            </w:tcBorders>
          </w:tcPr>
          <w:p>
            <w:pPr>
              <w:spacing w:after="0"/>
              <w:rPr>
                <w:sz w:val="9"/>
                <w:szCs w:val="9"/>
                <w:color w:val="auto"/>
              </w:rPr>
            </w:pPr>
          </w:p>
        </w:tc>
        <w:tc>
          <w:tcPr>
            <w:tcW w:w="2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private companies</w:t>
            </w:r>
          </w:p>
        </w:tc>
        <w:tc>
          <w:tcPr>
            <w:tcW w:w="1820" w:type="dxa"/>
            <w:vAlign w:val="bottom"/>
            <w:tcBorders>
              <w:right w:val="single" w:sz="8" w:color="auto"/>
            </w:tcBorders>
            <w:vMerge w:val="continue"/>
          </w:tcPr>
          <w:p>
            <w:pPr>
              <w:spacing w:after="0"/>
              <w:rPr>
                <w:sz w:val="9"/>
                <w:szCs w:val="9"/>
                <w:color w:val="auto"/>
              </w:rPr>
            </w:pPr>
          </w:p>
        </w:tc>
        <w:tc>
          <w:tcPr>
            <w:tcW w:w="2060" w:type="dxa"/>
            <w:vAlign w:val="bottom"/>
            <w:tcBorders>
              <w:right w:val="single" w:sz="8" w:color="auto"/>
            </w:tcBorders>
            <w:vMerge w:val="continue"/>
          </w:tcPr>
          <w:p>
            <w:pPr>
              <w:spacing w:after="0"/>
              <w:rPr>
                <w:sz w:val="9"/>
                <w:szCs w:val="9"/>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Discount rate</w:t>
            </w:r>
          </w:p>
        </w:tc>
        <w:tc>
          <w:tcPr>
            <w:tcW w:w="2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12.0% (12.0)%</w:t>
            </w:r>
          </w:p>
        </w:tc>
        <w:tc>
          <w:tcPr>
            <w:tcW w:w="0" w:type="dxa"/>
            <w:vAlign w:val="bottom"/>
          </w:tcPr>
          <w:p>
            <w:pPr>
              <w:spacing w:after="0"/>
              <w:rPr>
                <w:sz w:val="1"/>
                <w:szCs w:val="1"/>
                <w:color w:val="auto"/>
              </w:rPr>
            </w:pPr>
          </w:p>
        </w:tc>
      </w:tr>
      <w:tr>
        <w:trPr>
          <w:trHeight w:val="126"/>
        </w:trPr>
        <w:tc>
          <w:tcPr>
            <w:tcW w:w="40" w:type="dxa"/>
            <w:vAlign w:val="bottom"/>
            <w:tcBorders>
              <w:right w:val="single" w:sz="8" w:color="auto"/>
            </w:tcBorders>
          </w:tcPr>
          <w:p>
            <w:pPr>
              <w:spacing w:after="0"/>
              <w:rPr>
                <w:sz w:val="10"/>
                <w:szCs w:val="10"/>
                <w:color w:val="auto"/>
              </w:rPr>
            </w:pPr>
          </w:p>
        </w:tc>
        <w:tc>
          <w:tcPr>
            <w:tcW w:w="286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2060" w:type="dxa"/>
            <w:vAlign w:val="bottom"/>
            <w:tcBorders>
              <w:right w:val="single" w:sz="8" w:color="auto"/>
            </w:tcBorders>
            <w:vMerge w:val="restart"/>
          </w:tcPr>
          <w:p>
            <w:pPr>
              <w:jc w:val="center"/>
              <w:spacing w:after="0" w:line="262" w:lineRule="exact"/>
              <w:rPr>
                <w:sz w:val="20"/>
                <w:szCs w:val="20"/>
                <w:color w:val="auto"/>
              </w:rPr>
            </w:pPr>
            <w:r>
              <w:rPr>
                <w:rFonts w:ascii="Times New Roman" w:cs="Times New Roman" w:eastAsia="Times New Roman" w:hAnsi="Times New Roman"/>
                <w:sz w:val="18"/>
                <w:szCs w:val="18"/>
                <w:color w:val="auto"/>
                <w:w w:val="94"/>
              </w:rPr>
              <w:t>Cash Flow</w:t>
            </w:r>
            <w:r>
              <w:rPr>
                <w:rFonts w:ascii="Times New Roman" w:cs="Times New Roman" w:eastAsia="Times New Roman" w:hAnsi="Times New Roman"/>
                <w:sz w:val="25"/>
                <w:szCs w:val="25"/>
                <w:color w:val="auto"/>
                <w:w w:val="94"/>
                <w:vertAlign w:val="superscript"/>
              </w:rPr>
              <w:t>(2)</w:t>
            </w:r>
          </w:p>
        </w:tc>
        <w:tc>
          <w:tcPr>
            <w:tcW w:w="250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2860" w:type="dxa"/>
            <w:vAlign w:val="bottom"/>
            <w:tcBorders>
              <w:right w:val="single" w:sz="8" w:color="auto"/>
            </w:tcBorders>
          </w:tcPr>
          <w:p>
            <w:pPr>
              <w:spacing w:after="0"/>
              <w:rPr>
                <w:sz w:val="11"/>
                <w:szCs w:val="11"/>
                <w:color w:val="auto"/>
              </w:rPr>
            </w:pPr>
          </w:p>
        </w:tc>
        <w:tc>
          <w:tcPr>
            <w:tcW w:w="1820" w:type="dxa"/>
            <w:vAlign w:val="bottom"/>
            <w:tcBorders>
              <w:right w:val="single" w:sz="8" w:color="auto"/>
            </w:tcBorders>
          </w:tcPr>
          <w:p>
            <w:pPr>
              <w:spacing w:after="0"/>
              <w:rPr>
                <w:sz w:val="11"/>
                <w:szCs w:val="11"/>
                <w:color w:val="auto"/>
              </w:rPr>
            </w:pPr>
          </w:p>
        </w:tc>
        <w:tc>
          <w:tcPr>
            <w:tcW w:w="2060" w:type="dxa"/>
            <w:vAlign w:val="bottom"/>
            <w:tcBorders>
              <w:bottom w:val="single" w:sz="8" w:color="auto"/>
              <w:right w:val="single" w:sz="8" w:color="auto"/>
            </w:tcBorders>
            <w:vMerge w:val="continue"/>
          </w:tcPr>
          <w:p>
            <w:pPr>
              <w:spacing w:after="0"/>
              <w:rPr>
                <w:sz w:val="11"/>
                <w:szCs w:val="11"/>
                <w:color w:val="auto"/>
              </w:rPr>
            </w:pPr>
          </w:p>
        </w:tc>
        <w:tc>
          <w:tcPr>
            <w:tcW w:w="2500" w:type="dxa"/>
            <w:vAlign w:val="bottom"/>
            <w:tcBorders>
              <w:bottom w:val="single" w:sz="8" w:color="auto"/>
              <w:right w:val="single" w:sz="8" w:color="auto"/>
            </w:tcBorders>
          </w:tcPr>
          <w:p>
            <w:pPr>
              <w:spacing w:after="0"/>
              <w:rPr>
                <w:sz w:val="11"/>
                <w:szCs w:val="11"/>
                <w:color w:val="auto"/>
              </w:rPr>
            </w:pPr>
          </w:p>
        </w:tc>
        <w:tc>
          <w:tcPr>
            <w:tcW w:w="21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Revenue multiples</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1.09x - 5.40x</w:t>
            </w:r>
          </w:p>
        </w:tc>
        <w:tc>
          <w:tcPr>
            <w:tcW w:w="0" w:type="dxa"/>
            <w:vAlign w:val="bottom"/>
          </w:tcPr>
          <w:p>
            <w:pPr>
              <w:spacing w:after="0"/>
              <w:rPr>
                <w:sz w:val="1"/>
                <w:szCs w:val="1"/>
                <w:color w:val="auto"/>
              </w:rPr>
            </w:pPr>
          </w:p>
        </w:tc>
      </w:tr>
      <w:tr>
        <w:trPr>
          <w:trHeight w:val="126"/>
        </w:trPr>
        <w:tc>
          <w:tcPr>
            <w:tcW w:w="40" w:type="dxa"/>
            <w:vAlign w:val="bottom"/>
            <w:tcBorders>
              <w:right w:val="single" w:sz="8" w:color="auto"/>
            </w:tcBorders>
          </w:tcPr>
          <w:p>
            <w:pPr>
              <w:spacing w:after="0"/>
              <w:rPr>
                <w:sz w:val="10"/>
                <w:szCs w:val="10"/>
                <w:color w:val="auto"/>
              </w:rPr>
            </w:pPr>
          </w:p>
        </w:tc>
        <w:tc>
          <w:tcPr>
            <w:tcW w:w="286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2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PWERM</w:t>
            </w:r>
          </w:p>
        </w:tc>
        <w:tc>
          <w:tcPr>
            <w:tcW w:w="250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(3.18x)</w:t>
            </w: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2860" w:type="dxa"/>
            <w:vAlign w:val="bottom"/>
            <w:tcBorders>
              <w:right w:val="single" w:sz="8" w:color="auto"/>
            </w:tcBorders>
          </w:tcPr>
          <w:p>
            <w:pPr>
              <w:spacing w:after="0"/>
              <w:rPr>
                <w:sz w:val="11"/>
                <w:szCs w:val="11"/>
                <w:color w:val="auto"/>
              </w:rPr>
            </w:pPr>
          </w:p>
        </w:tc>
        <w:tc>
          <w:tcPr>
            <w:tcW w:w="1820" w:type="dxa"/>
            <w:vAlign w:val="bottom"/>
            <w:tcBorders>
              <w:right w:val="single" w:sz="8" w:color="auto"/>
            </w:tcBorders>
          </w:tcPr>
          <w:p>
            <w:pPr>
              <w:spacing w:after="0"/>
              <w:rPr>
                <w:sz w:val="11"/>
                <w:szCs w:val="11"/>
                <w:color w:val="auto"/>
              </w:rPr>
            </w:pPr>
          </w:p>
        </w:tc>
        <w:tc>
          <w:tcPr>
            <w:tcW w:w="2060" w:type="dxa"/>
            <w:vAlign w:val="bottom"/>
            <w:tcBorders>
              <w:right w:val="single" w:sz="8" w:color="auto"/>
            </w:tcBorders>
            <w:vMerge w:val="continue"/>
          </w:tcPr>
          <w:p>
            <w:pPr>
              <w:spacing w:after="0"/>
              <w:rPr>
                <w:sz w:val="11"/>
                <w:szCs w:val="11"/>
                <w:color w:val="auto"/>
              </w:rPr>
            </w:pPr>
          </w:p>
        </w:tc>
        <w:tc>
          <w:tcPr>
            <w:tcW w:w="2500" w:type="dxa"/>
            <w:vAlign w:val="bottom"/>
            <w:tcBorders>
              <w:bottom w:val="single" w:sz="8" w:color="auto"/>
              <w:right w:val="single" w:sz="8" w:color="auto"/>
            </w:tcBorders>
          </w:tcPr>
          <w:p>
            <w:pPr>
              <w:spacing w:after="0"/>
              <w:rPr>
                <w:sz w:val="11"/>
                <w:szCs w:val="11"/>
                <w:color w:val="auto"/>
              </w:rPr>
            </w:pPr>
          </w:p>
        </w:tc>
        <w:tc>
          <w:tcPr>
            <w:tcW w:w="216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Liquidation value</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Market approach</w:t>
            </w:r>
          </w:p>
        </w:tc>
        <w:tc>
          <w:tcPr>
            <w:tcW w:w="2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Revenue multiples</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1.26x - 2.40x</w:t>
            </w:r>
          </w:p>
        </w:tc>
        <w:tc>
          <w:tcPr>
            <w:tcW w:w="0" w:type="dxa"/>
            <w:vAlign w:val="bottom"/>
          </w:tcPr>
          <w:p>
            <w:pPr>
              <w:spacing w:after="0"/>
              <w:rPr>
                <w:sz w:val="1"/>
                <w:szCs w:val="1"/>
                <w:color w:val="auto"/>
              </w:rPr>
            </w:pPr>
          </w:p>
        </w:tc>
      </w:tr>
      <w:tr>
        <w:trPr>
          <w:trHeight w:val="126"/>
        </w:trPr>
        <w:tc>
          <w:tcPr>
            <w:tcW w:w="40" w:type="dxa"/>
            <w:vAlign w:val="bottom"/>
            <w:tcBorders>
              <w:right w:val="single" w:sz="8" w:color="auto"/>
            </w:tcBorders>
          </w:tcPr>
          <w:p>
            <w:pPr>
              <w:spacing w:after="0"/>
              <w:rPr>
                <w:sz w:val="10"/>
                <w:szCs w:val="10"/>
                <w:color w:val="auto"/>
              </w:rPr>
            </w:pPr>
          </w:p>
        </w:tc>
        <w:tc>
          <w:tcPr>
            <w:tcW w:w="286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2060" w:type="dxa"/>
            <w:vAlign w:val="bottom"/>
            <w:tcBorders>
              <w:right w:val="single" w:sz="8" w:color="auto"/>
            </w:tcBorders>
            <w:vMerge w:val="continue"/>
          </w:tcPr>
          <w:p>
            <w:pPr>
              <w:spacing w:after="0"/>
              <w:rPr>
                <w:sz w:val="10"/>
                <w:szCs w:val="10"/>
                <w:color w:val="auto"/>
              </w:rPr>
            </w:pPr>
          </w:p>
        </w:tc>
        <w:tc>
          <w:tcPr>
            <w:tcW w:w="250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(2.30x)</w:t>
            </w:r>
          </w:p>
        </w:tc>
        <w:tc>
          <w:tcPr>
            <w:tcW w:w="0" w:type="dxa"/>
            <w:vAlign w:val="bottom"/>
          </w:tcPr>
          <w:p>
            <w:pPr>
              <w:spacing w:after="0"/>
              <w:rPr>
                <w:sz w:val="1"/>
                <w:szCs w:val="1"/>
                <w:color w:val="auto"/>
              </w:rPr>
            </w:pPr>
          </w:p>
        </w:tc>
      </w:tr>
      <w:tr>
        <w:trPr>
          <w:trHeight w:val="108"/>
        </w:trPr>
        <w:tc>
          <w:tcPr>
            <w:tcW w:w="40" w:type="dxa"/>
            <w:vAlign w:val="bottom"/>
            <w:tcBorders>
              <w:right w:val="single" w:sz="8" w:color="auto"/>
            </w:tcBorders>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2060" w:type="dxa"/>
            <w:vAlign w:val="bottom"/>
            <w:tcBorders>
              <w:right w:val="single" w:sz="8" w:color="auto"/>
            </w:tcBorders>
          </w:tcPr>
          <w:p>
            <w:pPr>
              <w:spacing w:after="0"/>
              <w:rPr>
                <w:sz w:val="9"/>
                <w:szCs w:val="9"/>
                <w:color w:val="auto"/>
              </w:rPr>
            </w:pPr>
          </w:p>
        </w:tc>
        <w:tc>
          <w:tcPr>
            <w:tcW w:w="2500" w:type="dxa"/>
            <w:vAlign w:val="bottom"/>
            <w:tcBorders>
              <w:right w:val="single" w:sz="8" w:color="auto"/>
            </w:tcBorders>
          </w:tcPr>
          <w:p>
            <w:pPr>
              <w:spacing w:after="0"/>
              <w:rPr>
                <w:sz w:val="9"/>
                <w:szCs w:val="9"/>
                <w:color w:val="auto"/>
              </w:rPr>
            </w:pPr>
          </w:p>
        </w:tc>
        <w:tc>
          <w:tcPr>
            <w:tcW w:w="21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60" w:type="dxa"/>
            <w:vAlign w:val="bottom"/>
            <w:tcBorders>
              <w:right w:val="single" w:sz="8" w:color="auto"/>
            </w:tcBorders>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Debt investments</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$5,584,994</w:t>
            </w:r>
          </w:p>
        </w:tc>
        <w:tc>
          <w:tcPr>
            <w:tcW w:w="2060" w:type="dxa"/>
            <w:vAlign w:val="bottom"/>
            <w:tcBorders>
              <w:right w:val="single" w:sz="8" w:color="auto"/>
            </w:tcBorders>
          </w:tcPr>
          <w:p>
            <w:pPr>
              <w:spacing w:after="0"/>
              <w:rPr>
                <w:sz w:val="18"/>
                <w:szCs w:val="18"/>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Revenue multiples</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1.31x - 5.40x</w:t>
            </w:r>
          </w:p>
        </w:tc>
        <w:tc>
          <w:tcPr>
            <w:tcW w:w="0" w:type="dxa"/>
            <w:vAlign w:val="bottom"/>
          </w:tcPr>
          <w:p>
            <w:pPr>
              <w:spacing w:after="0"/>
              <w:rPr>
                <w:sz w:val="1"/>
                <w:szCs w:val="1"/>
                <w:color w:val="auto"/>
              </w:rPr>
            </w:pPr>
          </w:p>
        </w:tc>
      </w:tr>
      <w:tr>
        <w:trPr>
          <w:trHeight w:val="126"/>
        </w:trPr>
        <w:tc>
          <w:tcPr>
            <w:tcW w:w="40" w:type="dxa"/>
            <w:vAlign w:val="bottom"/>
            <w:tcBorders>
              <w:right w:val="single" w:sz="8" w:color="auto"/>
            </w:tcBorders>
          </w:tcPr>
          <w:p>
            <w:pPr>
              <w:spacing w:after="0"/>
              <w:rPr>
                <w:sz w:val="10"/>
                <w:szCs w:val="10"/>
                <w:color w:val="auto"/>
              </w:rPr>
            </w:pPr>
          </w:p>
        </w:tc>
        <w:tc>
          <w:tcPr>
            <w:tcW w:w="286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2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PWERM</w:t>
            </w:r>
          </w:p>
        </w:tc>
        <w:tc>
          <w:tcPr>
            <w:tcW w:w="250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(1.91x)</w:t>
            </w: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2860" w:type="dxa"/>
            <w:vAlign w:val="bottom"/>
            <w:tcBorders>
              <w:right w:val="single" w:sz="8" w:color="auto"/>
            </w:tcBorders>
          </w:tcPr>
          <w:p>
            <w:pPr>
              <w:spacing w:after="0"/>
              <w:rPr>
                <w:sz w:val="11"/>
                <w:szCs w:val="11"/>
                <w:color w:val="auto"/>
              </w:rPr>
            </w:pPr>
          </w:p>
        </w:tc>
        <w:tc>
          <w:tcPr>
            <w:tcW w:w="1820" w:type="dxa"/>
            <w:vAlign w:val="bottom"/>
            <w:tcBorders>
              <w:right w:val="single" w:sz="8" w:color="auto"/>
            </w:tcBorders>
          </w:tcPr>
          <w:p>
            <w:pPr>
              <w:spacing w:after="0"/>
              <w:rPr>
                <w:sz w:val="11"/>
                <w:szCs w:val="11"/>
                <w:color w:val="auto"/>
              </w:rPr>
            </w:pPr>
          </w:p>
        </w:tc>
        <w:tc>
          <w:tcPr>
            <w:tcW w:w="2060" w:type="dxa"/>
            <w:vAlign w:val="bottom"/>
            <w:tcBorders>
              <w:right w:val="single" w:sz="8" w:color="auto"/>
            </w:tcBorders>
            <w:vMerge w:val="continue"/>
          </w:tcPr>
          <w:p>
            <w:pPr>
              <w:spacing w:after="0"/>
              <w:rPr>
                <w:sz w:val="11"/>
                <w:szCs w:val="11"/>
                <w:color w:val="auto"/>
              </w:rPr>
            </w:pPr>
          </w:p>
        </w:tc>
        <w:tc>
          <w:tcPr>
            <w:tcW w:w="2500" w:type="dxa"/>
            <w:vAlign w:val="bottom"/>
            <w:tcBorders>
              <w:bottom w:val="single" w:sz="8" w:color="auto"/>
              <w:right w:val="single" w:sz="8" w:color="auto"/>
            </w:tcBorders>
          </w:tcPr>
          <w:p>
            <w:pPr>
              <w:spacing w:after="0"/>
              <w:rPr>
                <w:sz w:val="11"/>
                <w:szCs w:val="11"/>
                <w:color w:val="auto"/>
              </w:rPr>
            </w:pPr>
          </w:p>
        </w:tc>
        <w:tc>
          <w:tcPr>
            <w:tcW w:w="216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Liquidation value</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Term to expiration (Years)</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1.1-9.3 (2.6)</w:t>
            </w:r>
          </w:p>
        </w:tc>
        <w:tc>
          <w:tcPr>
            <w:tcW w:w="0" w:type="dxa"/>
            <w:vAlign w:val="bottom"/>
          </w:tcPr>
          <w:p>
            <w:pPr>
              <w:spacing w:after="0"/>
              <w:rPr>
                <w:sz w:val="1"/>
                <w:szCs w:val="1"/>
                <w:color w:val="auto"/>
              </w:rPr>
            </w:pPr>
          </w:p>
        </w:tc>
      </w:tr>
      <w:tr>
        <w:trPr>
          <w:trHeight w:val="27"/>
        </w:trPr>
        <w:tc>
          <w:tcPr>
            <w:tcW w:w="40" w:type="dxa"/>
            <w:vAlign w:val="bottom"/>
            <w:tcBorders>
              <w:right w:val="single" w:sz="8" w:color="auto"/>
            </w:tcBorders>
            <w:vMerge w:val="restart"/>
          </w:tcPr>
          <w:p>
            <w:pPr>
              <w:spacing w:after="0"/>
              <w:rPr>
                <w:sz w:val="2"/>
                <w:szCs w:val="2"/>
                <w:color w:val="auto"/>
              </w:rPr>
            </w:pPr>
          </w:p>
        </w:tc>
        <w:tc>
          <w:tcPr>
            <w:tcW w:w="2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Warrants</w:t>
            </w:r>
          </w:p>
        </w:tc>
        <w:tc>
          <w:tcPr>
            <w:tcW w:w="1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$267,446</w:t>
            </w:r>
          </w:p>
        </w:tc>
        <w:tc>
          <w:tcPr>
            <w:tcW w:w="2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Option pricing model</w:t>
            </w: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vMerge w:val="continue"/>
          </w:tcPr>
          <w:p>
            <w:pPr>
              <w:spacing w:after="0"/>
              <w:rPr>
                <w:sz w:val="18"/>
                <w:szCs w:val="18"/>
                <w:color w:val="auto"/>
              </w:rPr>
            </w:pPr>
          </w:p>
        </w:tc>
        <w:tc>
          <w:tcPr>
            <w:tcW w:w="2860" w:type="dxa"/>
            <w:vAlign w:val="bottom"/>
            <w:tcBorders>
              <w:right w:val="single" w:sz="8" w:color="auto"/>
            </w:tcBorders>
            <w:vMerge w:val="continue"/>
          </w:tcPr>
          <w:p>
            <w:pPr>
              <w:spacing w:after="0"/>
              <w:rPr>
                <w:sz w:val="18"/>
                <w:szCs w:val="18"/>
                <w:color w:val="auto"/>
              </w:rPr>
            </w:pPr>
          </w:p>
        </w:tc>
        <w:tc>
          <w:tcPr>
            <w:tcW w:w="1820" w:type="dxa"/>
            <w:vAlign w:val="bottom"/>
            <w:tcBorders>
              <w:right w:val="single" w:sz="8" w:color="auto"/>
            </w:tcBorders>
            <w:vMerge w:val="continue"/>
          </w:tcPr>
          <w:p>
            <w:pPr>
              <w:spacing w:after="0"/>
              <w:rPr>
                <w:sz w:val="18"/>
                <w:szCs w:val="18"/>
                <w:color w:val="auto"/>
              </w:rPr>
            </w:pPr>
          </w:p>
        </w:tc>
        <w:tc>
          <w:tcPr>
            <w:tcW w:w="2060" w:type="dxa"/>
            <w:vAlign w:val="bottom"/>
            <w:tcBorders>
              <w:right w:val="single" w:sz="8" w:color="auto"/>
            </w:tcBorders>
            <w:vMerge w:val="continue"/>
          </w:tcPr>
          <w:p>
            <w:pPr>
              <w:spacing w:after="0"/>
              <w:rPr>
                <w:sz w:val="18"/>
                <w:szCs w:val="18"/>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Volatility</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28.1%-37.1%</w:t>
            </w:r>
          </w:p>
        </w:tc>
        <w:tc>
          <w:tcPr>
            <w:tcW w:w="0" w:type="dxa"/>
            <w:vAlign w:val="bottom"/>
          </w:tcPr>
          <w:p>
            <w:pPr>
              <w:spacing w:after="0"/>
              <w:rPr>
                <w:sz w:val="1"/>
                <w:szCs w:val="1"/>
                <w:color w:val="auto"/>
              </w:rPr>
            </w:pPr>
          </w:p>
        </w:tc>
      </w:tr>
      <w:tr>
        <w:trPr>
          <w:trHeight w:val="126"/>
        </w:trPr>
        <w:tc>
          <w:tcPr>
            <w:tcW w:w="40" w:type="dxa"/>
            <w:vAlign w:val="bottom"/>
            <w:tcBorders>
              <w:right w:val="single" w:sz="8" w:color="auto"/>
            </w:tcBorders>
          </w:tcPr>
          <w:p>
            <w:pPr>
              <w:spacing w:after="0"/>
              <w:rPr>
                <w:sz w:val="10"/>
                <w:szCs w:val="10"/>
                <w:color w:val="auto"/>
              </w:rPr>
            </w:pPr>
          </w:p>
        </w:tc>
        <w:tc>
          <w:tcPr>
            <w:tcW w:w="286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250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(29.0%)</w:t>
            </w:r>
          </w:p>
        </w:tc>
        <w:tc>
          <w:tcPr>
            <w:tcW w:w="0" w:type="dxa"/>
            <w:vAlign w:val="bottom"/>
          </w:tcPr>
          <w:p>
            <w:pPr>
              <w:spacing w:after="0"/>
              <w:rPr>
                <w:sz w:val="1"/>
                <w:szCs w:val="1"/>
                <w:color w:val="auto"/>
              </w:rPr>
            </w:pPr>
          </w:p>
        </w:tc>
      </w:tr>
      <w:tr>
        <w:trPr>
          <w:trHeight w:val="108"/>
        </w:trPr>
        <w:tc>
          <w:tcPr>
            <w:tcW w:w="40" w:type="dxa"/>
            <w:vAlign w:val="bottom"/>
            <w:tcBorders>
              <w:right w:val="single" w:sz="8" w:color="auto"/>
            </w:tcBorders>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2060" w:type="dxa"/>
            <w:vAlign w:val="bottom"/>
            <w:tcBorders>
              <w:right w:val="single" w:sz="8" w:color="auto"/>
            </w:tcBorders>
          </w:tcPr>
          <w:p>
            <w:pPr>
              <w:spacing w:after="0"/>
              <w:rPr>
                <w:sz w:val="9"/>
                <w:szCs w:val="9"/>
                <w:color w:val="auto"/>
              </w:rPr>
            </w:pPr>
          </w:p>
        </w:tc>
        <w:tc>
          <w:tcPr>
            <w:tcW w:w="2500" w:type="dxa"/>
            <w:vAlign w:val="bottom"/>
            <w:tcBorders>
              <w:right w:val="single" w:sz="8" w:color="auto"/>
            </w:tcBorders>
          </w:tcPr>
          <w:p>
            <w:pPr>
              <w:spacing w:after="0"/>
              <w:rPr>
                <w:sz w:val="9"/>
                <w:szCs w:val="9"/>
                <w:color w:val="auto"/>
              </w:rPr>
            </w:pPr>
          </w:p>
        </w:tc>
        <w:tc>
          <w:tcPr>
            <w:tcW w:w="21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286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w w:val="97"/>
              </w:rPr>
              <w:t>________________________</w:t>
            </w:r>
          </w:p>
        </w:tc>
        <w:tc>
          <w:tcPr>
            <w:tcW w:w="18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ind w:left="660" w:right="20" w:hanging="652"/>
        <w:spacing w:after="0" w:line="255" w:lineRule="auto"/>
        <w:tabs>
          <w:tab w:leader="none" w:pos="6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2018, the Company used a hybrid market and income approach to value certain common and preferred stock investments as the Company felt this approach better reflected the fair value of these investments. By considering multiple valuation approaches (and consequently, multiple valuation techniques), the valuation approaches and techniques are not likely to change from one period of measurement to the next; however, the weighting of each in determining the final fair value of a Level 3 investment may change based on recent events or transactions. Refer to “Note 2—Significant Accounting Policies—</w:t>
      </w:r>
      <w:r>
        <w:rPr>
          <w:rFonts w:ascii="Times New Roman" w:cs="Times New Roman" w:eastAsia="Times New Roman" w:hAnsi="Times New Roman"/>
          <w:sz w:val="16"/>
          <w:szCs w:val="16"/>
          <w:i w:val="1"/>
          <w:iCs w:val="1"/>
          <w:color w:val="auto"/>
        </w:rPr>
        <w:t>Investments at Fair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Value</w:t>
      </w:r>
      <w:r>
        <w:rPr>
          <w:rFonts w:ascii="Times New Roman" w:cs="Times New Roman" w:eastAsia="Times New Roman" w:hAnsi="Times New Roman"/>
          <w:sz w:val="16"/>
          <w:szCs w:val="16"/>
          <w:color w:val="auto"/>
        </w:rPr>
        <w:t>” for more detail.</w:t>
      </w:r>
    </w:p>
    <w:p>
      <w:pPr>
        <w:spacing w:after="0" w:line="75" w:lineRule="exact"/>
        <w:rPr>
          <w:rFonts w:ascii="Times New Roman" w:cs="Times New Roman" w:eastAsia="Times New Roman" w:hAnsi="Times New Roman"/>
          <w:sz w:val="16"/>
          <w:szCs w:val="16"/>
          <w:color w:val="auto"/>
        </w:rPr>
      </w:pPr>
    </w:p>
    <w:p>
      <w:pPr>
        <w:jc w:val="both"/>
        <w:ind w:left="660" w:right="20" w:hanging="652"/>
        <w:spacing w:after="0" w:line="255" w:lineRule="auto"/>
        <w:tabs>
          <w:tab w:leader="none" w:pos="6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considers all relevant information that can reasonably be obtained when determining the fair value of Level 3 investments. Due to any given portfolio company’s information rights, changes in capital structure, recent events, transactions, or liquidity events, the type and availability of unobservable inputs may change. Increases/(decreases) in revenue multiples, earnings before interest and taxes (“EBIT”) multiples, time to expiration, and stock price/strike price would result in higher (lower) fair values all else equal. Decreases (increases) in discount rates, volatility, and annual risk rates, would result in higher (lower) fair values all else equal. The market approach utilizes market value (revenue and EBIT) multiples of publicly traded comparable companies and available precedent</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40"/>
          </w:cols>
          <w:pgMar w:left="240" w:top="118" w:right="219" w:bottom="1440" w:gutter="0" w:footer="0" w:header="0"/>
        </w:sectPr>
      </w:pPr>
    </w:p>
    <w:bookmarkStart w:id="35" w:name="page36"/>
    <w:bookmarkEnd w:id="3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373" w:lineRule="exact"/>
        <w:rPr>
          <w:sz w:val="20"/>
          <w:szCs w:val="20"/>
          <w:color w:val="auto"/>
        </w:rPr>
      </w:pPr>
    </w:p>
    <w:p>
      <w:pPr>
        <w:jc w:val="both"/>
        <w:ind w:left="660"/>
        <w:spacing w:after="0" w:line="346" w:lineRule="auto"/>
        <w:rPr>
          <w:sz w:val="20"/>
          <w:szCs w:val="20"/>
          <w:color w:val="auto"/>
        </w:rPr>
      </w:pPr>
      <w:r>
        <w:rPr>
          <w:rFonts w:ascii="Times New Roman" w:cs="Times New Roman" w:eastAsia="Times New Roman" w:hAnsi="Times New Roman"/>
          <w:sz w:val="16"/>
          <w:szCs w:val="16"/>
          <w:color w:val="auto"/>
        </w:rPr>
        <w:t>sales transactions of comparable companies. The Company carefully considers numerous factors when selecting the appropriate companies whose multiples are used to value its portfolio companies. These factors include, but are 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2—Significant Accounting Policies—</w:t>
      </w:r>
      <w:r>
        <w:rPr>
          <w:rFonts w:ascii="Times New Roman" w:cs="Times New Roman" w:eastAsia="Times New Roman" w:hAnsi="Times New Roman"/>
          <w:sz w:val="16"/>
          <w:szCs w:val="16"/>
          <w:i w:val="1"/>
          <w:iCs w:val="1"/>
          <w:color w:val="auto"/>
        </w:rPr>
        <w:t>Investments at Fair Value</w:t>
      </w:r>
      <w:r>
        <w:rPr>
          <w:rFonts w:ascii="Times New Roman" w:cs="Times New Roman" w:eastAsia="Times New Roman" w:hAnsi="Times New Roman"/>
          <w:sz w:val="16"/>
          <w:szCs w:val="16"/>
          <w:color w:val="auto"/>
        </w:rPr>
        <w:t>” for more detail.</w:t>
      </w:r>
    </w:p>
    <w:p>
      <w:pPr>
        <w:spacing w:after="0" w:line="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aggregate values of Level 3 assets and liabilities changed during the six months ended June 30, 2019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Six Months Ended June 30, 2019</w:t>
            </w: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8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24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300" w:type="dxa"/>
            <w:vAlign w:val="bottom"/>
          </w:tcPr>
          <w:p>
            <w:pPr>
              <w:spacing w:after="0"/>
              <w:rPr>
                <w:sz w:val="12"/>
                <w:szCs w:val="12"/>
                <w:color w:val="auto"/>
              </w:rPr>
            </w:pPr>
          </w:p>
        </w:tc>
        <w:tc>
          <w:tcPr>
            <w:tcW w:w="12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300" w:type="dxa"/>
            <w:vAlign w:val="bottom"/>
          </w:tcPr>
          <w:p>
            <w:pPr>
              <w:spacing w:after="0"/>
              <w:rPr>
                <w:sz w:val="12"/>
                <w:szCs w:val="12"/>
                <w:color w:val="auto"/>
              </w:rPr>
            </w:pPr>
          </w:p>
        </w:tc>
        <w:tc>
          <w:tcPr>
            <w:tcW w:w="118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8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3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Fair Value as of December 31, 2018</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48,517,824</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99,856,159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5,584,994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267,446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154,226,423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Transfers out of Level 3</w:t>
            </w:r>
            <w:r>
              <w:rPr>
                <w:rFonts w:ascii="Times New Roman" w:cs="Times New Roman" w:eastAsia="Times New Roman" w:hAnsi="Times New Roman"/>
                <w:sz w:val="25"/>
                <w:szCs w:val="25"/>
                <w:color w:val="auto"/>
                <w:vertAlign w:val="superscript"/>
              </w:rPr>
              <w:t>(1)</w:t>
            </w:r>
          </w:p>
        </w:tc>
        <w:tc>
          <w:tcPr>
            <w:tcW w:w="3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(21,947,688)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(21,947,688)</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Purchases, capitalized fees and interest</w:t>
            </w:r>
          </w:p>
        </w:tc>
        <w:tc>
          <w:tcPr>
            <w:tcW w:w="30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10,007,360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10,008,040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Sales/Maturity of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(51,511)</w:t>
            </w:r>
          </w:p>
        </w:tc>
        <w:tc>
          <w:tcPr>
            <w:tcW w:w="0" w:type="dxa"/>
            <w:vAlign w:val="bottom"/>
          </w:tcPr>
          <w:p>
            <w:pPr>
              <w:spacing w:after="0"/>
              <w:rPr>
                <w:sz w:val="1"/>
                <w:szCs w:val="1"/>
                <w:color w:val="auto"/>
              </w:rPr>
            </w:pPr>
          </w:p>
        </w:tc>
      </w:tr>
      <w:tr>
        <w:trPr>
          <w:trHeight w:val="225"/>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fixed income security</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premiums and discounts</w:t>
            </w:r>
          </w:p>
        </w:tc>
        <w:tc>
          <w:tcPr>
            <w:tcW w:w="30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2,433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2,433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Realized losses</w:t>
            </w: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(14,999,998)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(2,418,534)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(17,418,532)</w:t>
            </w:r>
          </w:p>
        </w:tc>
        <w:tc>
          <w:tcPr>
            <w:tcW w:w="0" w:type="dxa"/>
            <w:vAlign w:val="bottom"/>
          </w:tcPr>
          <w:p>
            <w:pPr>
              <w:spacing w:after="0"/>
              <w:rPr>
                <w:sz w:val="1"/>
                <w:szCs w:val="1"/>
                <w:color w:val="auto"/>
              </w:rPr>
            </w:pPr>
          </w:p>
        </w:tc>
      </w:tr>
      <w:tr>
        <w:trPr>
          <w:trHeight w:val="225"/>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change in unrealized appreciation/</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included in earnings</w:t>
            </w: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(3,043,596)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33,466,932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(1,774,483)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(41,821)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28,607,032</w:t>
            </w:r>
          </w:p>
        </w:tc>
        <w:tc>
          <w:tcPr>
            <w:tcW w:w="0" w:type="dxa"/>
            <w:vAlign w:val="bottom"/>
          </w:tcPr>
          <w:p>
            <w:pPr>
              <w:spacing w:after="0"/>
              <w:rPr>
                <w:sz w:val="1"/>
                <w:szCs w:val="1"/>
                <w:color w:val="auto"/>
              </w:rPr>
            </w:pPr>
          </w:p>
        </w:tc>
      </w:tr>
      <w:tr>
        <w:trPr>
          <w:trHeight w:val="27"/>
        </w:trPr>
        <w:tc>
          <w:tcPr>
            <w:tcW w:w="3540" w:type="dxa"/>
            <w:vAlign w:val="bottom"/>
            <w:tcBorders>
              <w:bottom w:val="single" w:sz="8" w:color="BFE4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BFE4FF"/>
            </w:tcBorders>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shd w:val="clear" w:color="auto" w:fill="BFE4FF"/>
              </w:rPr>
              <w:t>Fair Value as of June 30, 2019</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45,474,228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106,382,765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1,343,579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225,625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153,426,197</w:t>
            </w:r>
          </w:p>
        </w:tc>
        <w:tc>
          <w:tcPr>
            <w:tcW w:w="0" w:type="dxa"/>
            <w:vAlign w:val="bottom"/>
          </w:tcPr>
          <w:p>
            <w:pPr>
              <w:spacing w:after="0"/>
              <w:rPr>
                <w:sz w:val="1"/>
                <w:szCs w:val="1"/>
                <w:color w:val="auto"/>
              </w:rPr>
            </w:pPr>
          </w:p>
        </w:tc>
      </w:tr>
      <w:tr>
        <w:trPr>
          <w:trHeight w:val="20"/>
        </w:trPr>
        <w:tc>
          <w:tcPr>
            <w:tcW w:w="3540" w:type="dxa"/>
            <w:vAlign w:val="bottom"/>
            <w:tcBorders>
              <w:top w:val="single" w:sz="8" w:color="BFE4FF"/>
              <w:bottom w:val="single" w:sz="8" w:color="BFE4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Net change in unrealized appreciation/</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5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of Level 3 investments still</w:t>
            </w: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(3,043,596)</w:t>
            </w:r>
          </w:p>
        </w:tc>
        <w:tc>
          <w:tcPr>
            <w:tcW w:w="120" w:type="dxa"/>
            <w:vAlign w:val="bottom"/>
          </w:tcPr>
          <w:p>
            <w:pPr>
              <w:spacing w:after="0"/>
              <w:rPr>
                <w:sz w:val="18"/>
                <w:szCs w:val="18"/>
                <w:color w:val="auto"/>
              </w:rPr>
            </w:pP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tcPr>
          <w:p>
            <w:pPr>
              <w:jc w:val="right"/>
              <w:ind w:right="14"/>
              <w:spacing w:after="0"/>
              <w:rPr>
                <w:sz w:val="20"/>
                <w:szCs w:val="20"/>
                <w:color w:val="auto"/>
              </w:rPr>
            </w:pPr>
            <w:r>
              <w:rPr>
                <w:rFonts w:ascii="Times New Roman" w:cs="Times New Roman" w:eastAsia="Times New Roman" w:hAnsi="Times New Roman"/>
                <w:sz w:val="18"/>
                <w:szCs w:val="18"/>
                <w:color w:val="auto"/>
              </w:rPr>
              <w:t>14,151,248</w:t>
            </w:r>
          </w:p>
        </w:tc>
        <w:tc>
          <w:tcPr>
            <w:tcW w:w="100" w:type="dxa"/>
            <w:vAlign w:val="bottom"/>
          </w:tcPr>
          <w:p>
            <w:pPr>
              <w:spacing w:after="0"/>
              <w:rPr>
                <w:sz w:val="18"/>
                <w:szCs w:val="18"/>
                <w:color w:val="auto"/>
              </w:rPr>
            </w:pP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(4,109,443)</w:t>
            </w:r>
          </w:p>
        </w:tc>
        <w:tc>
          <w:tcPr>
            <w:tcW w:w="100" w:type="dxa"/>
            <w:vAlign w:val="bottom"/>
          </w:tcPr>
          <w:p>
            <w:pPr>
              <w:spacing w:after="0"/>
              <w:rPr>
                <w:sz w:val="18"/>
                <w:szCs w:val="18"/>
                <w:color w:val="auto"/>
              </w:rPr>
            </w:pP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(41,821)</w:t>
            </w:r>
          </w:p>
        </w:tc>
        <w:tc>
          <w:tcPr>
            <w:tcW w:w="100" w:type="dxa"/>
            <w:vAlign w:val="bottom"/>
          </w:tcPr>
          <w:p>
            <w:pPr>
              <w:spacing w:after="0"/>
              <w:rPr>
                <w:sz w:val="18"/>
                <w:szCs w:val="18"/>
                <w:color w:val="auto"/>
              </w:rPr>
            </w:pP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6,956,388</w:t>
            </w:r>
          </w:p>
        </w:tc>
        <w:tc>
          <w:tcPr>
            <w:tcW w:w="0" w:type="dxa"/>
            <w:vAlign w:val="bottom"/>
          </w:tcPr>
          <w:p>
            <w:pPr>
              <w:spacing w:after="0"/>
              <w:rPr>
                <w:sz w:val="1"/>
                <w:szCs w:val="1"/>
                <w:color w:val="auto"/>
              </w:rPr>
            </w:pPr>
          </w:p>
        </w:tc>
      </w:tr>
      <w:tr>
        <w:trPr>
          <w:trHeight w:val="234"/>
        </w:trPr>
        <w:tc>
          <w:tcPr>
            <w:tcW w:w="3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held as of June 30, 2019</w:t>
            </w:r>
          </w:p>
        </w:tc>
        <w:tc>
          <w:tcPr>
            <w:tcW w:w="300" w:type="dxa"/>
            <w:vAlign w:val="bottom"/>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12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8890</wp:posOffset>
            </wp:positionV>
            <wp:extent cx="49999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-127635</wp:posOffset>
            </wp:positionV>
            <wp:extent cx="49999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spacing w:after="0" w:line="115"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six months ended June 30, 2019, the Company’s portfolio investments had the following corporate actions which are reflected above: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Conversion from</w:t>
            </w:r>
          </w:p>
        </w:tc>
        <w:tc>
          <w:tcPr>
            <w:tcW w:w="3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Conversion to</w:t>
            </w:r>
          </w:p>
        </w:tc>
        <w:tc>
          <w:tcPr>
            <w:tcW w:w="0" w:type="dxa"/>
            <w:vAlign w:val="bottom"/>
          </w:tcPr>
          <w:p>
            <w:pPr>
              <w:spacing w:after="0"/>
              <w:rPr>
                <w:sz w:val="1"/>
                <w:szCs w:val="1"/>
                <w:color w:val="auto"/>
              </w:rPr>
            </w:pPr>
          </w:p>
        </w:tc>
      </w:tr>
      <w:tr>
        <w:trPr>
          <w:trHeight w:val="33"/>
        </w:trPr>
        <w:tc>
          <w:tcPr>
            <w:tcW w:w="2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0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Lyft, Inc.</w:t>
            </w:r>
          </w:p>
        </w:tc>
        <w:tc>
          <w:tcPr>
            <w:tcW w:w="49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Preferred shares, Series D</w:t>
            </w:r>
          </w:p>
        </w:tc>
        <w:tc>
          <w:tcPr>
            <w:tcW w:w="3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Public Common Shares (Level 2)</w:t>
            </w:r>
          </w:p>
        </w:tc>
        <w:tc>
          <w:tcPr>
            <w:tcW w:w="0" w:type="dxa"/>
            <w:vAlign w:val="bottom"/>
          </w:tcPr>
          <w:p>
            <w:pPr>
              <w:spacing w:after="0"/>
              <w:rPr>
                <w:sz w:val="1"/>
                <w:szCs w:val="1"/>
                <w:color w:val="auto"/>
              </w:rPr>
            </w:pPr>
          </w:p>
        </w:tc>
      </w:tr>
      <w:tr>
        <w:trPr>
          <w:trHeight w:val="102"/>
        </w:trPr>
        <w:tc>
          <w:tcPr>
            <w:tcW w:w="3000" w:type="dxa"/>
            <w:vAlign w:val="bottom"/>
            <w:gridSpan w:val="2"/>
            <w:vMerge w:val="continue"/>
            <w:shd w:val="clear" w:color="auto" w:fill="CCEEFF"/>
          </w:tcPr>
          <w:p>
            <w:pPr>
              <w:spacing w:after="0"/>
              <w:rPr>
                <w:sz w:val="8"/>
                <w:szCs w:val="8"/>
                <w:color w:val="auto"/>
              </w:rPr>
            </w:pPr>
          </w:p>
        </w:tc>
        <w:tc>
          <w:tcPr>
            <w:tcW w:w="490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Preferred shares, Series E</w:t>
            </w:r>
          </w:p>
        </w:tc>
        <w:tc>
          <w:tcPr>
            <w:tcW w:w="35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900" w:type="dxa"/>
            <w:vAlign w:val="bottom"/>
            <w:gridSpan w:val="2"/>
            <w:vMerge w:val="continue"/>
            <w:shd w:val="clear" w:color="auto" w:fill="CCEEFF"/>
          </w:tcPr>
          <w:p>
            <w:pPr>
              <w:spacing w:after="0"/>
              <w:rPr>
                <w:sz w:val="9"/>
                <w:szCs w:val="9"/>
                <w:color w:val="auto"/>
              </w:rPr>
            </w:pPr>
          </w:p>
        </w:tc>
        <w:tc>
          <w:tcPr>
            <w:tcW w:w="35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-299720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-299720</wp:posOffset>
            </wp:positionV>
            <wp:extent cx="774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2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aggregate values of Level 3 assets and liabilities changed during the year ended December 31, 2018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 2018</w:t>
            </w: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8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24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400" w:type="dxa"/>
            <w:vAlign w:val="bottom"/>
          </w:tcPr>
          <w:p>
            <w:pPr>
              <w:spacing w:after="0"/>
              <w:rPr>
                <w:sz w:val="12"/>
                <w:szCs w:val="12"/>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300" w:type="dxa"/>
            <w:vAlign w:val="bottom"/>
          </w:tcPr>
          <w:p>
            <w:pPr>
              <w:spacing w:after="0"/>
              <w:rPr>
                <w:sz w:val="12"/>
                <w:szCs w:val="12"/>
                <w:color w:val="auto"/>
              </w:rPr>
            </w:pPr>
          </w:p>
        </w:tc>
        <w:tc>
          <w:tcPr>
            <w:tcW w:w="118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8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4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Fair Value as of December 31, 2017</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86,824,096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120,253,822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4,916,578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433,997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212,428,493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Transfers into Level 3</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(41,707,506)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(7,734,804)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(49,442,310)</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Purchases, capitalized fees and interest</w:t>
            </w:r>
          </w:p>
        </w:tc>
        <w:tc>
          <w:tcPr>
            <w:tcW w:w="30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10,108,434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1,044,531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30,647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11,185,789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Sales/Maturity of investments </w:t>
            </w:r>
            <w:r>
              <w:rPr>
                <w:rFonts w:ascii="Times New Roman" w:cs="Times New Roman" w:eastAsia="Times New Roman" w:hAnsi="Times New Roman"/>
                <w:sz w:val="25"/>
                <w:szCs w:val="25"/>
                <w:color w:val="auto"/>
                <w:vertAlign w:val="superscript"/>
              </w:rPr>
              <w:t>(2)</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(6,910,798)</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(16,958,428)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(722,776)</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(24,592,002)</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Realized gains/(losses)</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(1,567,122)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(10,458,567)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(12,026,369)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Exercises, conversions and assignments </w:t>
            </w:r>
            <w:r>
              <w:rPr>
                <w:rFonts w:ascii="Times New Roman" w:cs="Times New Roman" w:eastAsia="Times New Roman" w:hAnsi="Times New Roman"/>
                <w:sz w:val="25"/>
                <w:szCs w:val="25"/>
                <w:color w:val="auto"/>
                <w:vertAlign w:val="superscript"/>
              </w:rPr>
              <w:t>(1)</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5,537,205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(5,514,077)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fixed income security</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premiums and discounts</w:t>
            </w:r>
          </w:p>
        </w:tc>
        <w:tc>
          <w:tcPr>
            <w:tcW w:w="30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30,660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30,660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change in unrealized depreciation included</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 earnings</w:t>
            </w:r>
          </w:p>
        </w:tc>
        <w:tc>
          <w:tcPr>
            <w:tcW w:w="3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(3,766,485)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20,266,036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321,761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(179,150)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16,642,162</w:t>
            </w:r>
          </w:p>
        </w:tc>
        <w:tc>
          <w:tcPr>
            <w:tcW w:w="0" w:type="dxa"/>
            <w:vAlign w:val="bottom"/>
          </w:tcPr>
          <w:p>
            <w:pPr>
              <w:spacing w:after="0"/>
              <w:rPr>
                <w:sz w:val="1"/>
                <w:szCs w:val="1"/>
                <w:color w:val="auto"/>
              </w:rPr>
            </w:pPr>
          </w:p>
        </w:tc>
      </w:tr>
      <w:tr>
        <w:trPr>
          <w:trHeight w:val="297"/>
        </w:trPr>
        <w:tc>
          <w:tcPr>
            <w:tcW w:w="35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Fair Value as of December 31, 2018</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48,517,824</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99,856,159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5,584,994</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267,446</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154,226,423</w:t>
            </w:r>
          </w:p>
        </w:tc>
        <w:tc>
          <w:tcPr>
            <w:tcW w:w="0" w:type="dxa"/>
            <w:vAlign w:val="bottom"/>
          </w:tcPr>
          <w:p>
            <w:pPr>
              <w:spacing w:after="0"/>
              <w:rPr>
                <w:sz w:val="1"/>
                <w:szCs w:val="1"/>
                <w:color w:val="auto"/>
              </w:rPr>
            </w:pPr>
          </w:p>
        </w:tc>
      </w:tr>
      <w:tr>
        <w:trPr>
          <w:trHeight w:val="185"/>
        </w:trPr>
        <w:tc>
          <w:tcPr>
            <w:tcW w:w="3540" w:type="dxa"/>
            <w:vAlign w:val="bottom"/>
            <w:shd w:val="clear" w:color="auto" w:fill="CCEEFF"/>
          </w:tcPr>
          <w:p>
            <w:pPr>
              <w:ind w:left="40"/>
              <w:spacing w:after="0" w:line="185" w:lineRule="exact"/>
              <w:rPr>
                <w:sz w:val="20"/>
                <w:szCs w:val="20"/>
                <w:color w:val="auto"/>
              </w:rPr>
            </w:pPr>
            <w:r>
              <w:rPr>
                <w:rFonts w:ascii="Times New Roman" w:cs="Times New Roman" w:eastAsia="Times New Roman" w:hAnsi="Times New Roman"/>
                <w:sz w:val="18"/>
                <w:szCs w:val="18"/>
                <w:color w:val="auto"/>
              </w:rPr>
              <w:t>Net change in unrealized appreciation/</w:t>
            </w: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of Level 3 investments still</w:t>
            </w:r>
          </w:p>
        </w:tc>
        <w:tc>
          <w:tcPr>
            <w:tcW w:w="3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(12,412,555)</w:t>
            </w:r>
          </w:p>
        </w:tc>
        <w:tc>
          <w:tcPr>
            <w:tcW w:w="12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10,061,576</w:t>
            </w: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317,201</w:t>
            </w:r>
          </w:p>
        </w:tc>
        <w:tc>
          <w:tcPr>
            <w:tcW w:w="100" w:type="dxa"/>
            <w:vAlign w:val="bottom"/>
            <w:shd w:val="clear" w:color="auto" w:fill="CCEEFF"/>
          </w:tcPr>
          <w:p>
            <w:pPr>
              <w:spacing w:after="0"/>
              <w:rPr>
                <w:sz w:val="18"/>
                <w:szCs w:val="18"/>
                <w:color w:val="auto"/>
              </w:rPr>
            </w:pPr>
          </w:p>
        </w:tc>
        <w:tc>
          <w:tcPr>
            <w:tcW w:w="40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(156,021)</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(2,189,799)</w:t>
            </w:r>
          </w:p>
        </w:tc>
        <w:tc>
          <w:tcPr>
            <w:tcW w:w="0" w:type="dxa"/>
            <w:vAlign w:val="bottom"/>
          </w:tcPr>
          <w:p>
            <w:pPr>
              <w:spacing w:after="0"/>
              <w:rPr>
                <w:sz w:val="1"/>
                <w:szCs w:val="1"/>
                <w:color w:val="auto"/>
              </w:rPr>
            </w:pPr>
          </w:p>
        </w:tc>
      </w:tr>
      <w:tr>
        <w:trPr>
          <w:trHeight w:val="241"/>
        </w:trPr>
        <w:tc>
          <w:tcPr>
            <w:tcW w:w="3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held as of December 31, 2018</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11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(1)</w:t>
        <w:tab/>
        <w:t>During year ended December 31, 2018, the Company’s portfolio investments had the following corporate actions which are reflected above: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Transfer from</w:t>
            </w: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Transfer to</w:t>
            </w:r>
          </w:p>
        </w:tc>
      </w:tr>
      <w:tr>
        <w:trPr>
          <w:trHeight w:val="33"/>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10"/>
        </w:trPr>
        <w:tc>
          <w:tcPr>
            <w:tcW w:w="6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shd w:val="clear" w:color="auto" w:fill="CCEEFF"/>
              </w:rPr>
              <w:t>Preferred shares, Series A-1 &amp;</w:t>
            </w: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shd w:val="clear" w:color="auto" w:fill="CCEEFF"/>
              </w:rPr>
              <w:t>Public Common Shares (Level</w:t>
            </w:r>
          </w:p>
        </w:tc>
      </w:tr>
      <w:tr>
        <w:trPr>
          <w:trHeight w:val="223"/>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Dropbox, Inc.</w:t>
            </w:r>
          </w:p>
        </w:tc>
        <w:tc>
          <w:tcPr>
            <w:tcW w:w="120" w:type="dxa"/>
            <w:vAlign w:val="bottom"/>
            <w:tcBorders>
              <w:bottom w:val="single" w:sz="8" w:color="CCEEFF"/>
            </w:tcBorders>
            <w:shd w:val="clear" w:color="auto" w:fill="CCEEFF"/>
          </w:tcPr>
          <w:p>
            <w:pPr>
              <w:spacing w:after="0"/>
              <w:rPr>
                <w:sz w:val="19"/>
                <w:szCs w:val="19"/>
                <w:color w:val="auto"/>
              </w:rPr>
            </w:pPr>
          </w:p>
        </w:tc>
        <w:tc>
          <w:tcPr>
            <w:tcW w:w="2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shd w:val="clear" w:color="auto" w:fill="CCEEFF"/>
              </w:rPr>
              <w:t>Common shares</w:t>
            </w:r>
          </w:p>
        </w:tc>
        <w:tc>
          <w:tcPr>
            <w:tcW w:w="10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shd w:val="clear" w:color="auto" w:fill="CCEEFF"/>
              </w:rPr>
              <w:t>2)</w:t>
            </w:r>
          </w:p>
        </w:tc>
      </w:tr>
      <w:tr>
        <w:trPr>
          <w:trHeight w:val="216"/>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Public Common Shares (Level</w:t>
            </w:r>
          </w:p>
        </w:tc>
      </w:tr>
      <w:tr>
        <w:trPr>
          <w:trHeight w:val="210"/>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Spotify Technology S.A.</w:t>
            </w:r>
          </w:p>
        </w:tc>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Common shares</w:t>
            </w:r>
          </w:p>
        </w:tc>
        <w:tc>
          <w:tcPr>
            <w:tcW w:w="216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rPr>
              <w:t>1)</w:t>
            </w:r>
          </w:p>
        </w:tc>
      </w:tr>
      <w:tr>
        <w:trPr>
          <w:trHeight w:val="33"/>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Curious.com, Inc.</w:t>
            </w: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shd w:val="clear" w:color="auto" w:fill="CCEEFF"/>
              </w:rPr>
              <w:t>Preferred shares, Series B</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shd w:val="clear" w:color="auto" w:fill="CCEEFF"/>
              </w:rPr>
              <w:t>Common shares</w:t>
            </w:r>
          </w:p>
        </w:tc>
      </w:tr>
      <w:tr>
        <w:trPr>
          <w:trHeight w:val="23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SharesPost, Inc.</w:t>
            </w:r>
          </w:p>
        </w:tc>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Common warrants</w:t>
            </w: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shares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5810885</wp:posOffset>
            </wp:positionH>
            <wp:positionV relativeFrom="paragraph">
              <wp:posOffset>-913130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-913130</wp:posOffset>
            </wp:positionV>
            <wp:extent cx="774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07" w:lineRule="exact"/>
        <w:rPr>
          <w:sz w:val="20"/>
          <w:szCs w:val="20"/>
          <w:color w:val="auto"/>
        </w:rPr>
      </w:pPr>
    </w:p>
    <w:p>
      <w:pPr>
        <w:ind w:right="2300" w:firstLine="8"/>
        <w:spacing w:after="0" w:line="281" w:lineRule="auto"/>
        <w:tabs>
          <w:tab w:leader="none" w:pos="324"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of investments includes escrow proceeds receivable of approximately $2.5 million from the sale of the Company’s investments in General Assembly Space, Inc., Lytro, Inc., SugarCRM, Inc., and DreamBox Learning, Inc.</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of Investments In, and Advances to, Affiliates</w:t>
      </w:r>
    </w:p>
    <w:p>
      <w:pPr>
        <w:spacing w:after="0" w:line="229" w:lineRule="exact"/>
        <w:rPr>
          <w:sz w:val="20"/>
          <w:szCs w:val="20"/>
          <w:color w:val="auto"/>
        </w:rPr>
      </w:pPr>
    </w:p>
    <w:p>
      <w:pPr>
        <w:ind w:right="160" w:firstLine="351"/>
        <w:spacing w:after="0" w:line="282" w:lineRule="auto"/>
        <w:rPr>
          <w:sz w:val="20"/>
          <w:szCs w:val="20"/>
          <w:color w:val="auto"/>
        </w:rPr>
      </w:pPr>
      <w:r>
        <w:rPr>
          <w:rFonts w:ascii="Times New Roman" w:cs="Times New Roman" w:eastAsia="Times New Roman" w:hAnsi="Times New Roman"/>
          <w:sz w:val="18"/>
          <w:szCs w:val="18"/>
          <w:color w:val="auto"/>
        </w:rPr>
        <w:t>Transactions during the six months ended June 30, 2019 involving the Company’s controlled investments and non-controlled/affiliate investments were as follows: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Schedule of Investments In, and Advances to, Affiliate</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Interest,</w:t>
            </w:r>
          </w:p>
        </w:tc>
        <w:tc>
          <w:tcPr>
            <w:tcW w:w="9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Fees, or</w:t>
            </w:r>
          </w:p>
        </w:tc>
        <w:tc>
          <w:tcPr>
            <w:tcW w:w="980" w:type="dxa"/>
            <w:vAlign w:val="bottom"/>
            <w:gridSpan w:val="3"/>
            <w:vMerge w:val="continue"/>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Capitalized</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9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Dividends</w:t>
            </w:r>
          </w:p>
        </w:tc>
        <w:tc>
          <w:tcPr>
            <w:tcW w:w="12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Fees,</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100" w:type="dxa"/>
            <w:vAlign w:val="bottom"/>
          </w:tcPr>
          <w:p>
            <w:pPr>
              <w:spacing w:after="0"/>
              <w:rPr>
                <w:sz w:val="12"/>
                <w:szCs w:val="12"/>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Type/Industry/Portfolio Company/Investment</w:t>
            </w:r>
          </w:p>
        </w:tc>
        <w:tc>
          <w:tcPr>
            <w:tcW w:w="100" w:type="dxa"/>
            <w:vAlign w:val="bottom"/>
            <w:vMerge w:val="restart"/>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Credited</w:t>
            </w:r>
          </w:p>
        </w:tc>
        <w:tc>
          <w:tcPr>
            <w:tcW w:w="120" w:type="dxa"/>
            <w:vAlign w:val="bottom"/>
          </w:tcPr>
          <w:p>
            <w:pPr>
              <w:spacing w:after="0"/>
              <w:rPr>
                <w:sz w:val="12"/>
                <w:szCs w:val="12"/>
                <w:color w:val="auto"/>
              </w:rPr>
            </w:pPr>
          </w:p>
        </w:tc>
        <w:tc>
          <w:tcPr>
            <w:tcW w:w="76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rPr>
              <w:t>31,</w:t>
            </w:r>
          </w:p>
        </w:tc>
        <w:tc>
          <w:tcPr>
            <w:tcW w:w="10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Interest and</w:t>
            </w:r>
          </w:p>
        </w:tc>
        <w:tc>
          <w:tcPr>
            <w:tcW w:w="120" w:type="dxa"/>
            <w:vAlign w:val="bottom"/>
          </w:tcPr>
          <w:p>
            <w:pPr>
              <w:spacing w:after="0"/>
              <w:rPr>
                <w:sz w:val="12"/>
                <w:szCs w:val="12"/>
                <w:color w:val="auto"/>
              </w:rPr>
            </w:pPr>
          </w:p>
        </w:tc>
        <w:tc>
          <w:tcPr>
            <w:tcW w:w="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95"/>
        </w:trPr>
        <w:tc>
          <w:tcPr>
            <w:tcW w:w="296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Income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01"/>
        </w:trPr>
        <w:tc>
          <w:tcPr>
            <w:tcW w:w="3060" w:type="dxa"/>
            <w:vAlign w:val="bottom"/>
            <w:gridSpan w:val="4"/>
            <w:shd w:val="clear" w:color="auto" w:fill="CCEEFF"/>
          </w:tcPr>
          <w:p>
            <w:pPr>
              <w:ind w:left="40"/>
              <w:spacing w:after="0" w:line="201" w:lineRule="exact"/>
              <w:rPr>
                <w:sz w:val="20"/>
                <w:szCs w:val="20"/>
                <w:color w:val="auto"/>
              </w:rPr>
            </w:pPr>
            <w:r>
              <w:rPr>
                <w:rFonts w:ascii="Times New Roman" w:cs="Times New Roman" w:eastAsia="Times New Roman" w:hAnsi="Times New Roman"/>
                <w:sz w:val="16"/>
                <w:szCs w:val="16"/>
                <w:b w:val="1"/>
                <w:bCs w:val="1"/>
                <w:color w:val="auto"/>
              </w:rPr>
              <w:t>CONTROLLED INVESTMENTS*</w:t>
            </w:r>
            <w:r>
              <w:rPr>
                <w:rFonts w:ascii="Times New Roman" w:cs="Times New Roman" w:eastAsia="Times New Roman" w:hAnsi="Times New Roman"/>
                <w:sz w:val="21"/>
                <w:szCs w:val="21"/>
                <w:b w:val="1"/>
                <w:bCs w:val="1"/>
                <w:color w:val="auto"/>
                <w:vertAlign w:val="superscript"/>
              </w:rPr>
              <w:t>(2)</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360" w:type="dxa"/>
            <w:vAlign w:val="bottom"/>
            <w:tcBorders>
              <w:top w:val="single" w:sz="8" w:color="auto"/>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06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Debt Investments</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Global Innovation Platform</w:t>
            </w: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02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NestGSV, Inc. (d/b/a GSV Labs, Inc.)–</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02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rPr>
              <w:t>Convertible Promissory Note 12%</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02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rPr>
              <w:t>Due 12/31/2019***</w:t>
            </w:r>
          </w:p>
        </w:tc>
        <w:tc>
          <w:tcPr>
            <w:tcW w:w="8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  936,525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58,937</w:t>
            </w:r>
          </w:p>
        </w:tc>
        <w:tc>
          <w:tcPr>
            <w:tcW w:w="12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936,525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2,433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(476,094)</w:t>
            </w:r>
          </w:p>
        </w:tc>
        <w:tc>
          <w:tcPr>
            <w:tcW w:w="12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462,864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Debt Investments</w:t>
            </w: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58,937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936,525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2,433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(476,094)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462,864</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0" w:type="dxa"/>
            <w:vAlign w:val="bottom"/>
          </w:tcPr>
          <w:p>
            <w:pPr>
              <w:spacing w:after="0"/>
              <w:rPr>
                <w:sz w:val="1"/>
                <w:szCs w:val="1"/>
                <w:color w:val="auto"/>
              </w:rPr>
            </w:pPr>
          </w:p>
        </w:tc>
      </w:tr>
      <w:tr>
        <w:trPr>
          <w:trHeight w:val="237"/>
        </w:trPr>
        <w:tc>
          <w:tcPr>
            <w:tcW w:w="306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Clean Technology</w:t>
            </w: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02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SPBRX, INC. (f/k/a GSV Sustainability</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02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Partners, Inc.)–Preferred shares,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02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Class A***</w:t>
            </w:r>
            <w:r>
              <w:rPr>
                <w:rFonts w:ascii="Times New Roman" w:cs="Times New Roman" w:eastAsia="Times New Roman" w:hAnsi="Times New Roman"/>
                <w:sz w:val="21"/>
                <w:szCs w:val="21"/>
                <w:color w:val="auto"/>
                <w:vertAlign w:val="superscript"/>
              </w:rPr>
              <w:t>(3)</w:t>
            </w:r>
          </w:p>
        </w:tc>
        <w:tc>
          <w:tcPr>
            <w:tcW w:w="8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14,300,000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200,000</w:t>
            </w:r>
          </w:p>
        </w:tc>
        <w:tc>
          <w:tcPr>
            <w:tcW w:w="12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750,198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66,000</w:t>
            </w:r>
          </w:p>
        </w:tc>
        <w:tc>
          <w:tcPr>
            <w:tcW w:w="12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816,198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0.39%</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Global Innovation Platform</w:t>
            </w: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02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NestGSV, Inc. (d/b/a GSV Labs, Inc.)–</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02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Preferred stock Series A-4</w:t>
            </w:r>
          </w:p>
        </w:tc>
        <w:tc>
          <w:tcPr>
            <w:tcW w:w="8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3,720,424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4,960,553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5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(2,747,909)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2,212,644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30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NestGSV, Inc. (d/b/a GSV Labs, Inc.)–</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302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Preferred stock Series A-3</w:t>
            </w: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1,561,625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1,735,134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(806,391)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928,743</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0.44%</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02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NestGSV, Inc. (d/b/a GSV Labs, Inc.)–</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02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Preferred stock Series A-2</w:t>
            </w:r>
          </w:p>
        </w:tc>
        <w:tc>
          <w:tcPr>
            <w:tcW w:w="8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450,001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300,000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5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267,629</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30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NestGSV, Inc. (d/b/a GSV Labs, Inc.)–</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Preferred stock Series A-1</w:t>
            </w: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1,000,000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499,999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94,730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594,729</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3020" w:type="dxa"/>
            <w:vAlign w:val="bottom"/>
            <w:gridSpan w:val="3"/>
          </w:tcPr>
          <w:p>
            <w:pPr>
              <w:ind w:left="140"/>
              <w:spacing w:after="0"/>
              <w:rPr>
                <w:sz w:val="20"/>
                <w:szCs w:val="20"/>
                <w:color w:val="auto"/>
              </w:rPr>
            </w:pPr>
            <w:r>
              <w:rPr>
                <w:rFonts w:ascii="Times New Roman" w:cs="Times New Roman" w:eastAsia="Times New Roman" w:hAnsi="Times New Roman"/>
                <w:sz w:val="16"/>
                <w:szCs w:val="16"/>
                <w:i w:val="1"/>
                <w:iCs w:val="1"/>
                <w:color w:val="auto"/>
              </w:rPr>
              <w:t>Total Global Innovation Platform</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7,495,686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(3,491,941)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4,003,745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4318635</wp:posOffset>
            </wp:positionH>
            <wp:positionV relativeFrom="paragraph">
              <wp:posOffset>-3374390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Schedule of Investments In, and Advances to, Affiliate</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Purchases,</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Fees, or</w:t>
            </w:r>
          </w:p>
        </w:tc>
        <w:tc>
          <w:tcPr>
            <w:tcW w:w="10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0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Capitalized</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8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Dividends</w:t>
            </w:r>
          </w:p>
        </w:tc>
        <w:tc>
          <w:tcPr>
            <w:tcW w:w="10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Fees,</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120" w:type="dxa"/>
            <w:vAlign w:val="bottom"/>
          </w:tcPr>
          <w:p>
            <w:pPr>
              <w:spacing w:after="0"/>
              <w:rPr>
                <w:sz w:val="12"/>
                <w:szCs w:val="12"/>
                <w:color w:val="auto"/>
              </w:rPr>
            </w:pP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Type/Industry/Portfolio Company/Investment</w:t>
            </w:r>
          </w:p>
        </w:tc>
        <w:tc>
          <w:tcPr>
            <w:tcW w:w="100" w:type="dxa"/>
            <w:vAlign w:val="bottom"/>
            <w:vMerge w:val="restart"/>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Credited</w:t>
            </w:r>
          </w:p>
        </w:tc>
        <w:tc>
          <w:tcPr>
            <w:tcW w:w="106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Interest and</w:t>
            </w:r>
          </w:p>
        </w:tc>
        <w:tc>
          <w:tcPr>
            <w:tcW w:w="100" w:type="dxa"/>
            <w:vAlign w:val="bottom"/>
          </w:tcPr>
          <w:p>
            <w:pPr>
              <w:spacing w:after="0"/>
              <w:rPr>
                <w:sz w:val="12"/>
                <w:szCs w:val="12"/>
                <w:color w:val="auto"/>
              </w:rPr>
            </w:pPr>
          </w:p>
        </w:tc>
        <w:tc>
          <w:tcPr>
            <w:tcW w:w="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123"/>
              <w:spacing w:after="0" w:line="149"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95"/>
        </w:trPr>
        <w:tc>
          <w:tcPr>
            <w:tcW w:w="2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7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Income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49"/>
        </w:trPr>
        <w:tc>
          <w:tcPr>
            <w:tcW w:w="30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Interactive Learning</w:t>
            </w: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StormWind, LLC–Preferred shares,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0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Series C 8%</w:t>
            </w:r>
            <w:r>
              <w:rPr>
                <w:rFonts w:ascii="Times New Roman" w:cs="Times New Roman" w:eastAsia="Times New Roman" w:hAnsi="Times New Roman"/>
                <w:sz w:val="21"/>
                <w:szCs w:val="21"/>
                <w:color w:val="auto"/>
                <w:vertAlign w:val="superscript"/>
              </w:rPr>
              <w:t>(4)</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2,779,134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7,194,971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5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(2,601,783)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4,593,188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StormWind, LLC–Preferred shares,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0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Series B 8%</w:t>
            </w:r>
            <w:r>
              <w:rPr>
                <w:rFonts w:ascii="Times New Roman" w:cs="Times New Roman" w:eastAsia="Times New Roman" w:hAnsi="Times New Roman"/>
                <w:sz w:val="21"/>
                <w:szCs w:val="21"/>
                <w:color w:val="auto"/>
                <w:vertAlign w:val="superscript"/>
              </w:rPr>
              <w:t>(4)</w:t>
            </w:r>
          </w:p>
        </w:tc>
        <w:tc>
          <w:tcPr>
            <w:tcW w:w="7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3,279,629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5,770,328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(3,070,338)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2,699,990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216"/>
        </w:trPr>
        <w:tc>
          <w:tcPr>
            <w:tcW w:w="30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StormWind, LLC–Preferred shares,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02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6"/>
                <w:szCs w:val="16"/>
                <w:color w:val="auto"/>
              </w:rPr>
              <w:t>Series A 8%</w:t>
            </w:r>
            <w:r>
              <w:rPr>
                <w:rFonts w:ascii="Times New Roman" w:cs="Times New Roman" w:eastAsia="Times New Roman" w:hAnsi="Times New Roman"/>
                <w:sz w:val="21"/>
                <w:szCs w:val="21"/>
                <w:color w:val="auto"/>
                <w:vertAlign w:val="superscript"/>
              </w:rPr>
              <w:t>(4)</w:t>
            </w:r>
          </w:p>
        </w:tc>
        <w:tc>
          <w:tcPr>
            <w:tcW w:w="780" w:type="dxa"/>
            <w:vAlign w:val="bottom"/>
            <w:tcBorders>
              <w:bottom w:val="single" w:sz="8" w:color="CCEEFF"/>
            </w:tcBorders>
          </w:tcPr>
          <w:p>
            <w:pPr>
              <w:jc w:val="right"/>
              <w:ind w:right="20"/>
              <w:spacing w:after="0"/>
              <w:rPr>
                <w:sz w:val="20"/>
                <w:szCs w:val="20"/>
                <w:color w:val="auto"/>
              </w:rPr>
            </w:pPr>
            <w:r>
              <w:rPr>
                <w:rFonts w:ascii="Times New Roman" w:cs="Times New Roman" w:eastAsia="Times New Roman" w:hAnsi="Times New Roman"/>
                <w:sz w:val="16"/>
                <w:szCs w:val="16"/>
                <w:color w:val="auto"/>
              </w:rPr>
              <w:t>366,666</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421,525</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(343,267)</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78,258</w:t>
            </w:r>
          </w:p>
        </w:tc>
        <w:tc>
          <w:tcPr>
            <w:tcW w:w="8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0" w:type="dxa"/>
            <w:vAlign w:val="bottom"/>
          </w:tcPr>
          <w:p>
            <w:pPr>
              <w:spacing w:after="0"/>
              <w:rPr>
                <w:sz w:val="1"/>
                <w:szCs w:val="1"/>
                <w:color w:val="auto"/>
              </w:rPr>
            </w:pPr>
          </w:p>
        </w:tc>
      </w:tr>
      <w:tr>
        <w:trPr>
          <w:trHeight w:val="244"/>
        </w:trPr>
        <w:tc>
          <w:tcPr>
            <w:tcW w:w="30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Total Interactive Learning</w:t>
            </w: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7"/>
              </w:rPr>
              <w:t>13,386,824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(6,015,388)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7,371,436</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0" w:type="dxa"/>
            <w:vAlign w:val="bottom"/>
          </w:tcPr>
          <w:p>
            <w:pPr>
              <w:spacing w:after="0"/>
              <w:rPr>
                <w:sz w:val="1"/>
                <w:szCs w:val="1"/>
                <w:color w:val="auto"/>
              </w:rPr>
            </w:pPr>
          </w:p>
        </w:tc>
      </w:tr>
      <w:tr>
        <w:trPr>
          <w:trHeight w:val="237"/>
        </w:trPr>
        <w:tc>
          <w:tcPr>
            <w:tcW w:w="30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Total Preferred Stock</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200,000</w:t>
            </w:r>
          </w:p>
        </w:tc>
        <w:tc>
          <w:tcPr>
            <w:tcW w:w="10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7"/>
              </w:rPr>
              <w:t>21,632,708</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(9,441,329)</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12,191,379</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02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Global Innovation Platform</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NestGSV, Inc. (d/b/a GSV Labs, Inc.)–</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Preferred Warrant Series A-3, Strike</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0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Price $1.33, Expiration Date 4/4/2021</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187,500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26,250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(5,625)</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20,625</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16"/>
        </w:trPr>
        <w:tc>
          <w:tcPr>
            <w:tcW w:w="30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NestGSV, Inc. (d/b/a GSV Labs, Inc.)–</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Preferred Warrant Series A-4, Strike</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0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Price $1.33, Expiration Date 10/6/2021</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145,000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135,000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NestGSV, Inc. (d/b/a GSV Labs, Inc.)–</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Preferred Warrant Series A-4, Strike</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0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Price $1.33, Expiration Date 7/18/2021</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250,000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70,000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65,000</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216"/>
        </w:trPr>
        <w:tc>
          <w:tcPr>
            <w:tcW w:w="30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NestGSV, Inc. (d/b/a GSV Labs, Inc.)–</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Preferred Warrant Series B, Strike Price</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0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$2.31, Expiration Date 11/29/2021</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NestGSV, Inc. (d/b/a GSV Labs, Inc.)–</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Preferred Warrant Series B, Strike Price</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0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$2.31, Expiration Date 5/29/2022</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125,000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694</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NestGSV, Inc. (d/b/a GSV Labs, Inc.)–</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Preferred Warrant Series B, Strike Price</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0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$2.31, Expiration Date 12/31/2023</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250,000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r>
        <w:trPr>
          <w:trHeight w:val="33"/>
        </w:trPr>
        <w:tc>
          <w:tcPr>
            <w:tcW w:w="2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0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Total Global Innovation Platform</w:t>
            </w: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247,500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(21,875)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225,625</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0" w:type="dxa"/>
            <w:vAlign w:val="bottom"/>
          </w:tcPr>
          <w:p>
            <w:pPr>
              <w:spacing w:after="0"/>
              <w:rPr>
                <w:sz w:val="1"/>
                <w:szCs w:val="1"/>
                <w:color w:val="auto"/>
              </w:rPr>
            </w:pPr>
          </w:p>
        </w:tc>
      </w:tr>
      <w:tr>
        <w:trPr>
          <w:trHeight w:val="237"/>
        </w:trPr>
        <w:tc>
          <w:tcPr>
            <w:tcW w:w="30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Total Warrants</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247,500</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(21,875)</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225,625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02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Clean Technology</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SPBRX, INC. (f/k/a GSV Sustainability</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Partners, Inc.)–Common shares</w:t>
            </w:r>
          </w:p>
        </w:tc>
        <w:tc>
          <w:tcPr>
            <w:tcW w:w="7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-5247640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18" w:right="239" w:bottom="1440" w:gutter="0" w:footer="0" w:header="0"/>
        </w:sectPr>
      </w:pPr>
    </w:p>
    <w:bookmarkStart w:id="39" w:name="page40"/>
    <w:bookmarkEnd w:id="3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Schedule of Investments In, and Advances to, Affiliate</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Fees, or</w:t>
            </w:r>
          </w:p>
        </w:tc>
        <w:tc>
          <w:tcPr>
            <w:tcW w:w="1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0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Capitalized</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284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Type/Industry/Portfolio</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8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Dividends</w:t>
            </w:r>
          </w:p>
        </w:tc>
        <w:tc>
          <w:tcPr>
            <w:tcW w:w="10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Fees,</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120" w:type="dxa"/>
            <w:vAlign w:val="bottom"/>
          </w:tcPr>
          <w:p>
            <w:pPr>
              <w:spacing w:after="0"/>
              <w:rPr>
                <w:sz w:val="12"/>
                <w:szCs w:val="12"/>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Credited</w:t>
            </w:r>
          </w:p>
        </w:tc>
        <w:tc>
          <w:tcPr>
            <w:tcW w:w="104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Interest and</w:t>
            </w:r>
          </w:p>
        </w:tc>
        <w:tc>
          <w:tcPr>
            <w:tcW w:w="120" w:type="dxa"/>
            <w:vAlign w:val="bottom"/>
          </w:tcPr>
          <w:p>
            <w:pPr>
              <w:spacing w:after="0"/>
              <w:rPr>
                <w:sz w:val="12"/>
                <w:szCs w:val="12"/>
                <w:color w:val="auto"/>
              </w:rPr>
            </w:pPr>
          </w:p>
        </w:tc>
        <w:tc>
          <w:tcPr>
            <w:tcW w:w="5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2"/>
              </w:rPr>
              <w:t>Sales</w:t>
            </w: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142"/>
              <w:spacing w:after="0" w:line="149"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95"/>
        </w:trPr>
        <w:tc>
          <w:tcPr>
            <w:tcW w:w="28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Company/Investment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Income</w:t>
            </w:r>
          </w:p>
        </w:tc>
        <w:tc>
          <w:tcPr>
            <w:tcW w:w="120" w:type="dxa"/>
            <w:vAlign w:val="bottom"/>
          </w:tcPr>
          <w:p>
            <w:pPr>
              <w:spacing w:after="0"/>
              <w:rPr>
                <w:sz w:val="16"/>
                <w:szCs w:val="16"/>
                <w:color w:val="auto"/>
              </w:rPr>
            </w:pPr>
          </w:p>
        </w:tc>
        <w:tc>
          <w:tcPr>
            <w:tcW w:w="82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00" w:type="dxa"/>
            <w:vAlign w:val="bottom"/>
          </w:tcPr>
          <w:p>
            <w:pPr>
              <w:spacing w:after="0"/>
              <w:rPr>
                <w:sz w:val="16"/>
                <w:szCs w:val="16"/>
                <w:color w:val="auto"/>
              </w:rPr>
            </w:pPr>
          </w:p>
        </w:tc>
        <w:tc>
          <w:tcPr>
            <w:tcW w:w="80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36"/>
        </w:trPr>
        <w:tc>
          <w:tcPr>
            <w:tcW w:w="40" w:type="dxa"/>
            <w:vAlign w:val="bottom"/>
            <w:tcBorders>
              <w:top w:val="single" w:sz="8" w:color="auto"/>
            </w:tcBorders>
          </w:tcPr>
          <w:p>
            <w:pPr>
              <w:spacing w:after="0"/>
              <w:rPr>
                <w:sz w:val="20"/>
                <w:szCs w:val="20"/>
                <w:color w:val="auto"/>
              </w:rPr>
            </w:pPr>
          </w:p>
        </w:tc>
        <w:tc>
          <w:tcPr>
            <w:tcW w:w="280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i w:val="1"/>
                <w:iCs w:val="1"/>
                <w:color w:val="auto"/>
              </w:rPr>
              <w:t>Global Innovation Platform</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28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NestGSV, Inc. (d/b/a GSV Labs, Inc.)–</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280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Common shares</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200,000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118,946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118,946</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0" w:type="dxa"/>
            <w:vAlign w:val="bottom"/>
          </w:tcPr>
          <w:p>
            <w:pPr>
              <w:spacing w:after="0"/>
              <w:rPr>
                <w:sz w:val="1"/>
                <w:szCs w:val="1"/>
                <w:color w:val="auto"/>
              </w:rPr>
            </w:pPr>
          </w:p>
        </w:tc>
      </w:tr>
      <w:tr>
        <w:trPr>
          <w:trHeight w:val="237"/>
        </w:trPr>
        <w:tc>
          <w:tcPr>
            <w:tcW w:w="284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Total Common Stock</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118,946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118,946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8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CONTROLLED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258,937</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7"/>
              </w:rPr>
              <w:t>22,816,733</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2,433</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(9,820,352)</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7"/>
              </w:rPr>
              <w:t>12,998,814</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6.16%</w:t>
            </w:r>
          </w:p>
        </w:tc>
        <w:tc>
          <w:tcPr>
            <w:tcW w:w="0" w:type="dxa"/>
            <w:vAlign w:val="bottom"/>
          </w:tcPr>
          <w:p>
            <w:pPr>
              <w:spacing w:after="0"/>
              <w:rPr>
                <w:sz w:val="1"/>
                <w:szCs w:val="1"/>
                <w:color w:val="auto"/>
              </w:rPr>
            </w:pPr>
          </w:p>
        </w:tc>
      </w:tr>
      <w:tr>
        <w:trPr>
          <w:trHeight w:val="232"/>
        </w:trPr>
        <w:tc>
          <w:tcPr>
            <w:tcW w:w="2840" w:type="dxa"/>
            <w:vAlign w:val="bottom"/>
            <w:gridSpan w:val="4"/>
            <w:shd w:val="clear" w:color="auto" w:fill="CCEEFF"/>
          </w:tcPr>
          <w:p>
            <w:pPr>
              <w:ind w:left="40"/>
              <w:spacing w:after="0" w:line="232" w:lineRule="exact"/>
              <w:rPr>
                <w:sz w:val="20"/>
                <w:szCs w:val="20"/>
                <w:color w:val="auto"/>
              </w:rPr>
            </w:pPr>
            <w:r>
              <w:rPr>
                <w:rFonts w:ascii="Times New Roman" w:cs="Times New Roman" w:eastAsia="Times New Roman" w:hAnsi="Times New Roman"/>
                <w:sz w:val="16"/>
                <w:szCs w:val="16"/>
                <w:b w:val="1"/>
                <w:bCs w:val="1"/>
                <w:color w:val="auto"/>
              </w:rPr>
              <w:t>INVESTMENTS*</w:t>
            </w:r>
            <w:r>
              <w:rPr>
                <w:rFonts w:ascii="Times New Roman" w:cs="Times New Roman" w:eastAsia="Times New Roman" w:hAnsi="Times New Roman"/>
                <w:sz w:val="21"/>
                <w:szCs w:val="21"/>
                <w:b w:val="1"/>
                <w:bCs w:val="1"/>
                <w:color w:val="auto"/>
                <w:vertAlign w:val="superscript"/>
              </w:rPr>
              <w:t>(2)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520" w:type="dxa"/>
            <w:vAlign w:val="bottom"/>
            <w:gridSpan w:val="2"/>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9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bottom w:val="single" w:sz="8" w:color="CCEEFF"/>
            </w:tcBorders>
            <w:gridSpan w:val="4"/>
            <w:vMerge w:val="restart"/>
          </w:tcPr>
          <w:p>
            <w:pPr>
              <w:ind w:left="40"/>
              <w:spacing w:after="0" w:line="183" w:lineRule="exact"/>
              <w:rPr>
                <w:sz w:val="20"/>
                <w:szCs w:val="20"/>
                <w:color w:val="auto"/>
              </w:rPr>
            </w:pPr>
            <w:r>
              <w:rPr>
                <w:rFonts w:ascii="Times New Roman" w:cs="Times New Roman" w:eastAsia="Times New Roman" w:hAnsi="Times New Roman"/>
                <w:sz w:val="16"/>
                <w:szCs w:val="16"/>
                <w:b w:val="1"/>
                <w:bCs w:val="1"/>
                <w:color w:val="auto"/>
              </w:rPr>
              <w:t>NON-CONTROLLED/AFFILIATE</w:t>
            </w: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8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40" w:type="dxa"/>
            <w:vAlign w:val="bottom"/>
            <w:gridSpan w:val="4"/>
          </w:tcPr>
          <w:p>
            <w:pPr>
              <w:ind w:left="40"/>
              <w:spacing w:after="0" w:line="183" w:lineRule="exact"/>
              <w:rPr>
                <w:sz w:val="20"/>
                <w:szCs w:val="20"/>
                <w:color w:val="auto"/>
              </w:rPr>
            </w:pPr>
            <w:r>
              <w:rPr>
                <w:rFonts w:ascii="Times New Roman" w:cs="Times New Roman" w:eastAsia="Times New Roman" w:hAnsi="Times New Roman"/>
                <w:sz w:val="16"/>
                <w:szCs w:val="16"/>
                <w:b w:val="1"/>
                <w:bCs w:val="1"/>
                <w:color w:val="auto"/>
              </w:rPr>
              <w:t>INVESTMENTS*</w:t>
            </w:r>
            <w:r>
              <w:rPr>
                <w:rFonts w:ascii="Times New Roman" w:cs="Times New Roman" w:eastAsia="Times New Roman" w:hAnsi="Times New Roman"/>
                <w:sz w:val="21"/>
                <w:szCs w:val="21"/>
                <w:b w:val="1"/>
                <w:bCs w:val="1"/>
                <w:color w:val="auto"/>
                <w:vertAlign w:val="superscript"/>
              </w:rPr>
              <w:t>(1)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180" w:type="dxa"/>
            <w:vAlign w:val="bottom"/>
            <w:tcBorders>
              <w:top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8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Debt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800" w:type="dxa"/>
            <w:vAlign w:val="bottom"/>
            <w:gridSpan w:val="3"/>
          </w:tcPr>
          <w:p>
            <w:pPr>
              <w:ind w:left="140"/>
              <w:spacing w:after="0"/>
              <w:rPr>
                <w:sz w:val="20"/>
                <w:szCs w:val="20"/>
                <w:color w:val="auto"/>
              </w:rPr>
            </w:pPr>
            <w:r>
              <w:rPr>
                <w:rFonts w:ascii="Times New Roman" w:cs="Times New Roman" w:eastAsia="Times New Roman" w:hAnsi="Times New Roman"/>
                <w:sz w:val="16"/>
                <w:szCs w:val="16"/>
                <w:i w:val="1"/>
                <w:iCs w:val="1"/>
                <w:color w:val="auto"/>
              </w:rPr>
              <w:t>Corporate Education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28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CUX, Inc. (d/b/a CorpU)–Senior</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8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Subordinated Convertible Promissory</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28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Note 10% Due 2/14/2020***</w:t>
            </w:r>
            <w:r>
              <w:rPr>
                <w:rFonts w:ascii="Times New Roman" w:cs="Times New Roman" w:eastAsia="Times New Roman" w:hAnsi="Times New Roman"/>
                <w:sz w:val="21"/>
                <w:szCs w:val="21"/>
                <w:color w:val="auto"/>
                <w:vertAlign w:val="superscript"/>
              </w:rPr>
              <w:t>(5)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6"/>
              </w:rPr>
              <w:t>1,360,489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67,465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1,360,489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(1,110,489)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250,000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800" w:type="dxa"/>
            <w:vAlign w:val="bottom"/>
            <w:gridSpan w:val="3"/>
          </w:tcPr>
          <w:p>
            <w:pPr>
              <w:ind w:left="140"/>
              <w:spacing w:after="0"/>
              <w:rPr>
                <w:sz w:val="20"/>
                <w:szCs w:val="20"/>
                <w:color w:val="auto"/>
              </w:rPr>
            </w:pPr>
            <w:r>
              <w:rPr>
                <w:rFonts w:ascii="Times New Roman" w:cs="Times New Roman" w:eastAsia="Times New Roman" w:hAnsi="Times New Roman"/>
                <w:sz w:val="16"/>
                <w:szCs w:val="16"/>
                <w:i w:val="1"/>
                <w:iCs w:val="1"/>
                <w:color w:val="auto"/>
              </w:rPr>
              <w:t>Digital Media Platform</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28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Ozy Media, Inc.–Convertible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8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Promissory Note 5% Due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5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12/31/2018***</w:t>
            </w:r>
            <w:r>
              <w:rPr>
                <w:rFonts w:ascii="Times New Roman" w:cs="Times New Roman" w:eastAsia="Times New Roman" w:hAnsi="Times New Roman"/>
                <w:sz w:val="21"/>
                <w:szCs w:val="21"/>
                <w:color w:val="auto"/>
                <w:vertAlign w:val="superscript"/>
              </w:rPr>
              <w:t>(6)</w:t>
            </w:r>
          </w:p>
        </w:tc>
        <w:tc>
          <w:tcPr>
            <w:tcW w:w="32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6"/>
              </w:rPr>
              <w:t>2,102,384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52,128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3,153,575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(2,522,860)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630,715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800" w:type="dxa"/>
            <w:vAlign w:val="bottom"/>
            <w:gridSpan w:val="3"/>
          </w:tcPr>
          <w:p>
            <w:pPr>
              <w:ind w:left="140"/>
              <w:spacing w:after="0"/>
              <w:rPr>
                <w:sz w:val="20"/>
                <w:szCs w:val="20"/>
                <w:color w:val="auto"/>
              </w:rPr>
            </w:pPr>
            <w:r>
              <w:rPr>
                <w:rFonts w:ascii="Times New Roman" w:cs="Times New Roman" w:eastAsia="Times New Roman" w:hAnsi="Times New Roman"/>
                <w:sz w:val="16"/>
                <w:szCs w:val="16"/>
                <w:i w:val="1"/>
                <w:iCs w:val="1"/>
                <w:color w:val="auto"/>
              </w:rPr>
              <w:t>Social Cognitive Learning</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28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Declara, Inc.–Convertible Promissory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280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Note 12% Due 4/30/2018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680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(2,334,832)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2,334,152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84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Total Debt Investments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119,593</w:t>
            </w:r>
          </w:p>
        </w:tc>
        <w:tc>
          <w:tcPr>
            <w:tcW w:w="10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4,514,064</w:t>
            </w:r>
          </w:p>
        </w:tc>
        <w:tc>
          <w:tcPr>
            <w:tcW w:w="10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680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(2,334,832)</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(1,299,197)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880,715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800" w:type="dxa"/>
            <w:vAlign w:val="bottom"/>
            <w:gridSpan w:val="3"/>
          </w:tcPr>
          <w:p>
            <w:pPr>
              <w:ind w:left="140"/>
              <w:spacing w:after="0"/>
              <w:rPr>
                <w:sz w:val="20"/>
                <w:szCs w:val="20"/>
                <w:color w:val="auto"/>
              </w:rPr>
            </w:pPr>
            <w:r>
              <w:rPr>
                <w:rFonts w:ascii="Times New Roman" w:cs="Times New Roman" w:eastAsia="Times New Roman" w:hAnsi="Times New Roman"/>
                <w:sz w:val="16"/>
                <w:szCs w:val="16"/>
                <w:i w:val="1"/>
                <w:iCs w:val="1"/>
                <w:color w:val="auto"/>
              </w:rPr>
              <w:t>Corporate Education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28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CUX, Inc. (d/b/a CorpU)–Convertible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280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preferred shares, Series D 6%</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169,033</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878,005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(878,005)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80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CUX, Inc. (d/b/a CorpU) -Convertible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80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preferred shares, Series C 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615,763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Total Corporate Education</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878,005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(878,005)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800" w:type="dxa"/>
            <w:vAlign w:val="bottom"/>
            <w:gridSpan w:val="3"/>
          </w:tcPr>
          <w:p>
            <w:pPr>
              <w:ind w:left="140"/>
              <w:spacing w:after="0"/>
              <w:rPr>
                <w:sz w:val="20"/>
                <w:szCs w:val="20"/>
                <w:color w:val="auto"/>
              </w:rPr>
            </w:pPr>
            <w:r>
              <w:rPr>
                <w:rFonts w:ascii="Times New Roman" w:cs="Times New Roman" w:eastAsia="Times New Roman" w:hAnsi="Times New Roman"/>
                <w:sz w:val="16"/>
                <w:szCs w:val="16"/>
                <w:i w:val="1"/>
                <w:iCs w:val="1"/>
                <w:color w:val="auto"/>
              </w:rPr>
              <w:t>Social Cognitive Learning</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28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Declara, Inc.–Preferred shares,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shd w:val="clear" w:color="auto" w:fill="CCEEFF"/>
          </w:tcPr>
          <w:p>
            <w:pPr>
              <w:spacing w:after="0"/>
              <w:rPr>
                <w:sz w:val="18"/>
                <w:szCs w:val="18"/>
                <w:color w:val="auto"/>
              </w:rPr>
            </w:pPr>
          </w:p>
        </w:tc>
        <w:tc>
          <w:tcPr>
            <w:tcW w:w="28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Series A 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(9,999,999)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9,999,999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18" w:right="239" w:bottom="1440" w:gutter="0" w:footer="0" w:header="0"/>
        </w:sectPr>
      </w:pPr>
    </w:p>
    <w:bookmarkStart w:id="40" w:name="page41"/>
    <w:bookmarkEnd w:id="4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Schedule of Investments In, and Advances to, Affiliate</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0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Purchases,</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Fees, or</w:t>
            </w:r>
          </w:p>
        </w:tc>
        <w:tc>
          <w:tcPr>
            <w:tcW w:w="1000" w:type="dxa"/>
            <w:vAlign w:val="bottom"/>
            <w:gridSpan w:val="3"/>
            <w:vMerge w:val="continue"/>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Capitalized</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9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Dividends</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Fees,</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120" w:type="dxa"/>
            <w:vAlign w:val="bottom"/>
          </w:tcPr>
          <w:p>
            <w:pPr>
              <w:spacing w:after="0"/>
              <w:rPr>
                <w:sz w:val="12"/>
                <w:szCs w:val="12"/>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0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Type/Industry/Portfolio Company/Investment</w:t>
            </w:r>
          </w:p>
        </w:tc>
        <w:tc>
          <w:tcPr>
            <w:tcW w:w="120" w:type="dxa"/>
            <w:vAlign w:val="bottom"/>
            <w:vMerge w:val="restart"/>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Credited</w:t>
            </w:r>
          </w:p>
        </w:tc>
        <w:tc>
          <w:tcPr>
            <w:tcW w:w="120" w:type="dxa"/>
            <w:vAlign w:val="bottom"/>
          </w:tcPr>
          <w:p>
            <w:pPr>
              <w:spacing w:after="0"/>
              <w:rPr>
                <w:sz w:val="12"/>
                <w:szCs w:val="12"/>
                <w:color w:val="auto"/>
              </w:rPr>
            </w:pPr>
          </w:p>
        </w:tc>
        <w:tc>
          <w:tcPr>
            <w:tcW w:w="76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31,</w:t>
            </w:r>
          </w:p>
        </w:tc>
        <w:tc>
          <w:tcPr>
            <w:tcW w:w="12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Interest and</w:t>
            </w:r>
          </w:p>
        </w:tc>
        <w:tc>
          <w:tcPr>
            <w:tcW w:w="100" w:type="dxa"/>
            <w:vAlign w:val="bottom"/>
          </w:tcPr>
          <w:p>
            <w:pPr>
              <w:spacing w:after="0"/>
              <w:rPr>
                <w:sz w:val="12"/>
                <w:szCs w:val="12"/>
                <w:color w:val="auto"/>
              </w:rPr>
            </w:pPr>
          </w:p>
        </w:tc>
        <w:tc>
          <w:tcPr>
            <w:tcW w:w="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800" w:type="dxa"/>
            <w:vAlign w:val="bottom"/>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95"/>
        </w:trPr>
        <w:tc>
          <w:tcPr>
            <w:tcW w:w="29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7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100" w:type="dxa"/>
            <w:vAlign w:val="bottom"/>
          </w:tcPr>
          <w:p>
            <w:pPr>
              <w:spacing w:after="0"/>
              <w:rPr>
                <w:sz w:val="16"/>
                <w:szCs w:val="16"/>
                <w:color w:val="auto"/>
              </w:rPr>
            </w:pPr>
          </w:p>
        </w:tc>
        <w:tc>
          <w:tcPr>
            <w:tcW w:w="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Income</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Pr>
          <w:p>
            <w:pPr>
              <w:spacing w:after="0"/>
              <w:rPr>
                <w:sz w:val="16"/>
                <w:szCs w:val="16"/>
                <w:color w:val="auto"/>
              </w:rPr>
            </w:pPr>
          </w:p>
        </w:tc>
        <w:tc>
          <w:tcPr>
            <w:tcW w:w="8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00" w:type="dxa"/>
            <w:vAlign w:val="bottom"/>
          </w:tcPr>
          <w:p>
            <w:pPr>
              <w:spacing w:after="0"/>
              <w:rPr>
                <w:sz w:val="16"/>
                <w:szCs w:val="16"/>
                <w:color w:val="auto"/>
              </w:rPr>
            </w:pPr>
          </w:p>
        </w:tc>
        <w:tc>
          <w:tcPr>
            <w:tcW w:w="9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00" w:type="dxa"/>
            <w:vAlign w:val="bottom"/>
          </w:tcPr>
          <w:p>
            <w:pPr>
              <w:spacing w:after="0"/>
              <w:rPr>
                <w:sz w:val="16"/>
                <w:szCs w:val="16"/>
                <w:color w:val="auto"/>
              </w:rPr>
            </w:pPr>
          </w:p>
        </w:tc>
        <w:tc>
          <w:tcPr>
            <w:tcW w:w="9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00" w:type="dxa"/>
            <w:vAlign w:val="bottom"/>
          </w:tcPr>
          <w:p>
            <w:pPr>
              <w:spacing w:after="0"/>
              <w:rPr>
                <w:sz w:val="16"/>
                <w:szCs w:val="16"/>
                <w:color w:val="auto"/>
              </w:rPr>
            </w:pPr>
          </w:p>
        </w:tc>
        <w:tc>
          <w:tcPr>
            <w:tcW w:w="8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36"/>
        </w:trPr>
        <w:tc>
          <w:tcPr>
            <w:tcW w:w="304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Education Media Platform</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EdSurge, Inc.–Preferred shares,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Series A-1</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378,788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250,000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250,000</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0" w:type="dxa"/>
            <w:vAlign w:val="bottom"/>
          </w:tcPr>
          <w:p>
            <w:pPr>
              <w:spacing w:after="0"/>
              <w:rPr>
                <w:sz w:val="1"/>
                <w:szCs w:val="1"/>
                <w:color w:val="auto"/>
              </w:rPr>
            </w:pPr>
          </w:p>
        </w:tc>
      </w:tr>
      <w:tr>
        <w:trPr>
          <w:trHeight w:val="216"/>
        </w:trPr>
        <w:tc>
          <w:tcPr>
            <w:tcW w:w="30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EdSurge, Inc.–Preferred shares,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Series A</w:t>
            </w: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494,365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269,848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269,634</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0" w:type="dxa"/>
            <w:vAlign w:val="bottom"/>
          </w:tcPr>
          <w:p>
            <w:pPr>
              <w:spacing w:after="0"/>
              <w:rPr>
                <w:sz w:val="1"/>
                <w:szCs w:val="1"/>
                <w:color w:val="auto"/>
              </w:rPr>
            </w:pPr>
          </w:p>
        </w:tc>
      </w:tr>
      <w:tr>
        <w:trPr>
          <w:trHeight w:val="33"/>
        </w:trPr>
        <w:tc>
          <w:tcPr>
            <w:tcW w:w="2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Total Education Media Platform</w:t>
            </w: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519,848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519,634</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0" w:type="dxa"/>
            <w:vAlign w:val="bottom"/>
          </w:tcPr>
          <w:p>
            <w:pPr>
              <w:spacing w:after="0"/>
              <w:rPr>
                <w:sz w:val="1"/>
                <w:szCs w:val="1"/>
                <w:color w:val="auto"/>
              </w:rPr>
            </w:pPr>
          </w:p>
        </w:tc>
      </w:tr>
      <w:tr>
        <w:trPr>
          <w:trHeight w:val="237"/>
        </w:trPr>
        <w:tc>
          <w:tcPr>
            <w:tcW w:w="304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Knowledge Networks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Maven Research, Inc.–Preferred shares,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Series C</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318,979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Maven Research, Inc.–Preferred shares,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Series B</w:t>
            </w: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49,505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Total Knowledge Networks</w:t>
            </w: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304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Digital Media Platform</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OzyMedia, Inc.–Preferred shares,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Series B 6%</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922,509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OzyMedia, Inc.–Preferred shares,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Series A 6%</w:t>
            </w: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1,090,909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OzyMedia, Inc.–Preferred shares,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0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Series Seed 6%</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1"/>
        </w:trPr>
        <w:tc>
          <w:tcPr>
            <w:tcW w:w="304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Total Digital Media Platform</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Preferred Stock</w:t>
            </w: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1,397,853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(9,999,999)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9,121,780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519,634</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0" w:type="dxa"/>
            <w:vAlign w:val="bottom"/>
          </w:tcPr>
          <w:p>
            <w:pPr>
              <w:spacing w:after="0"/>
              <w:rPr>
                <w:sz w:val="1"/>
                <w:szCs w:val="1"/>
                <w:color w:val="auto"/>
              </w:rPr>
            </w:pPr>
          </w:p>
        </w:tc>
      </w:tr>
      <w:tr>
        <w:trPr>
          <w:trHeight w:val="237"/>
        </w:trPr>
        <w:tc>
          <w:tcPr>
            <w:tcW w:w="30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0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Corporate Education</w:t>
            </w: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CUX, Inc. (d/b/a CorpU) –Preferred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warrants, Series D, Strike Price $4.59,</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0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Expiration Date 2/14/2020</w:t>
            </w: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16,903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19,946</w:t>
            </w:r>
          </w:p>
        </w:tc>
        <w:tc>
          <w:tcPr>
            <w:tcW w:w="12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(19,946)</w:t>
            </w:r>
          </w:p>
        </w:tc>
        <w:tc>
          <w:tcPr>
            <w:tcW w:w="100" w:type="dxa"/>
            <w:vAlign w:val="bottom"/>
          </w:tcPr>
          <w:p>
            <w:pPr>
              <w:spacing w:after="0"/>
              <w:rPr>
                <w:sz w:val="18"/>
                <w:szCs w:val="18"/>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Digital Media Platform</w:t>
            </w: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30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OzyMedia, Inc.–Common Warrants,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Strike Price $0.01, Expiration Date</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4/9/2028</w:t>
            </w:r>
          </w:p>
        </w:tc>
        <w:tc>
          <w:tcPr>
            <w:tcW w:w="120" w:type="dxa"/>
            <w:vAlign w:val="bottom"/>
          </w:tcPr>
          <w:p>
            <w:pPr>
              <w:spacing w:after="0"/>
              <w:rPr>
                <w:sz w:val="18"/>
                <w:szCs w:val="18"/>
                <w:color w:val="auto"/>
              </w:rPr>
            </w:pP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295,565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Warrants</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19,946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(19,946)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30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0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Online Education</w:t>
            </w: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0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Curious.com, Inc.–Common shares</w:t>
            </w: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1,135,944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Common Stock</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920" w:type="dxa"/>
            <w:vAlign w:val="bottom"/>
            <w:tcBorders>
              <w:top w:val="single" w:sz="8" w:color="CCEEFF"/>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TOTAL NON-</w:t>
            </w:r>
          </w:p>
        </w:tc>
        <w:tc>
          <w:tcPr>
            <w:tcW w:w="120" w:type="dxa"/>
            <w:vAlign w:val="bottom"/>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CONTROLLED/AFFILIATE</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119,593</w:t>
            </w:r>
          </w:p>
        </w:tc>
        <w:tc>
          <w:tcPr>
            <w:tcW w:w="120" w:type="dxa"/>
            <w:vAlign w:val="bottom"/>
          </w:tcPr>
          <w:p>
            <w:pPr>
              <w:spacing w:after="0"/>
              <w:rPr>
                <w:sz w:val="17"/>
                <w:szCs w:val="17"/>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9"/>
              </w:rPr>
              <w:t>5,931,863</w:t>
            </w:r>
          </w:p>
        </w:tc>
        <w:tc>
          <w:tcPr>
            <w:tcW w:w="120" w:type="dxa"/>
            <w:vAlign w:val="bottom"/>
          </w:tcPr>
          <w:p>
            <w:pPr>
              <w:spacing w:after="0"/>
              <w:rPr>
                <w:sz w:val="17"/>
                <w:szCs w:val="17"/>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680</w:t>
            </w:r>
          </w:p>
        </w:tc>
        <w:tc>
          <w:tcPr>
            <w:tcW w:w="12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vMerge w:val="restart"/>
          </w:tcPr>
          <w:p>
            <w:pPr>
              <w:spacing w:after="0"/>
              <w:rPr>
                <w:sz w:val="17"/>
                <w:szCs w:val="17"/>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(12,334,831)</w:t>
            </w:r>
          </w:p>
        </w:tc>
        <w:tc>
          <w:tcPr>
            <w:tcW w:w="100" w:type="dxa"/>
            <w:vAlign w:val="bottom"/>
          </w:tcPr>
          <w:p>
            <w:pPr>
              <w:spacing w:after="0"/>
              <w:rPr>
                <w:sz w:val="17"/>
                <w:szCs w:val="17"/>
                <w:color w:val="auto"/>
              </w:rPr>
            </w:pP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7,802,637</w:t>
            </w:r>
          </w:p>
        </w:tc>
        <w:tc>
          <w:tcPr>
            <w:tcW w:w="100" w:type="dxa"/>
            <w:vAlign w:val="bottom"/>
          </w:tcPr>
          <w:p>
            <w:pPr>
              <w:spacing w:after="0"/>
              <w:rPr>
                <w:sz w:val="17"/>
                <w:szCs w:val="17"/>
                <w:color w:val="auto"/>
              </w:rPr>
            </w:pP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1,400,349</w:t>
            </w:r>
          </w:p>
        </w:tc>
        <w:tc>
          <w:tcPr>
            <w:tcW w:w="10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0.67%</w:t>
            </w:r>
          </w:p>
        </w:tc>
        <w:tc>
          <w:tcPr>
            <w:tcW w:w="0" w:type="dxa"/>
            <w:vAlign w:val="bottom"/>
          </w:tcPr>
          <w:p>
            <w:pPr>
              <w:spacing w:after="0"/>
              <w:rPr>
                <w:sz w:val="1"/>
                <w:szCs w:val="1"/>
                <w:color w:val="auto"/>
              </w:rPr>
            </w:pPr>
          </w:p>
        </w:tc>
      </w:tr>
      <w:tr>
        <w:trPr>
          <w:trHeight w:val="272"/>
        </w:trPr>
        <w:tc>
          <w:tcPr>
            <w:tcW w:w="2920" w:type="dxa"/>
            <w:vAlign w:val="bottom"/>
            <w:tcBorders>
              <w:bottom w:val="single" w:sz="8" w:color="CCEEFF"/>
            </w:tcBorders>
          </w:tcPr>
          <w:p>
            <w:pPr>
              <w:ind w:left="40"/>
              <w:spacing w:after="0" w:line="232" w:lineRule="exact"/>
              <w:rPr>
                <w:sz w:val="20"/>
                <w:szCs w:val="20"/>
                <w:color w:val="auto"/>
              </w:rPr>
            </w:pPr>
            <w:r>
              <w:rPr>
                <w:rFonts w:ascii="Times New Roman" w:cs="Times New Roman" w:eastAsia="Times New Roman" w:hAnsi="Times New Roman"/>
                <w:sz w:val="16"/>
                <w:szCs w:val="16"/>
                <w:b w:val="1"/>
                <w:bCs w:val="1"/>
                <w:color w:val="auto"/>
              </w:rPr>
              <w:t>INVESTMENTS*</w:t>
            </w:r>
            <w:r>
              <w:rPr>
                <w:rFonts w:ascii="Times New Roman" w:cs="Times New Roman" w:eastAsia="Times New Roman" w:hAnsi="Times New Roman"/>
                <w:sz w:val="21"/>
                <w:szCs w:val="21"/>
                <w:b w:val="1"/>
                <w:bCs w:val="1"/>
                <w:color w:val="auto"/>
                <w:vertAlign w:val="superscript"/>
              </w:rPr>
              <w:t>(1)</w:t>
            </w:r>
          </w:p>
        </w:tc>
        <w:tc>
          <w:tcPr>
            <w:tcW w:w="120" w:type="dxa"/>
            <w:vAlign w:val="bottom"/>
          </w:tcPr>
          <w:p>
            <w:pPr>
              <w:spacing w:after="0"/>
              <w:rPr>
                <w:sz w:val="23"/>
                <w:szCs w:val="23"/>
                <w:color w:val="auto"/>
              </w:rPr>
            </w:pPr>
          </w:p>
        </w:tc>
        <w:tc>
          <w:tcPr>
            <w:tcW w:w="780" w:type="dxa"/>
            <w:vAlign w:val="bottom"/>
            <w:tcBorders>
              <w:bottom w:val="single" w:sz="8" w:color="CCEEFF"/>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bottom w:val="single" w:sz="8" w:color="auto"/>
            </w:tcBorders>
            <w:vMerge w:val="continue"/>
          </w:tcPr>
          <w:p>
            <w:pPr>
              <w:spacing w:after="0"/>
              <w:rPr>
                <w:sz w:val="23"/>
                <w:szCs w:val="23"/>
                <w:color w:val="auto"/>
              </w:rPr>
            </w:pPr>
          </w:p>
        </w:tc>
        <w:tc>
          <w:tcPr>
            <w:tcW w:w="660" w:type="dxa"/>
            <w:vAlign w:val="bottom"/>
            <w:tcBorders>
              <w:bottom w:val="single" w:sz="8" w:color="auto"/>
            </w:tcBorders>
            <w:vMerge w:val="continue"/>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bottom w:val="single" w:sz="8" w:color="auto"/>
            </w:tcBorders>
            <w:vMerge w:val="continue"/>
          </w:tcPr>
          <w:p>
            <w:pPr>
              <w:spacing w:after="0"/>
              <w:rPr>
                <w:sz w:val="23"/>
                <w:szCs w:val="23"/>
                <w:color w:val="auto"/>
              </w:rPr>
            </w:pPr>
          </w:p>
        </w:tc>
        <w:tc>
          <w:tcPr>
            <w:tcW w:w="760" w:type="dxa"/>
            <w:vAlign w:val="bottom"/>
            <w:tcBorders>
              <w:bottom w:val="single" w:sz="8" w:color="auto"/>
            </w:tcBorders>
            <w:vMerge w:val="continue"/>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Borders>
              <w:bottom w:val="single" w:sz="8" w:color="auto"/>
            </w:tcBorders>
            <w:vMerge w:val="continue"/>
          </w:tcPr>
          <w:p>
            <w:pPr>
              <w:spacing w:after="0"/>
              <w:rPr>
                <w:sz w:val="23"/>
                <w:szCs w:val="23"/>
                <w:color w:val="auto"/>
              </w:rPr>
            </w:pPr>
          </w:p>
        </w:tc>
        <w:tc>
          <w:tcPr>
            <w:tcW w:w="780" w:type="dxa"/>
            <w:vAlign w:val="bottom"/>
            <w:tcBorders>
              <w:bottom w:val="single" w:sz="8" w:color="auto"/>
            </w:tcBorders>
            <w:vMerge w:val="continue"/>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Borders>
              <w:bottom w:val="single" w:sz="8" w:color="auto"/>
            </w:tcBorders>
            <w:vMerge w:val="continue"/>
          </w:tcPr>
          <w:p>
            <w:pPr>
              <w:spacing w:after="0"/>
              <w:rPr>
                <w:sz w:val="23"/>
                <w:szCs w:val="23"/>
                <w:color w:val="auto"/>
              </w:rPr>
            </w:pPr>
          </w:p>
        </w:tc>
        <w:tc>
          <w:tcPr>
            <w:tcW w:w="440" w:type="dxa"/>
            <w:vAlign w:val="bottom"/>
            <w:tcBorders>
              <w:bottom w:val="single" w:sz="8" w:color="auto"/>
            </w:tcBorders>
            <w:vMerge w:val="continue"/>
          </w:tcPr>
          <w:p>
            <w:pPr>
              <w:spacing w:after="0"/>
              <w:rPr>
                <w:sz w:val="23"/>
                <w:szCs w:val="23"/>
                <w:color w:val="auto"/>
              </w:rPr>
            </w:pPr>
          </w:p>
        </w:tc>
        <w:tc>
          <w:tcPr>
            <w:tcW w:w="120" w:type="dxa"/>
            <w:vAlign w:val="bottom"/>
            <w:vMerge w:val="continue"/>
          </w:tcPr>
          <w:p>
            <w:pPr>
              <w:spacing w:after="0"/>
              <w:rPr>
                <w:sz w:val="23"/>
                <w:szCs w:val="23"/>
                <w:color w:val="auto"/>
              </w:rPr>
            </w:pPr>
          </w:p>
        </w:tc>
        <w:tc>
          <w:tcPr>
            <w:tcW w:w="100" w:type="dxa"/>
            <w:vAlign w:val="bottom"/>
            <w:tcBorders>
              <w:bottom w:val="single" w:sz="8" w:color="auto"/>
            </w:tcBorders>
            <w:vMerge w:val="continue"/>
          </w:tcPr>
          <w:p>
            <w:pPr>
              <w:spacing w:after="0"/>
              <w:rPr>
                <w:sz w:val="23"/>
                <w:szCs w:val="23"/>
                <w:color w:val="auto"/>
              </w:rPr>
            </w:pPr>
          </w:p>
        </w:tc>
        <w:tc>
          <w:tcPr>
            <w:tcW w:w="900" w:type="dxa"/>
            <w:vAlign w:val="bottom"/>
            <w:tcBorders>
              <w:bottom w:val="single" w:sz="8" w:color="auto"/>
            </w:tcBorders>
            <w:vMerge w:val="continue"/>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bottom w:val="single" w:sz="8" w:color="auto"/>
            </w:tcBorders>
            <w:vMerge w:val="continue"/>
          </w:tcPr>
          <w:p>
            <w:pPr>
              <w:spacing w:after="0"/>
              <w:rPr>
                <w:sz w:val="23"/>
                <w:szCs w:val="23"/>
                <w:color w:val="auto"/>
              </w:rPr>
            </w:pPr>
          </w:p>
        </w:tc>
        <w:tc>
          <w:tcPr>
            <w:tcW w:w="820" w:type="dxa"/>
            <w:vAlign w:val="bottom"/>
            <w:tcBorders>
              <w:bottom w:val="single" w:sz="8" w:color="auto"/>
            </w:tcBorders>
            <w:vMerge w:val="continue"/>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bottom w:val="single" w:sz="8" w:color="auto"/>
            </w:tcBorders>
            <w:vMerge w:val="continue"/>
          </w:tcPr>
          <w:p>
            <w:pPr>
              <w:spacing w:after="0"/>
              <w:rPr>
                <w:sz w:val="23"/>
                <w:szCs w:val="23"/>
                <w:color w:val="auto"/>
              </w:rPr>
            </w:pPr>
          </w:p>
        </w:tc>
        <w:tc>
          <w:tcPr>
            <w:tcW w:w="780" w:type="dxa"/>
            <w:vAlign w:val="bottom"/>
            <w:tcBorders>
              <w:bottom w:val="single" w:sz="8" w:color="auto"/>
            </w:tcBorders>
            <w:vMerge w:val="continue"/>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-616585</wp:posOffset>
            </wp:positionV>
            <wp:extent cx="18522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522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-1320165</wp:posOffset>
            </wp:positionV>
            <wp:extent cx="185229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18" w:right="239" w:bottom="1440" w:gutter="0" w:footer="0" w:header="0"/>
        </w:sectPr>
      </w:pPr>
    </w:p>
    <w:bookmarkStart w:id="41" w:name="page42"/>
    <w:bookmarkEnd w:id="4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w:t>
      </w:r>
    </w:p>
    <w:p>
      <w:pPr>
        <w:spacing w:after="0" w:line="45" w:lineRule="exact"/>
        <w:rPr>
          <w:sz w:val="20"/>
          <w:szCs w:val="20"/>
          <w:color w:val="auto"/>
        </w:rPr>
      </w:pPr>
    </w:p>
    <w:p>
      <w:pPr>
        <w:jc w:val="both"/>
        <w:ind w:left="340" w:hanging="332"/>
        <w:spacing w:after="0" w:line="281"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All portfolio investments are non-income-producing, unless otherwise identified. Equity investments are subject to lock-up restrictions upon their IPO. Preferred dividends are generally only payable when declared and paid by the portfolio company's board of directors. Unless otherwise noted, all investments were pledged as collateral under the Credit Facility.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portfolio investments are considered Level 3 and valued using unobservable inputs, unless otherwise noted. All of the Company's portfolio investments are restricted as to resale, unless otherwise noted, and were valued at fair value as determined in good faith by the Company’s Board of Directors. (Refer to "Note 2—Significant Accounting Policies—</w:t>
      </w:r>
      <w:r>
        <w:rPr>
          <w:rFonts w:ascii="Times New Roman" w:cs="Times New Roman" w:eastAsia="Times New Roman" w:hAnsi="Times New Roman"/>
          <w:sz w:val="16"/>
          <w:szCs w:val="16"/>
          <w:i w:val="1"/>
          <w:iCs w:val="1"/>
          <w:color w:val="auto"/>
        </w:rPr>
        <w:t>Investments at Fair Value</w:t>
      </w:r>
      <w:r>
        <w:rPr>
          <w:rFonts w:ascii="Times New Roman" w:cs="Times New Roman" w:eastAsia="Times New Roman" w:hAnsi="Times New Roman"/>
          <w:sz w:val="16"/>
          <w:szCs w:val="16"/>
          <w:color w:val="auto"/>
        </w:rPr>
        <w: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Investment is income-producing.</w:t>
      </w:r>
    </w:p>
    <w:p>
      <w:pPr>
        <w:spacing w:after="0" w:line="194" w:lineRule="exact"/>
        <w:rPr>
          <w:sz w:val="20"/>
          <w:szCs w:val="20"/>
          <w:color w:val="auto"/>
        </w:rPr>
      </w:pPr>
    </w:p>
    <w:p>
      <w:pPr>
        <w:jc w:val="both"/>
        <w:ind w:left="500" w:hanging="492"/>
        <w:spacing w:after="0" w:line="263" w:lineRule="auto"/>
        <w:tabs>
          <w:tab w:leader="none" w:pos="5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“Affiliate Investments” are investments in those companies that are “Affiliated Companies” of Sutter Rock Capital Corp., as defined in the 1940 Act. In general, a company is deemed to be an “Affiliate” of Sutter Rock Capital Corp. if Sutter Rock Capital Corp. owns 5% or more of the voting securities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securities with the right to elect directors) of such company.</w:t>
      </w:r>
    </w:p>
    <w:p>
      <w:pPr>
        <w:spacing w:after="0" w:line="151" w:lineRule="exact"/>
        <w:rPr>
          <w:rFonts w:ascii="Times New Roman" w:cs="Times New Roman" w:eastAsia="Times New Roman" w:hAnsi="Times New Roman"/>
          <w:sz w:val="16"/>
          <w:szCs w:val="16"/>
          <w:color w:val="auto"/>
        </w:rPr>
      </w:pPr>
    </w:p>
    <w:p>
      <w:pPr>
        <w:jc w:val="both"/>
        <w:ind w:left="500" w:hanging="492"/>
        <w:spacing w:after="0" w:line="263" w:lineRule="auto"/>
        <w:tabs>
          <w:tab w:leader="none" w:pos="5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“Control Investments” are investments in those companies that are “Controlled Companies” of Sutter Rock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 such portfolio company.</w:t>
      </w:r>
    </w:p>
    <w:p>
      <w:pPr>
        <w:spacing w:after="0" w:line="151" w:lineRule="exact"/>
        <w:rPr>
          <w:rFonts w:ascii="Times New Roman" w:cs="Times New Roman" w:eastAsia="Times New Roman" w:hAnsi="Times New Roman"/>
          <w:sz w:val="16"/>
          <w:szCs w:val="16"/>
          <w:color w:val="auto"/>
        </w:rPr>
      </w:pPr>
    </w:p>
    <w:p>
      <w:pPr>
        <w:jc w:val="both"/>
        <w:ind w:left="500" w:hanging="492"/>
        <w:spacing w:after="0" w:line="258" w:lineRule="auto"/>
        <w:tabs>
          <w:tab w:leader="none" w:pos="5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SPBRX, INC. (f/k/a GSV Sustainability Partners, Inc.) preferred shares held by Sutter Rock Capital Corp. do not entitle Sutter Rock Capital Corp. to a preferred dividend rate. During the three and six months ended June 30, 2019, SPBRX, INC. declared, and Sutter Rock Capital Corp. received, an aggregate of $200,000 in cash distributions. Sutter Rock Capital Corp. does not anticipate that SPBRX, INC. will pay distributions on a quarterly or regular basis or become a predictable distributor of distributions.</w:t>
      </w:r>
    </w:p>
    <w:p>
      <w:pPr>
        <w:spacing w:after="0" w:line="154"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Sutter Rock Capital Corp.’s investments in StormWind, LLC are held through Sutter Rock Capital Corp.'s wholly owned subsidiary, GSVC SW Holdings, Inc.</w:t>
      </w:r>
    </w:p>
    <w:p>
      <w:pPr>
        <w:spacing w:after="0" w:line="194" w:lineRule="exact"/>
        <w:rPr>
          <w:rFonts w:ascii="Times New Roman" w:cs="Times New Roman" w:eastAsia="Times New Roman" w:hAnsi="Times New Roman"/>
          <w:sz w:val="16"/>
          <w:szCs w:val="16"/>
          <w:color w:val="auto"/>
        </w:rPr>
      </w:pPr>
    </w:p>
    <w:p>
      <w:pPr>
        <w:ind w:left="500" w:right="20" w:hanging="492"/>
        <w:spacing w:after="0" w:line="281" w:lineRule="auto"/>
        <w:tabs>
          <w:tab w:leader="none" w:pos="5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will accrue daily on the unpaid principal balance of the note. Interest began compounding annually on November 26, 2015. Accrued interest is not payable until the earlier of (a) the closing of a subsequent equity offering by CUX, Inc. (d/b/a CorpU), or (b) the maturity of the note.</w:t>
      </w:r>
    </w:p>
    <w:p>
      <w:pPr>
        <w:spacing w:after="0" w:line="136"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Subsequent to December 31, 2018, Ozy Media Inc.'s obligations under its financing arrangements with the Company became past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18" w:right="239" w:bottom="1440" w:gutter="0" w:footer="0" w:header="0"/>
        </w:sectPr>
      </w:pPr>
    </w:p>
    <w:bookmarkStart w:id="42" w:name="page43"/>
    <w:bookmarkEnd w:id="4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of Investments In, and Advances to, Affiliates</w:t>
      </w:r>
    </w:p>
    <w:p>
      <w:pPr>
        <w:spacing w:after="0" w:line="229" w:lineRule="exact"/>
        <w:rPr>
          <w:sz w:val="20"/>
          <w:szCs w:val="20"/>
          <w:color w:val="auto"/>
        </w:rPr>
      </w:pPr>
    </w:p>
    <w:p>
      <w:pPr>
        <w:ind w:right="20" w:firstLine="351"/>
        <w:spacing w:after="0" w:line="282" w:lineRule="auto"/>
        <w:rPr>
          <w:sz w:val="20"/>
          <w:szCs w:val="20"/>
          <w:color w:val="auto"/>
        </w:rPr>
      </w:pPr>
      <w:r>
        <w:rPr>
          <w:rFonts w:ascii="Times New Roman" w:cs="Times New Roman" w:eastAsia="Times New Roman" w:hAnsi="Times New Roman"/>
          <w:sz w:val="18"/>
          <w:szCs w:val="18"/>
          <w:color w:val="auto"/>
        </w:rPr>
        <w:t>Transactions during the year ended December 31, 2018 involving the Company’s controlled investments and non-controlled/affiliate investments were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Fees, or</w:t>
            </w:r>
          </w:p>
        </w:tc>
        <w:tc>
          <w:tcPr>
            <w:tcW w:w="960" w:type="dxa"/>
            <w:vAlign w:val="bottom"/>
            <w:gridSpan w:val="3"/>
            <w:vMerge w:val="continue"/>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Capitalized</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288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Type/Industry/Portfolio</w:t>
            </w:r>
          </w:p>
        </w:tc>
        <w:tc>
          <w:tcPr>
            <w:tcW w:w="10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9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Dividends</w:t>
            </w: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Fees,</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120" w:type="dxa"/>
            <w:vAlign w:val="bottom"/>
          </w:tcPr>
          <w:p>
            <w:pPr>
              <w:spacing w:after="0"/>
              <w:rPr>
                <w:sz w:val="12"/>
                <w:szCs w:val="12"/>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76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Credited</w:t>
            </w:r>
          </w:p>
        </w:tc>
        <w:tc>
          <w:tcPr>
            <w:tcW w:w="100" w:type="dxa"/>
            <w:vAlign w:val="bottom"/>
          </w:tcPr>
          <w:p>
            <w:pPr>
              <w:spacing w:after="0"/>
              <w:rPr>
                <w:sz w:val="12"/>
                <w:szCs w:val="12"/>
                <w:color w:val="auto"/>
              </w:rPr>
            </w:pPr>
          </w:p>
        </w:tc>
        <w:tc>
          <w:tcPr>
            <w:tcW w:w="76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31,</w:t>
            </w:r>
          </w:p>
        </w:tc>
        <w:tc>
          <w:tcPr>
            <w:tcW w:w="10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Interest and</w:t>
            </w:r>
          </w:p>
        </w:tc>
        <w:tc>
          <w:tcPr>
            <w:tcW w:w="120" w:type="dxa"/>
            <w:vAlign w:val="bottom"/>
          </w:tcPr>
          <w:p>
            <w:pPr>
              <w:spacing w:after="0"/>
              <w:rPr>
                <w:sz w:val="12"/>
                <w:szCs w:val="12"/>
                <w:color w:val="auto"/>
              </w:rPr>
            </w:pPr>
          </w:p>
        </w:tc>
        <w:tc>
          <w:tcPr>
            <w:tcW w:w="680" w:type="dxa"/>
            <w:vAlign w:val="bottom"/>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31,</w:t>
            </w:r>
          </w:p>
        </w:tc>
        <w:tc>
          <w:tcPr>
            <w:tcW w:w="120" w:type="dxa"/>
            <w:vAlign w:val="bottom"/>
          </w:tcPr>
          <w:p>
            <w:pPr>
              <w:spacing w:after="0"/>
              <w:rPr>
                <w:sz w:val="12"/>
                <w:szCs w:val="12"/>
                <w:color w:val="auto"/>
              </w:rPr>
            </w:pPr>
          </w:p>
        </w:tc>
        <w:tc>
          <w:tcPr>
            <w:tcW w:w="760" w:type="dxa"/>
            <w:vAlign w:val="bottom"/>
          </w:tcPr>
          <w:p>
            <w:pPr>
              <w:jc w:val="right"/>
              <w:ind w:right="126"/>
              <w:spacing w:after="0" w:line="149"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95"/>
        </w:trPr>
        <w:tc>
          <w:tcPr>
            <w:tcW w:w="27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Company/Investment</w:t>
            </w:r>
          </w:p>
        </w:tc>
        <w:tc>
          <w:tcPr>
            <w:tcW w:w="120" w:type="dxa"/>
            <w:vAlign w:val="bottom"/>
            <w:tcBorders>
              <w:bottom w:val="single" w:sz="8" w:color="BFE4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100" w:type="dxa"/>
            <w:vAlign w:val="bottom"/>
            <w:tcBorders>
              <w:bottom w:val="single" w:sz="8" w:color="BFE4FF"/>
            </w:tcBorders>
          </w:tcPr>
          <w:p>
            <w:pPr>
              <w:spacing w:after="0"/>
              <w:rPr>
                <w:sz w:val="16"/>
                <w:szCs w:val="16"/>
                <w:color w:val="auto"/>
              </w:rPr>
            </w:pPr>
          </w:p>
        </w:tc>
        <w:tc>
          <w:tcPr>
            <w:tcW w:w="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Income</w:t>
            </w:r>
          </w:p>
        </w:tc>
        <w:tc>
          <w:tcPr>
            <w:tcW w:w="120" w:type="dxa"/>
            <w:vAlign w:val="bottom"/>
            <w:tcBorders>
              <w:bottom w:val="single" w:sz="8" w:color="BFE4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BFE4FF"/>
            </w:tcBorders>
          </w:tcPr>
          <w:p>
            <w:pPr>
              <w:spacing w:after="0"/>
              <w:rPr>
                <w:sz w:val="16"/>
                <w:szCs w:val="16"/>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Borders>
              <w:bottom w:val="single" w:sz="8" w:color="BFE4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BFE4FF"/>
            </w:tcBorders>
            <w:vMerge w:val="continue"/>
          </w:tcPr>
          <w:p>
            <w:pPr>
              <w:spacing w:after="0"/>
              <w:rPr>
                <w:sz w:val="16"/>
                <w:szCs w:val="16"/>
                <w:color w:val="auto"/>
              </w:rPr>
            </w:pPr>
          </w:p>
        </w:tc>
        <w:tc>
          <w:tcPr>
            <w:tcW w:w="9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00" w:type="dxa"/>
            <w:vAlign w:val="bottom"/>
            <w:tcBorders>
              <w:bottom w:val="single" w:sz="8" w:color="BFE4FF"/>
            </w:tcBorders>
          </w:tcPr>
          <w:p>
            <w:pPr>
              <w:spacing w:after="0"/>
              <w:rPr>
                <w:sz w:val="16"/>
                <w:szCs w:val="16"/>
                <w:color w:val="auto"/>
              </w:rPr>
            </w:pPr>
          </w:p>
        </w:tc>
        <w:tc>
          <w:tcPr>
            <w:tcW w:w="9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00" w:type="dxa"/>
            <w:vAlign w:val="bottom"/>
            <w:tcBorders>
              <w:bottom w:val="single" w:sz="8" w:color="BFE4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Borders>
              <w:bottom w:val="single" w:sz="8" w:color="BFE4FF"/>
            </w:tcBorders>
          </w:tcPr>
          <w:p>
            <w:pPr>
              <w:spacing w:after="0"/>
              <w:rPr>
                <w:sz w:val="16"/>
                <w:szCs w:val="16"/>
                <w:color w:val="auto"/>
              </w:rPr>
            </w:pPr>
          </w:p>
        </w:tc>
        <w:tc>
          <w:tcPr>
            <w:tcW w:w="76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01"/>
        </w:trPr>
        <w:tc>
          <w:tcPr>
            <w:tcW w:w="2880" w:type="dxa"/>
            <w:vAlign w:val="bottom"/>
            <w:gridSpan w:val="4"/>
            <w:shd w:val="clear" w:color="auto" w:fill="BFE4FF"/>
          </w:tcPr>
          <w:p>
            <w:pPr>
              <w:ind w:left="40"/>
              <w:spacing w:after="0" w:line="201" w:lineRule="exact"/>
              <w:rPr>
                <w:sz w:val="20"/>
                <w:szCs w:val="20"/>
                <w:color w:val="auto"/>
              </w:rPr>
            </w:pPr>
            <w:r>
              <w:rPr>
                <w:rFonts w:ascii="Times New Roman" w:cs="Times New Roman" w:eastAsia="Times New Roman" w:hAnsi="Times New Roman"/>
                <w:sz w:val="16"/>
                <w:szCs w:val="16"/>
                <w:b w:val="1"/>
                <w:bCs w:val="1"/>
                <w:color w:val="auto"/>
              </w:rPr>
              <w:t>CONTROLLED INVESTMENTS*</w:t>
            </w:r>
            <w:r>
              <w:rPr>
                <w:rFonts w:ascii="Times New Roman" w:cs="Times New Roman" w:eastAsia="Times New Roman" w:hAnsi="Times New Roman"/>
                <w:sz w:val="21"/>
                <w:szCs w:val="21"/>
                <w:b w:val="1"/>
                <w:bCs w:val="1"/>
                <w:color w:val="auto"/>
                <w:vertAlign w:val="superscript"/>
              </w:rPr>
              <w:t>(2)</w:t>
            </w:r>
          </w:p>
        </w:tc>
        <w:tc>
          <w:tcPr>
            <w:tcW w:w="100" w:type="dxa"/>
            <w:vAlign w:val="bottom"/>
            <w:shd w:val="clear" w:color="auto" w:fill="BFE4FF"/>
          </w:tcPr>
          <w:p>
            <w:pPr>
              <w:spacing w:after="0"/>
              <w:rPr>
                <w:sz w:val="17"/>
                <w:szCs w:val="17"/>
                <w:color w:val="auto"/>
              </w:rPr>
            </w:pPr>
          </w:p>
        </w:tc>
        <w:tc>
          <w:tcPr>
            <w:tcW w:w="720" w:type="dxa"/>
            <w:vAlign w:val="bottom"/>
            <w:shd w:val="clear" w:color="auto" w:fill="BFE4FF"/>
          </w:tcPr>
          <w:p>
            <w:pPr>
              <w:spacing w:after="0"/>
              <w:rPr>
                <w:sz w:val="17"/>
                <w:szCs w:val="17"/>
                <w:color w:val="auto"/>
              </w:rPr>
            </w:pPr>
          </w:p>
        </w:tc>
        <w:tc>
          <w:tcPr>
            <w:tcW w:w="10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66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100" w:type="dxa"/>
            <w:vAlign w:val="bottom"/>
            <w:shd w:val="clear" w:color="auto" w:fill="BFE4FF"/>
          </w:tcPr>
          <w:p>
            <w:pPr>
              <w:spacing w:after="0"/>
              <w:rPr>
                <w:sz w:val="17"/>
                <w:szCs w:val="17"/>
                <w:color w:val="auto"/>
              </w:rPr>
            </w:pPr>
          </w:p>
        </w:tc>
        <w:tc>
          <w:tcPr>
            <w:tcW w:w="760" w:type="dxa"/>
            <w:vAlign w:val="bottom"/>
            <w:shd w:val="clear" w:color="auto" w:fill="BFE4FF"/>
          </w:tcPr>
          <w:p>
            <w:pPr>
              <w:spacing w:after="0"/>
              <w:rPr>
                <w:sz w:val="17"/>
                <w:szCs w:val="17"/>
                <w:color w:val="auto"/>
              </w:rPr>
            </w:pPr>
          </w:p>
        </w:tc>
        <w:tc>
          <w:tcPr>
            <w:tcW w:w="10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780" w:type="dxa"/>
            <w:vAlign w:val="bottom"/>
            <w:shd w:val="clear" w:color="auto" w:fill="BFE4FF"/>
          </w:tcPr>
          <w:p>
            <w:pPr>
              <w:spacing w:after="0"/>
              <w:rPr>
                <w:sz w:val="17"/>
                <w:szCs w:val="17"/>
                <w:color w:val="auto"/>
              </w:rPr>
            </w:pPr>
          </w:p>
        </w:tc>
        <w:tc>
          <w:tcPr>
            <w:tcW w:w="10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68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140" w:type="dxa"/>
            <w:vAlign w:val="bottom"/>
            <w:shd w:val="clear" w:color="auto" w:fill="BFE4FF"/>
          </w:tcPr>
          <w:p>
            <w:pPr>
              <w:spacing w:after="0"/>
              <w:rPr>
                <w:sz w:val="17"/>
                <w:szCs w:val="17"/>
                <w:color w:val="auto"/>
              </w:rPr>
            </w:pPr>
          </w:p>
        </w:tc>
        <w:tc>
          <w:tcPr>
            <w:tcW w:w="800" w:type="dxa"/>
            <w:vAlign w:val="bottom"/>
            <w:shd w:val="clear" w:color="auto" w:fill="BFE4FF"/>
          </w:tcPr>
          <w:p>
            <w:pPr>
              <w:spacing w:after="0"/>
              <w:rPr>
                <w:sz w:val="17"/>
                <w:szCs w:val="17"/>
                <w:color w:val="auto"/>
              </w:rPr>
            </w:pPr>
          </w:p>
        </w:tc>
        <w:tc>
          <w:tcPr>
            <w:tcW w:w="10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820" w:type="dxa"/>
            <w:vAlign w:val="bottom"/>
            <w:shd w:val="clear" w:color="auto" w:fill="BFE4FF"/>
          </w:tcPr>
          <w:p>
            <w:pPr>
              <w:spacing w:after="0"/>
              <w:rPr>
                <w:sz w:val="17"/>
                <w:szCs w:val="17"/>
                <w:color w:val="auto"/>
              </w:rPr>
            </w:pPr>
          </w:p>
        </w:tc>
        <w:tc>
          <w:tcPr>
            <w:tcW w:w="10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76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760" w:type="dxa"/>
            <w:vAlign w:val="bottom"/>
            <w:shd w:val="clear" w:color="auto" w:fill="BFE4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BFE4FF"/>
            </w:tcBorders>
            <w:shd w:val="clear" w:color="auto" w:fill="BFE4FF"/>
          </w:tcPr>
          <w:p>
            <w:pPr>
              <w:spacing w:after="0"/>
              <w:rPr>
                <w:sz w:val="4"/>
                <w:szCs w:val="4"/>
                <w:color w:val="auto"/>
              </w:rPr>
            </w:pPr>
          </w:p>
        </w:tc>
        <w:tc>
          <w:tcPr>
            <w:tcW w:w="2360" w:type="dxa"/>
            <w:vAlign w:val="bottom"/>
            <w:tcBorders>
              <w:top w:val="single" w:sz="8" w:color="auto"/>
            </w:tcBorders>
            <w:shd w:val="clear" w:color="auto" w:fill="BFE4FF"/>
          </w:tcPr>
          <w:p>
            <w:pPr>
              <w:spacing w:after="0"/>
              <w:rPr>
                <w:sz w:val="4"/>
                <w:szCs w:val="4"/>
                <w:color w:val="auto"/>
              </w:rPr>
            </w:pPr>
          </w:p>
        </w:tc>
        <w:tc>
          <w:tcPr>
            <w:tcW w:w="360" w:type="dxa"/>
            <w:vAlign w:val="bottom"/>
            <w:tcBorders>
              <w:top w:val="single" w:sz="8" w:color="BFE4FF"/>
            </w:tcBorders>
            <w:shd w:val="clear" w:color="auto" w:fill="BFE4FF"/>
          </w:tcPr>
          <w:p>
            <w:pPr>
              <w:spacing w:after="0"/>
              <w:rPr>
                <w:sz w:val="4"/>
                <w:szCs w:val="4"/>
                <w:color w:val="auto"/>
              </w:rPr>
            </w:pPr>
          </w:p>
        </w:tc>
        <w:tc>
          <w:tcPr>
            <w:tcW w:w="120" w:type="dxa"/>
            <w:vAlign w:val="bottom"/>
            <w:tcBorders>
              <w:top w:val="single" w:sz="8" w:color="BFE4FF"/>
            </w:tcBorders>
            <w:shd w:val="clear" w:color="auto" w:fill="BFE4FF"/>
          </w:tcPr>
          <w:p>
            <w:pPr>
              <w:spacing w:after="0"/>
              <w:rPr>
                <w:sz w:val="4"/>
                <w:szCs w:val="4"/>
                <w:color w:val="auto"/>
              </w:rPr>
            </w:pPr>
          </w:p>
        </w:tc>
        <w:tc>
          <w:tcPr>
            <w:tcW w:w="100" w:type="dxa"/>
            <w:vAlign w:val="bottom"/>
            <w:tcBorders>
              <w:top w:val="single" w:sz="8" w:color="BFE4FF"/>
            </w:tcBorders>
            <w:shd w:val="clear" w:color="auto" w:fill="BFE4FF"/>
          </w:tcPr>
          <w:p>
            <w:pPr>
              <w:spacing w:after="0"/>
              <w:rPr>
                <w:sz w:val="4"/>
                <w:szCs w:val="4"/>
                <w:color w:val="auto"/>
              </w:rPr>
            </w:pPr>
          </w:p>
        </w:tc>
        <w:tc>
          <w:tcPr>
            <w:tcW w:w="720" w:type="dxa"/>
            <w:vAlign w:val="bottom"/>
            <w:tcBorders>
              <w:top w:val="single" w:sz="8" w:color="BFE4FF"/>
            </w:tcBorders>
            <w:shd w:val="clear" w:color="auto" w:fill="BFE4FF"/>
          </w:tcPr>
          <w:p>
            <w:pPr>
              <w:spacing w:after="0"/>
              <w:rPr>
                <w:sz w:val="4"/>
                <w:szCs w:val="4"/>
                <w:color w:val="auto"/>
              </w:rPr>
            </w:pPr>
          </w:p>
        </w:tc>
        <w:tc>
          <w:tcPr>
            <w:tcW w:w="100" w:type="dxa"/>
            <w:vAlign w:val="bottom"/>
            <w:tcBorders>
              <w:top w:val="single" w:sz="8" w:color="BFE4FF"/>
            </w:tcBorders>
            <w:shd w:val="clear" w:color="auto" w:fill="BFE4FF"/>
          </w:tcPr>
          <w:p>
            <w:pPr>
              <w:spacing w:after="0"/>
              <w:rPr>
                <w:sz w:val="4"/>
                <w:szCs w:val="4"/>
                <w:color w:val="auto"/>
              </w:rPr>
            </w:pPr>
          </w:p>
        </w:tc>
        <w:tc>
          <w:tcPr>
            <w:tcW w:w="120" w:type="dxa"/>
            <w:vAlign w:val="bottom"/>
            <w:tcBorders>
              <w:top w:val="single" w:sz="8" w:color="BFE4FF"/>
            </w:tcBorders>
            <w:shd w:val="clear" w:color="auto" w:fill="BFE4FF"/>
          </w:tcPr>
          <w:p>
            <w:pPr>
              <w:spacing w:after="0"/>
              <w:rPr>
                <w:sz w:val="4"/>
                <w:szCs w:val="4"/>
                <w:color w:val="auto"/>
              </w:rPr>
            </w:pPr>
          </w:p>
        </w:tc>
        <w:tc>
          <w:tcPr>
            <w:tcW w:w="660" w:type="dxa"/>
            <w:vAlign w:val="bottom"/>
            <w:tcBorders>
              <w:top w:val="single" w:sz="8" w:color="BFE4FF"/>
            </w:tcBorders>
            <w:shd w:val="clear" w:color="auto" w:fill="BFE4FF"/>
          </w:tcPr>
          <w:p>
            <w:pPr>
              <w:spacing w:after="0"/>
              <w:rPr>
                <w:sz w:val="4"/>
                <w:szCs w:val="4"/>
                <w:color w:val="auto"/>
              </w:rPr>
            </w:pPr>
          </w:p>
        </w:tc>
        <w:tc>
          <w:tcPr>
            <w:tcW w:w="120" w:type="dxa"/>
            <w:vAlign w:val="bottom"/>
            <w:tcBorders>
              <w:top w:val="single" w:sz="8" w:color="BFE4FF"/>
            </w:tcBorders>
            <w:shd w:val="clear" w:color="auto" w:fill="BFE4FF"/>
          </w:tcPr>
          <w:p>
            <w:pPr>
              <w:spacing w:after="0"/>
              <w:rPr>
                <w:sz w:val="4"/>
                <w:szCs w:val="4"/>
                <w:color w:val="auto"/>
              </w:rPr>
            </w:pPr>
          </w:p>
        </w:tc>
        <w:tc>
          <w:tcPr>
            <w:tcW w:w="100" w:type="dxa"/>
            <w:vAlign w:val="bottom"/>
            <w:tcBorders>
              <w:top w:val="single" w:sz="8" w:color="BFE4FF"/>
            </w:tcBorders>
            <w:shd w:val="clear" w:color="auto" w:fill="BFE4FF"/>
          </w:tcPr>
          <w:p>
            <w:pPr>
              <w:spacing w:after="0"/>
              <w:rPr>
                <w:sz w:val="4"/>
                <w:szCs w:val="4"/>
                <w:color w:val="auto"/>
              </w:rPr>
            </w:pPr>
          </w:p>
        </w:tc>
        <w:tc>
          <w:tcPr>
            <w:tcW w:w="760" w:type="dxa"/>
            <w:vAlign w:val="bottom"/>
            <w:tcBorders>
              <w:top w:val="single" w:sz="8" w:color="BFE4FF"/>
            </w:tcBorders>
            <w:shd w:val="clear" w:color="auto" w:fill="BFE4FF"/>
          </w:tcPr>
          <w:p>
            <w:pPr>
              <w:spacing w:after="0"/>
              <w:rPr>
                <w:sz w:val="4"/>
                <w:szCs w:val="4"/>
                <w:color w:val="auto"/>
              </w:rPr>
            </w:pPr>
          </w:p>
        </w:tc>
        <w:tc>
          <w:tcPr>
            <w:tcW w:w="100" w:type="dxa"/>
            <w:vAlign w:val="bottom"/>
            <w:tcBorders>
              <w:top w:val="single" w:sz="8" w:color="BFE4FF"/>
            </w:tcBorders>
            <w:shd w:val="clear" w:color="auto" w:fill="BFE4FF"/>
          </w:tcPr>
          <w:p>
            <w:pPr>
              <w:spacing w:after="0"/>
              <w:rPr>
                <w:sz w:val="4"/>
                <w:szCs w:val="4"/>
                <w:color w:val="auto"/>
              </w:rPr>
            </w:pPr>
          </w:p>
        </w:tc>
        <w:tc>
          <w:tcPr>
            <w:tcW w:w="120" w:type="dxa"/>
            <w:vAlign w:val="bottom"/>
            <w:tcBorders>
              <w:top w:val="single" w:sz="8" w:color="BFE4FF"/>
            </w:tcBorders>
            <w:shd w:val="clear" w:color="auto" w:fill="BFE4FF"/>
          </w:tcPr>
          <w:p>
            <w:pPr>
              <w:spacing w:after="0"/>
              <w:rPr>
                <w:sz w:val="4"/>
                <w:szCs w:val="4"/>
                <w:color w:val="auto"/>
              </w:rPr>
            </w:pPr>
          </w:p>
        </w:tc>
        <w:tc>
          <w:tcPr>
            <w:tcW w:w="780" w:type="dxa"/>
            <w:vAlign w:val="bottom"/>
            <w:tcBorders>
              <w:top w:val="single" w:sz="8" w:color="BFE4FF"/>
            </w:tcBorders>
            <w:shd w:val="clear" w:color="auto" w:fill="BFE4FF"/>
          </w:tcPr>
          <w:p>
            <w:pPr>
              <w:spacing w:after="0"/>
              <w:rPr>
                <w:sz w:val="4"/>
                <w:szCs w:val="4"/>
                <w:color w:val="auto"/>
              </w:rPr>
            </w:pPr>
          </w:p>
        </w:tc>
        <w:tc>
          <w:tcPr>
            <w:tcW w:w="100" w:type="dxa"/>
            <w:vAlign w:val="bottom"/>
            <w:tcBorders>
              <w:top w:val="single" w:sz="8" w:color="BFE4FF"/>
            </w:tcBorders>
            <w:shd w:val="clear" w:color="auto" w:fill="BFE4FF"/>
          </w:tcPr>
          <w:p>
            <w:pPr>
              <w:spacing w:after="0"/>
              <w:rPr>
                <w:sz w:val="4"/>
                <w:szCs w:val="4"/>
                <w:color w:val="auto"/>
              </w:rPr>
            </w:pPr>
          </w:p>
        </w:tc>
        <w:tc>
          <w:tcPr>
            <w:tcW w:w="120" w:type="dxa"/>
            <w:vAlign w:val="bottom"/>
            <w:tcBorders>
              <w:top w:val="single" w:sz="8" w:color="BFE4FF"/>
            </w:tcBorders>
            <w:shd w:val="clear" w:color="auto" w:fill="BFE4FF"/>
          </w:tcPr>
          <w:p>
            <w:pPr>
              <w:spacing w:after="0"/>
              <w:rPr>
                <w:sz w:val="4"/>
                <w:szCs w:val="4"/>
                <w:color w:val="auto"/>
              </w:rPr>
            </w:pPr>
          </w:p>
        </w:tc>
        <w:tc>
          <w:tcPr>
            <w:tcW w:w="680" w:type="dxa"/>
            <w:vAlign w:val="bottom"/>
            <w:tcBorders>
              <w:top w:val="single" w:sz="8" w:color="BFE4FF"/>
            </w:tcBorders>
            <w:shd w:val="clear" w:color="auto" w:fill="BFE4FF"/>
          </w:tcPr>
          <w:p>
            <w:pPr>
              <w:spacing w:after="0"/>
              <w:rPr>
                <w:sz w:val="4"/>
                <w:szCs w:val="4"/>
                <w:color w:val="auto"/>
              </w:rPr>
            </w:pPr>
          </w:p>
        </w:tc>
        <w:tc>
          <w:tcPr>
            <w:tcW w:w="120" w:type="dxa"/>
            <w:vAlign w:val="bottom"/>
            <w:tcBorders>
              <w:top w:val="single" w:sz="8" w:color="BFE4FF"/>
            </w:tcBorders>
            <w:shd w:val="clear" w:color="auto" w:fill="BFE4FF"/>
          </w:tcPr>
          <w:p>
            <w:pPr>
              <w:spacing w:after="0"/>
              <w:rPr>
                <w:sz w:val="4"/>
                <w:szCs w:val="4"/>
                <w:color w:val="auto"/>
              </w:rPr>
            </w:pPr>
          </w:p>
        </w:tc>
        <w:tc>
          <w:tcPr>
            <w:tcW w:w="140" w:type="dxa"/>
            <w:vAlign w:val="bottom"/>
            <w:tcBorders>
              <w:top w:val="single" w:sz="8" w:color="BFE4FF"/>
            </w:tcBorders>
            <w:shd w:val="clear" w:color="auto" w:fill="BFE4FF"/>
          </w:tcPr>
          <w:p>
            <w:pPr>
              <w:spacing w:after="0"/>
              <w:rPr>
                <w:sz w:val="4"/>
                <w:szCs w:val="4"/>
                <w:color w:val="auto"/>
              </w:rPr>
            </w:pPr>
          </w:p>
        </w:tc>
        <w:tc>
          <w:tcPr>
            <w:tcW w:w="800" w:type="dxa"/>
            <w:vAlign w:val="bottom"/>
            <w:tcBorders>
              <w:top w:val="single" w:sz="8" w:color="BFE4FF"/>
            </w:tcBorders>
            <w:shd w:val="clear" w:color="auto" w:fill="BFE4FF"/>
          </w:tcPr>
          <w:p>
            <w:pPr>
              <w:spacing w:after="0"/>
              <w:rPr>
                <w:sz w:val="4"/>
                <w:szCs w:val="4"/>
                <w:color w:val="auto"/>
              </w:rPr>
            </w:pPr>
          </w:p>
        </w:tc>
        <w:tc>
          <w:tcPr>
            <w:tcW w:w="100" w:type="dxa"/>
            <w:vAlign w:val="bottom"/>
            <w:tcBorders>
              <w:top w:val="single" w:sz="8" w:color="BFE4FF"/>
            </w:tcBorders>
            <w:shd w:val="clear" w:color="auto" w:fill="BFE4FF"/>
          </w:tcPr>
          <w:p>
            <w:pPr>
              <w:spacing w:after="0"/>
              <w:rPr>
                <w:sz w:val="4"/>
                <w:szCs w:val="4"/>
                <w:color w:val="auto"/>
              </w:rPr>
            </w:pPr>
          </w:p>
        </w:tc>
        <w:tc>
          <w:tcPr>
            <w:tcW w:w="120" w:type="dxa"/>
            <w:vAlign w:val="bottom"/>
            <w:tcBorders>
              <w:top w:val="single" w:sz="8" w:color="BFE4FF"/>
            </w:tcBorders>
            <w:shd w:val="clear" w:color="auto" w:fill="BFE4FF"/>
          </w:tcPr>
          <w:p>
            <w:pPr>
              <w:spacing w:after="0"/>
              <w:rPr>
                <w:sz w:val="4"/>
                <w:szCs w:val="4"/>
                <w:color w:val="auto"/>
              </w:rPr>
            </w:pPr>
          </w:p>
        </w:tc>
        <w:tc>
          <w:tcPr>
            <w:tcW w:w="820" w:type="dxa"/>
            <w:vAlign w:val="bottom"/>
            <w:tcBorders>
              <w:top w:val="single" w:sz="8" w:color="BFE4FF"/>
            </w:tcBorders>
            <w:shd w:val="clear" w:color="auto" w:fill="BFE4FF"/>
          </w:tcPr>
          <w:p>
            <w:pPr>
              <w:spacing w:after="0"/>
              <w:rPr>
                <w:sz w:val="4"/>
                <w:szCs w:val="4"/>
                <w:color w:val="auto"/>
              </w:rPr>
            </w:pPr>
          </w:p>
        </w:tc>
        <w:tc>
          <w:tcPr>
            <w:tcW w:w="100" w:type="dxa"/>
            <w:vAlign w:val="bottom"/>
            <w:tcBorders>
              <w:top w:val="single" w:sz="8" w:color="BFE4FF"/>
            </w:tcBorders>
            <w:shd w:val="clear" w:color="auto" w:fill="BFE4FF"/>
          </w:tcPr>
          <w:p>
            <w:pPr>
              <w:spacing w:after="0"/>
              <w:rPr>
                <w:sz w:val="4"/>
                <w:szCs w:val="4"/>
                <w:color w:val="auto"/>
              </w:rPr>
            </w:pPr>
          </w:p>
        </w:tc>
        <w:tc>
          <w:tcPr>
            <w:tcW w:w="120" w:type="dxa"/>
            <w:vAlign w:val="bottom"/>
            <w:tcBorders>
              <w:top w:val="single" w:sz="8" w:color="BFE4FF"/>
            </w:tcBorders>
            <w:shd w:val="clear" w:color="auto" w:fill="BFE4FF"/>
          </w:tcPr>
          <w:p>
            <w:pPr>
              <w:spacing w:after="0"/>
              <w:rPr>
                <w:sz w:val="4"/>
                <w:szCs w:val="4"/>
                <w:color w:val="auto"/>
              </w:rPr>
            </w:pPr>
          </w:p>
        </w:tc>
        <w:tc>
          <w:tcPr>
            <w:tcW w:w="760" w:type="dxa"/>
            <w:vAlign w:val="bottom"/>
            <w:tcBorders>
              <w:top w:val="single" w:sz="8" w:color="BFE4FF"/>
            </w:tcBorders>
            <w:shd w:val="clear" w:color="auto" w:fill="BFE4FF"/>
          </w:tcPr>
          <w:p>
            <w:pPr>
              <w:spacing w:after="0"/>
              <w:rPr>
                <w:sz w:val="4"/>
                <w:szCs w:val="4"/>
                <w:color w:val="auto"/>
              </w:rPr>
            </w:pPr>
          </w:p>
        </w:tc>
        <w:tc>
          <w:tcPr>
            <w:tcW w:w="120" w:type="dxa"/>
            <w:vAlign w:val="bottom"/>
            <w:tcBorders>
              <w:top w:val="single" w:sz="8" w:color="BFE4FF"/>
            </w:tcBorders>
            <w:shd w:val="clear" w:color="auto" w:fill="BFE4FF"/>
          </w:tcPr>
          <w:p>
            <w:pPr>
              <w:spacing w:after="0"/>
              <w:rPr>
                <w:sz w:val="4"/>
                <w:szCs w:val="4"/>
                <w:color w:val="auto"/>
              </w:rPr>
            </w:pPr>
          </w:p>
        </w:tc>
        <w:tc>
          <w:tcPr>
            <w:tcW w:w="760" w:type="dxa"/>
            <w:vAlign w:val="bottom"/>
            <w:tcBorders>
              <w:top w:val="single" w:sz="8" w:color="BFE4FF"/>
            </w:tcBorders>
            <w:shd w:val="clear" w:color="auto" w:fill="BFE4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88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Debt Investments</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BFE4FF"/>
            </w:tcBorders>
            <w:shd w:val="clear" w:color="auto" w:fill="BFE4FF"/>
          </w:tcPr>
          <w:p>
            <w:pPr>
              <w:spacing w:after="0"/>
              <w:rPr>
                <w:sz w:val="21"/>
                <w:szCs w:val="21"/>
                <w:color w:val="auto"/>
              </w:rPr>
            </w:pPr>
          </w:p>
        </w:tc>
        <w:tc>
          <w:tcPr>
            <w:tcW w:w="2840" w:type="dxa"/>
            <w:vAlign w:val="bottom"/>
            <w:tcBorders>
              <w:bottom w:val="single" w:sz="8" w:color="BFE4FF"/>
            </w:tcBorders>
            <w:gridSpan w:val="3"/>
            <w:shd w:val="clear" w:color="auto" w:fill="BFE4FF"/>
          </w:tcPr>
          <w:p>
            <w:pPr>
              <w:ind w:left="140"/>
              <w:spacing w:after="0"/>
              <w:rPr>
                <w:sz w:val="20"/>
                <w:szCs w:val="20"/>
                <w:color w:val="auto"/>
              </w:rPr>
            </w:pPr>
            <w:r>
              <w:rPr>
                <w:rFonts w:ascii="Times New Roman" w:cs="Times New Roman" w:eastAsia="Times New Roman" w:hAnsi="Times New Roman"/>
                <w:sz w:val="16"/>
                <w:szCs w:val="16"/>
                <w:i w:val="1"/>
                <w:iCs w:val="1"/>
                <w:color w:val="auto"/>
              </w:rPr>
              <w:t>Global Innovation Platform</w:t>
            </w:r>
          </w:p>
        </w:tc>
        <w:tc>
          <w:tcPr>
            <w:tcW w:w="100" w:type="dxa"/>
            <w:vAlign w:val="bottom"/>
            <w:tcBorders>
              <w:bottom w:val="single" w:sz="8" w:color="BFE4FF"/>
            </w:tcBorders>
            <w:shd w:val="clear" w:color="auto" w:fill="BFE4FF"/>
          </w:tcPr>
          <w:p>
            <w:pPr>
              <w:spacing w:after="0"/>
              <w:rPr>
                <w:sz w:val="21"/>
                <w:szCs w:val="21"/>
                <w:color w:val="auto"/>
              </w:rPr>
            </w:pPr>
          </w:p>
        </w:tc>
        <w:tc>
          <w:tcPr>
            <w:tcW w:w="7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6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78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68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80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8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84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NestGSV, Inc. (d/b/a GSV Labs,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84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rPr>
              <w:t>Inc.)–Convertible Promissory Note</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84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rPr>
              <w:t>12% Due 12/31/2019***</w:t>
            </w:r>
            <w:r>
              <w:rPr>
                <w:rFonts w:ascii="Times New Roman" w:cs="Times New Roman" w:eastAsia="Times New Roman" w:hAnsi="Times New Roman"/>
                <w:sz w:val="21"/>
                <w:szCs w:val="21"/>
                <w:color w:val="auto"/>
                <w:vertAlign w:val="superscript"/>
              </w:rPr>
              <w:t>(10)</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936,525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57,466</w:t>
            </w:r>
          </w:p>
        </w:tc>
        <w:tc>
          <w:tcPr>
            <w:tcW w:w="120" w:type="dxa"/>
            <w:vAlign w:val="bottom"/>
          </w:tcPr>
          <w:p>
            <w:pPr>
              <w:spacing w:after="0"/>
              <w:rPr>
                <w:sz w:val="21"/>
                <w:szCs w:val="21"/>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560,199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392,437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(16,111)</w:t>
            </w:r>
          </w:p>
        </w:tc>
        <w:tc>
          <w:tcPr>
            <w:tcW w:w="100" w:type="dxa"/>
            <w:vAlign w:val="bottom"/>
          </w:tcPr>
          <w:p>
            <w:pPr>
              <w:spacing w:after="0"/>
              <w:rPr>
                <w:sz w:val="21"/>
                <w:szCs w:val="21"/>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936,525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0.48%</w:t>
            </w:r>
          </w:p>
        </w:tc>
        <w:tc>
          <w:tcPr>
            <w:tcW w:w="0" w:type="dxa"/>
            <w:vAlign w:val="bottom"/>
          </w:tcPr>
          <w:p>
            <w:pPr>
              <w:spacing w:after="0"/>
              <w:rPr>
                <w:sz w:val="1"/>
                <w:szCs w:val="1"/>
                <w:color w:val="auto"/>
              </w:rPr>
            </w:pPr>
          </w:p>
        </w:tc>
      </w:tr>
      <w:tr>
        <w:trPr>
          <w:trHeight w:val="216"/>
        </w:trPr>
        <w:tc>
          <w:tcPr>
            <w:tcW w:w="40" w:type="dxa"/>
            <w:vAlign w:val="bottom"/>
            <w:shd w:val="clear" w:color="auto" w:fill="BFE4FF"/>
          </w:tcPr>
          <w:p>
            <w:pPr>
              <w:spacing w:after="0"/>
              <w:rPr>
                <w:sz w:val="18"/>
                <w:szCs w:val="18"/>
                <w:color w:val="auto"/>
              </w:rPr>
            </w:pPr>
          </w:p>
        </w:tc>
        <w:tc>
          <w:tcPr>
            <w:tcW w:w="2840" w:type="dxa"/>
            <w:vAlign w:val="bottom"/>
            <w:gridSpan w:val="3"/>
            <w:shd w:val="clear" w:color="auto" w:fill="BFE4FF"/>
          </w:tcPr>
          <w:p>
            <w:pPr>
              <w:ind w:left="240"/>
              <w:spacing w:after="0"/>
              <w:rPr>
                <w:sz w:val="20"/>
                <w:szCs w:val="20"/>
                <w:color w:val="auto"/>
              </w:rPr>
            </w:pPr>
            <w:r>
              <w:rPr>
                <w:rFonts w:ascii="Times New Roman" w:cs="Times New Roman" w:eastAsia="Times New Roman" w:hAnsi="Times New Roman"/>
                <w:sz w:val="16"/>
                <w:szCs w:val="16"/>
                <w:color w:val="auto"/>
              </w:rPr>
              <w:t>NestGSV, Inc. (d/b/a GSV Labs,</w:t>
            </w:r>
          </w:p>
        </w:tc>
        <w:tc>
          <w:tcPr>
            <w:tcW w:w="100" w:type="dxa"/>
            <w:vAlign w:val="bottom"/>
            <w:shd w:val="clear" w:color="auto" w:fill="BFE4FF"/>
          </w:tcPr>
          <w:p>
            <w:pPr>
              <w:spacing w:after="0"/>
              <w:rPr>
                <w:sz w:val="18"/>
                <w:szCs w:val="18"/>
                <w:color w:val="auto"/>
              </w:rPr>
            </w:pPr>
          </w:p>
        </w:tc>
        <w:tc>
          <w:tcPr>
            <w:tcW w:w="72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66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76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78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68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140" w:type="dxa"/>
            <w:vAlign w:val="bottom"/>
            <w:shd w:val="clear" w:color="auto" w:fill="BFE4FF"/>
          </w:tcPr>
          <w:p>
            <w:pPr>
              <w:spacing w:after="0"/>
              <w:rPr>
                <w:sz w:val="18"/>
                <w:szCs w:val="18"/>
                <w:color w:val="auto"/>
              </w:rPr>
            </w:pPr>
          </w:p>
        </w:tc>
        <w:tc>
          <w:tcPr>
            <w:tcW w:w="80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82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76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760" w:type="dxa"/>
            <w:vAlign w:val="bottom"/>
            <w:shd w:val="clear" w:color="auto" w:fill="BFE4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BFE4FF"/>
          </w:tcPr>
          <w:p>
            <w:pPr>
              <w:spacing w:after="0"/>
              <w:rPr>
                <w:sz w:val="17"/>
                <w:szCs w:val="17"/>
                <w:color w:val="auto"/>
              </w:rPr>
            </w:pPr>
          </w:p>
        </w:tc>
        <w:tc>
          <w:tcPr>
            <w:tcW w:w="2840" w:type="dxa"/>
            <w:vAlign w:val="bottom"/>
            <w:gridSpan w:val="3"/>
            <w:shd w:val="clear" w:color="auto" w:fill="BFE4FF"/>
          </w:tcPr>
          <w:p>
            <w:pPr>
              <w:ind w:left="400"/>
              <w:spacing w:after="0"/>
              <w:rPr>
                <w:sz w:val="20"/>
                <w:szCs w:val="20"/>
                <w:color w:val="auto"/>
              </w:rPr>
            </w:pPr>
            <w:r>
              <w:rPr>
                <w:rFonts w:ascii="Times New Roman" w:cs="Times New Roman" w:eastAsia="Times New Roman" w:hAnsi="Times New Roman"/>
                <w:sz w:val="16"/>
                <w:szCs w:val="16"/>
                <w:color w:val="auto"/>
              </w:rPr>
              <w:t>Inc.)–Unsecured Promissory Note</w:t>
            </w:r>
          </w:p>
        </w:tc>
        <w:tc>
          <w:tcPr>
            <w:tcW w:w="100" w:type="dxa"/>
            <w:vAlign w:val="bottom"/>
            <w:shd w:val="clear" w:color="auto" w:fill="BFE4FF"/>
          </w:tcPr>
          <w:p>
            <w:pPr>
              <w:spacing w:after="0"/>
              <w:rPr>
                <w:sz w:val="17"/>
                <w:szCs w:val="17"/>
                <w:color w:val="auto"/>
              </w:rPr>
            </w:pPr>
          </w:p>
        </w:tc>
        <w:tc>
          <w:tcPr>
            <w:tcW w:w="720" w:type="dxa"/>
            <w:vAlign w:val="bottom"/>
            <w:shd w:val="clear" w:color="auto" w:fill="BFE4FF"/>
          </w:tcPr>
          <w:p>
            <w:pPr>
              <w:spacing w:after="0"/>
              <w:rPr>
                <w:sz w:val="17"/>
                <w:szCs w:val="17"/>
                <w:color w:val="auto"/>
              </w:rPr>
            </w:pPr>
          </w:p>
        </w:tc>
        <w:tc>
          <w:tcPr>
            <w:tcW w:w="10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66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100" w:type="dxa"/>
            <w:vAlign w:val="bottom"/>
            <w:shd w:val="clear" w:color="auto" w:fill="BFE4FF"/>
          </w:tcPr>
          <w:p>
            <w:pPr>
              <w:spacing w:after="0"/>
              <w:rPr>
                <w:sz w:val="17"/>
                <w:szCs w:val="17"/>
                <w:color w:val="auto"/>
              </w:rPr>
            </w:pPr>
          </w:p>
        </w:tc>
        <w:tc>
          <w:tcPr>
            <w:tcW w:w="760" w:type="dxa"/>
            <w:vAlign w:val="bottom"/>
            <w:shd w:val="clear" w:color="auto" w:fill="BFE4FF"/>
          </w:tcPr>
          <w:p>
            <w:pPr>
              <w:spacing w:after="0"/>
              <w:rPr>
                <w:sz w:val="17"/>
                <w:szCs w:val="17"/>
                <w:color w:val="auto"/>
              </w:rPr>
            </w:pPr>
          </w:p>
        </w:tc>
        <w:tc>
          <w:tcPr>
            <w:tcW w:w="10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780" w:type="dxa"/>
            <w:vAlign w:val="bottom"/>
            <w:shd w:val="clear" w:color="auto" w:fill="BFE4FF"/>
          </w:tcPr>
          <w:p>
            <w:pPr>
              <w:spacing w:after="0"/>
              <w:rPr>
                <w:sz w:val="17"/>
                <w:szCs w:val="17"/>
                <w:color w:val="auto"/>
              </w:rPr>
            </w:pPr>
          </w:p>
        </w:tc>
        <w:tc>
          <w:tcPr>
            <w:tcW w:w="10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68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140" w:type="dxa"/>
            <w:vAlign w:val="bottom"/>
            <w:shd w:val="clear" w:color="auto" w:fill="BFE4FF"/>
          </w:tcPr>
          <w:p>
            <w:pPr>
              <w:spacing w:after="0"/>
              <w:rPr>
                <w:sz w:val="17"/>
                <w:szCs w:val="17"/>
                <w:color w:val="auto"/>
              </w:rPr>
            </w:pPr>
          </w:p>
        </w:tc>
        <w:tc>
          <w:tcPr>
            <w:tcW w:w="800" w:type="dxa"/>
            <w:vAlign w:val="bottom"/>
            <w:shd w:val="clear" w:color="auto" w:fill="BFE4FF"/>
          </w:tcPr>
          <w:p>
            <w:pPr>
              <w:spacing w:after="0"/>
              <w:rPr>
                <w:sz w:val="17"/>
                <w:szCs w:val="17"/>
                <w:color w:val="auto"/>
              </w:rPr>
            </w:pPr>
          </w:p>
        </w:tc>
        <w:tc>
          <w:tcPr>
            <w:tcW w:w="10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820" w:type="dxa"/>
            <w:vAlign w:val="bottom"/>
            <w:shd w:val="clear" w:color="auto" w:fill="BFE4FF"/>
          </w:tcPr>
          <w:p>
            <w:pPr>
              <w:spacing w:after="0"/>
              <w:rPr>
                <w:sz w:val="17"/>
                <w:szCs w:val="17"/>
                <w:color w:val="auto"/>
              </w:rPr>
            </w:pPr>
          </w:p>
        </w:tc>
        <w:tc>
          <w:tcPr>
            <w:tcW w:w="10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76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760" w:type="dxa"/>
            <w:vAlign w:val="bottom"/>
            <w:shd w:val="clear" w:color="auto" w:fill="BFE4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0" w:type="dxa"/>
            <w:vAlign w:val="bottom"/>
            <w:shd w:val="clear" w:color="auto" w:fill="BFE4FF"/>
          </w:tcPr>
          <w:p>
            <w:pPr>
              <w:spacing w:after="0"/>
              <w:rPr>
                <w:sz w:val="21"/>
                <w:szCs w:val="21"/>
                <w:color w:val="auto"/>
              </w:rPr>
            </w:pPr>
          </w:p>
        </w:tc>
        <w:tc>
          <w:tcPr>
            <w:tcW w:w="2840" w:type="dxa"/>
            <w:vAlign w:val="bottom"/>
            <w:gridSpan w:val="3"/>
            <w:shd w:val="clear" w:color="auto" w:fill="BFE4FF"/>
          </w:tcPr>
          <w:p>
            <w:pPr>
              <w:ind w:left="400"/>
              <w:spacing w:after="0"/>
              <w:rPr>
                <w:sz w:val="20"/>
                <w:szCs w:val="20"/>
                <w:color w:val="auto"/>
              </w:rPr>
            </w:pPr>
            <w:r>
              <w:rPr>
                <w:rFonts w:ascii="Times New Roman" w:cs="Times New Roman" w:eastAsia="Times New Roman" w:hAnsi="Times New Roman"/>
                <w:sz w:val="16"/>
                <w:szCs w:val="16"/>
                <w:color w:val="auto"/>
              </w:rPr>
              <w:t>12% Due 1/15/2018***</w:t>
            </w:r>
            <w:r>
              <w:rPr>
                <w:rFonts w:ascii="Times New Roman" w:cs="Times New Roman" w:eastAsia="Times New Roman" w:hAnsi="Times New Roman"/>
                <w:sz w:val="21"/>
                <w:szCs w:val="21"/>
                <w:color w:val="auto"/>
                <w:vertAlign w:val="superscript"/>
              </w:rPr>
              <w:t>(8)</w:t>
            </w:r>
          </w:p>
        </w:tc>
        <w:tc>
          <w:tcPr>
            <w:tcW w:w="1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BFE4FF"/>
          </w:tcPr>
          <w:p>
            <w:pPr>
              <w:spacing w:after="0"/>
              <w:rPr>
                <w:sz w:val="21"/>
                <w:szCs w:val="21"/>
                <w:color w:val="auto"/>
              </w:rPr>
            </w:pPr>
          </w:p>
        </w:tc>
        <w:tc>
          <w:tcPr>
            <w:tcW w:w="660" w:type="dxa"/>
            <w:vAlign w:val="bottom"/>
            <w:shd w:val="clear" w:color="auto" w:fill="BFE4FF"/>
          </w:tcPr>
          <w:p>
            <w:pPr>
              <w:jc w:val="right"/>
              <w:ind w:right="20"/>
              <w:spacing w:after="0"/>
              <w:rPr>
                <w:sz w:val="20"/>
                <w:szCs w:val="20"/>
                <w:color w:val="auto"/>
              </w:rPr>
            </w:pPr>
            <w:r>
              <w:rPr>
                <w:rFonts w:ascii="Times New Roman" w:cs="Times New Roman" w:eastAsia="Times New Roman" w:hAnsi="Times New Roman"/>
                <w:sz w:val="16"/>
                <w:szCs w:val="16"/>
                <w:color w:val="auto"/>
              </w:rPr>
              <w:t>2,369</w:t>
            </w:r>
          </w:p>
        </w:tc>
        <w:tc>
          <w:tcPr>
            <w:tcW w:w="120" w:type="dxa"/>
            <w:vAlign w:val="bottom"/>
            <w:shd w:val="clear" w:color="auto" w:fill="BFE4FF"/>
          </w:tcPr>
          <w:p>
            <w:pPr>
              <w:spacing w:after="0"/>
              <w:rPr>
                <w:sz w:val="21"/>
                <w:szCs w:val="21"/>
                <w:color w:val="auto"/>
              </w:rPr>
            </w:pPr>
          </w:p>
        </w:tc>
        <w:tc>
          <w:tcPr>
            <w:tcW w:w="100" w:type="dxa"/>
            <w:vAlign w:val="bottom"/>
            <w:shd w:val="clear" w:color="auto" w:fill="BFE4FF"/>
          </w:tcPr>
          <w:p>
            <w:pPr>
              <w:spacing w:after="0"/>
              <w:rPr>
                <w:sz w:val="21"/>
                <w:szCs w:val="21"/>
                <w:color w:val="auto"/>
              </w:rPr>
            </w:pPr>
          </w:p>
        </w:tc>
        <w:tc>
          <w:tcPr>
            <w:tcW w:w="7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6"/>
                <w:szCs w:val="16"/>
                <w:color w:val="auto"/>
              </w:rPr>
              <w:t>592,129</w:t>
            </w:r>
          </w:p>
        </w:tc>
        <w:tc>
          <w:tcPr>
            <w:tcW w:w="100" w:type="dxa"/>
            <w:vAlign w:val="bottom"/>
            <w:shd w:val="clear" w:color="auto" w:fill="BFE4FF"/>
          </w:tcPr>
          <w:p>
            <w:pPr>
              <w:spacing w:after="0"/>
              <w:rPr>
                <w:sz w:val="21"/>
                <w:szCs w:val="21"/>
                <w:color w:val="auto"/>
              </w:rPr>
            </w:pPr>
          </w:p>
        </w:tc>
        <w:tc>
          <w:tcPr>
            <w:tcW w:w="120" w:type="dxa"/>
            <w:vAlign w:val="bottom"/>
            <w:shd w:val="clear" w:color="auto" w:fill="BFE4FF"/>
          </w:tcPr>
          <w:p>
            <w:pPr>
              <w:spacing w:after="0"/>
              <w:rPr>
                <w:sz w:val="21"/>
                <w:szCs w:val="21"/>
                <w:color w:val="auto"/>
              </w:rPr>
            </w:pPr>
          </w:p>
        </w:tc>
        <w:tc>
          <w:tcPr>
            <w:tcW w:w="880" w:type="dxa"/>
            <w:vAlign w:val="bottom"/>
            <w:gridSpan w:val="2"/>
            <w:shd w:val="clear" w:color="auto" w:fill="BFE4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BFE4FF"/>
          </w:tcPr>
          <w:p>
            <w:pPr>
              <w:spacing w:after="0"/>
              <w:rPr>
                <w:sz w:val="21"/>
                <w:szCs w:val="21"/>
                <w:color w:val="auto"/>
              </w:rPr>
            </w:pPr>
          </w:p>
        </w:tc>
        <w:tc>
          <w:tcPr>
            <w:tcW w:w="6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w w:val="95"/>
              </w:rPr>
              <w:t>(592,129)</w:t>
            </w:r>
          </w:p>
        </w:tc>
        <w:tc>
          <w:tcPr>
            <w:tcW w:w="120" w:type="dxa"/>
            <w:vAlign w:val="bottom"/>
            <w:shd w:val="clear" w:color="auto" w:fill="BFE4FF"/>
          </w:tcPr>
          <w:p>
            <w:pPr>
              <w:spacing w:after="0"/>
              <w:rPr>
                <w:sz w:val="21"/>
                <w:szCs w:val="21"/>
                <w:color w:val="auto"/>
              </w:rPr>
            </w:pPr>
          </w:p>
        </w:tc>
        <w:tc>
          <w:tcPr>
            <w:tcW w:w="140" w:type="dxa"/>
            <w:vAlign w:val="bottom"/>
            <w:shd w:val="clear" w:color="auto" w:fill="BFE4FF"/>
          </w:tcPr>
          <w:p>
            <w:pPr>
              <w:spacing w:after="0"/>
              <w:rPr>
                <w:sz w:val="21"/>
                <w:szCs w:val="21"/>
                <w:color w:val="auto"/>
              </w:rPr>
            </w:pPr>
          </w:p>
        </w:tc>
        <w:tc>
          <w:tcPr>
            <w:tcW w:w="800" w:type="dxa"/>
            <w:vAlign w:val="bottom"/>
            <w:shd w:val="clear" w:color="auto" w:fill="BFE4FF"/>
          </w:tcPr>
          <w:p>
            <w:pPr>
              <w:jc w:val="right"/>
              <w:ind w:right="60"/>
              <w:spacing w:after="0"/>
              <w:rPr>
                <w:sz w:val="20"/>
                <w:szCs w:val="20"/>
                <w:color w:val="auto"/>
              </w:rPr>
            </w:pPr>
            <w:r>
              <w:rPr>
                <w:rFonts w:ascii="Times New Roman" w:cs="Times New Roman" w:eastAsia="Times New Roman" w:hAnsi="Times New Roman"/>
                <w:sz w:val="16"/>
                <w:szCs w:val="16"/>
                <w:color w:val="auto"/>
              </w:rPr>
              <w:t>(680)</w:t>
            </w:r>
          </w:p>
        </w:tc>
        <w:tc>
          <w:tcPr>
            <w:tcW w:w="100" w:type="dxa"/>
            <w:vAlign w:val="bottom"/>
            <w:shd w:val="clear" w:color="auto" w:fill="BFE4FF"/>
          </w:tcPr>
          <w:p>
            <w:pPr>
              <w:spacing w:after="0"/>
              <w:rPr>
                <w:sz w:val="21"/>
                <w:szCs w:val="21"/>
                <w:color w:val="auto"/>
              </w:rPr>
            </w:pPr>
          </w:p>
        </w:tc>
        <w:tc>
          <w:tcPr>
            <w:tcW w:w="120" w:type="dxa"/>
            <w:vAlign w:val="bottom"/>
            <w:shd w:val="clear" w:color="auto" w:fill="BFE4FF"/>
          </w:tcPr>
          <w:p>
            <w:pPr>
              <w:spacing w:after="0"/>
              <w:rPr>
                <w:sz w:val="21"/>
                <w:szCs w:val="21"/>
                <w:color w:val="auto"/>
              </w:rPr>
            </w:pPr>
          </w:p>
        </w:tc>
        <w:tc>
          <w:tcPr>
            <w:tcW w:w="820" w:type="dxa"/>
            <w:vAlign w:val="bottom"/>
            <w:shd w:val="clear" w:color="auto" w:fill="BFE4FF"/>
          </w:tcPr>
          <w:p>
            <w:pPr>
              <w:jc w:val="right"/>
              <w:ind w:right="40"/>
              <w:spacing w:after="0"/>
              <w:rPr>
                <w:sz w:val="20"/>
                <w:szCs w:val="20"/>
                <w:color w:val="auto"/>
              </w:rPr>
            </w:pPr>
            <w:r>
              <w:rPr>
                <w:rFonts w:ascii="Times New Roman" w:cs="Times New Roman" w:eastAsia="Times New Roman" w:hAnsi="Times New Roman"/>
                <w:sz w:val="16"/>
                <w:szCs w:val="16"/>
                <w:color w:val="auto"/>
              </w:rPr>
              <w:t>680</w:t>
            </w:r>
          </w:p>
        </w:tc>
        <w:tc>
          <w:tcPr>
            <w:tcW w:w="100" w:type="dxa"/>
            <w:vAlign w:val="bottom"/>
            <w:shd w:val="clear" w:color="auto" w:fill="BFE4FF"/>
          </w:tcPr>
          <w:p>
            <w:pPr>
              <w:spacing w:after="0"/>
              <w:rPr>
                <w:sz w:val="21"/>
                <w:szCs w:val="21"/>
                <w:color w:val="auto"/>
              </w:rPr>
            </w:pPr>
          </w:p>
        </w:tc>
        <w:tc>
          <w:tcPr>
            <w:tcW w:w="120" w:type="dxa"/>
            <w:vAlign w:val="bottom"/>
            <w:shd w:val="clear" w:color="auto" w:fill="BFE4FF"/>
          </w:tcPr>
          <w:p>
            <w:pPr>
              <w:spacing w:after="0"/>
              <w:rPr>
                <w:sz w:val="21"/>
                <w:szCs w:val="21"/>
                <w:color w:val="auto"/>
              </w:rPr>
            </w:pPr>
          </w:p>
        </w:tc>
        <w:tc>
          <w:tcPr>
            <w:tcW w:w="760" w:type="dxa"/>
            <w:vAlign w:val="bottom"/>
            <w:shd w:val="clear" w:color="auto" w:fill="BFE4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BFE4FF"/>
          </w:tcPr>
          <w:p>
            <w:pPr>
              <w:spacing w:after="0"/>
              <w:rPr>
                <w:sz w:val="21"/>
                <w:szCs w:val="21"/>
                <w:color w:val="auto"/>
              </w:rPr>
            </w:pPr>
          </w:p>
        </w:tc>
        <w:tc>
          <w:tcPr>
            <w:tcW w:w="7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2840" w:type="dxa"/>
            <w:vAlign w:val="bottom"/>
            <w:gridSpan w:val="3"/>
          </w:tcPr>
          <w:p>
            <w:pPr>
              <w:ind w:left="240"/>
              <w:spacing w:after="0"/>
              <w:rPr>
                <w:sz w:val="20"/>
                <w:szCs w:val="20"/>
                <w:color w:val="auto"/>
              </w:rPr>
            </w:pPr>
            <w:r>
              <w:rPr>
                <w:rFonts w:ascii="Times New Roman" w:cs="Times New Roman" w:eastAsia="Times New Roman" w:hAnsi="Times New Roman"/>
                <w:sz w:val="16"/>
                <w:szCs w:val="16"/>
                <w:i w:val="1"/>
                <w:iCs w:val="1"/>
                <w:color w:val="auto"/>
              </w:rPr>
              <w:t>Total Global Innovation Platform</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59,835</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1,152,328</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392,437</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(592,129)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(680)</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(15,431)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936,525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BFE4FF"/>
            </w:tcBorders>
            <w:gridSpan w:val="4"/>
            <w:shd w:val="clear" w:color="auto" w:fill="BFE4FF"/>
          </w:tcPr>
          <w:p>
            <w:pPr>
              <w:ind w:left="40"/>
              <w:spacing w:after="0"/>
              <w:rPr>
                <w:sz w:val="20"/>
                <w:szCs w:val="20"/>
                <w:color w:val="auto"/>
              </w:rPr>
            </w:pPr>
            <w:r>
              <w:rPr>
                <w:rFonts w:ascii="Times New Roman" w:cs="Times New Roman" w:eastAsia="Times New Roman" w:hAnsi="Times New Roman"/>
                <w:sz w:val="16"/>
                <w:szCs w:val="16"/>
                <w:b w:val="1"/>
                <w:bCs w:val="1"/>
                <w:color w:val="auto"/>
              </w:rPr>
              <w:t>Total Debt Investments</w:t>
            </w:r>
          </w:p>
        </w:tc>
        <w:tc>
          <w:tcPr>
            <w:tcW w:w="100" w:type="dxa"/>
            <w:vAlign w:val="bottom"/>
            <w:tcBorders>
              <w:bottom w:val="single" w:sz="8" w:color="BFE4FF"/>
            </w:tcBorders>
            <w:shd w:val="clear" w:color="auto" w:fill="BFE4FF"/>
          </w:tcPr>
          <w:p>
            <w:pPr>
              <w:spacing w:after="0"/>
              <w:rPr>
                <w:sz w:val="21"/>
                <w:szCs w:val="21"/>
                <w:color w:val="auto"/>
              </w:rPr>
            </w:pPr>
          </w:p>
        </w:tc>
        <w:tc>
          <w:tcPr>
            <w:tcW w:w="7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BFE4FF"/>
            </w:tcBorders>
            <w:shd w:val="clear" w:color="auto" w:fill="BFE4FF"/>
          </w:tcPr>
          <w:p>
            <w:pPr>
              <w:jc w:val="right"/>
              <w:ind w:right="20"/>
              <w:spacing w:after="0"/>
              <w:rPr>
                <w:sz w:val="20"/>
                <w:szCs w:val="20"/>
                <w:color w:val="auto"/>
              </w:rPr>
            </w:pPr>
            <w:r>
              <w:rPr>
                <w:rFonts w:ascii="Times New Roman" w:cs="Times New Roman" w:eastAsia="Times New Roman" w:hAnsi="Times New Roman"/>
                <w:sz w:val="16"/>
                <w:szCs w:val="16"/>
                <w:color w:val="auto"/>
              </w:rPr>
              <w:t>59,835</w:t>
            </w:r>
          </w:p>
        </w:tc>
        <w:tc>
          <w:tcPr>
            <w:tcW w:w="1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BFE4FF"/>
            </w:tcBorders>
            <w:shd w:val="clear" w:color="auto" w:fill="BFE4FF"/>
          </w:tcPr>
          <w:p>
            <w:pPr>
              <w:jc w:val="right"/>
              <w:ind w:right="1"/>
              <w:spacing w:after="0"/>
              <w:rPr>
                <w:sz w:val="20"/>
                <w:szCs w:val="20"/>
                <w:color w:val="auto"/>
              </w:rPr>
            </w:pPr>
            <w:r>
              <w:rPr>
                <w:rFonts w:ascii="Times New Roman" w:cs="Times New Roman" w:eastAsia="Times New Roman" w:hAnsi="Times New Roman"/>
                <w:sz w:val="16"/>
                <w:szCs w:val="16"/>
                <w:color w:val="auto"/>
              </w:rPr>
              <w:t>1,152,328</w:t>
            </w: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BFE4FF"/>
            </w:tcBorders>
            <w:shd w:val="clear" w:color="auto" w:fill="BFE4FF"/>
          </w:tcPr>
          <w:p>
            <w:pPr>
              <w:jc w:val="right"/>
              <w:ind w:right="20"/>
              <w:spacing w:after="0"/>
              <w:rPr>
                <w:sz w:val="20"/>
                <w:szCs w:val="20"/>
                <w:color w:val="auto"/>
              </w:rPr>
            </w:pPr>
            <w:r>
              <w:rPr>
                <w:rFonts w:ascii="Times New Roman" w:cs="Times New Roman" w:eastAsia="Times New Roman" w:hAnsi="Times New Roman"/>
                <w:sz w:val="16"/>
                <w:szCs w:val="16"/>
                <w:color w:val="auto"/>
              </w:rPr>
              <w:t>392,437</w:t>
            </w: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w w:val="95"/>
              </w:rPr>
              <w:t>(592,129)</w:t>
            </w:r>
          </w:p>
        </w:tc>
        <w:tc>
          <w:tcPr>
            <w:tcW w:w="1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BFE4FF"/>
            </w:tcBorders>
            <w:shd w:val="clear" w:color="auto" w:fill="BFE4FF"/>
          </w:tcPr>
          <w:p>
            <w:pPr>
              <w:jc w:val="right"/>
              <w:ind w:right="60"/>
              <w:spacing w:after="0"/>
              <w:rPr>
                <w:sz w:val="20"/>
                <w:szCs w:val="20"/>
                <w:color w:val="auto"/>
              </w:rPr>
            </w:pPr>
            <w:r>
              <w:rPr>
                <w:rFonts w:ascii="Times New Roman" w:cs="Times New Roman" w:eastAsia="Times New Roman" w:hAnsi="Times New Roman"/>
                <w:sz w:val="16"/>
                <w:szCs w:val="16"/>
                <w:color w:val="auto"/>
              </w:rPr>
              <w:t>(680)</w:t>
            </w: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(15,431)</w:t>
            </w: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BFE4FF"/>
            </w:tcBorders>
            <w:shd w:val="clear" w:color="auto" w:fill="BFE4FF"/>
          </w:tcPr>
          <w:p>
            <w:pPr>
              <w:jc w:val="right"/>
              <w:ind w:right="21"/>
              <w:spacing w:after="0"/>
              <w:rPr>
                <w:sz w:val="20"/>
                <w:szCs w:val="20"/>
                <w:color w:val="auto"/>
              </w:rPr>
            </w:pPr>
            <w:r>
              <w:rPr>
                <w:rFonts w:ascii="Times New Roman" w:cs="Times New Roman" w:eastAsia="Times New Roman" w:hAnsi="Times New Roman"/>
                <w:sz w:val="16"/>
                <w:szCs w:val="16"/>
                <w:color w:val="auto"/>
              </w:rPr>
              <w:t>936,525</w:t>
            </w:r>
          </w:p>
        </w:tc>
        <w:tc>
          <w:tcPr>
            <w:tcW w:w="880" w:type="dxa"/>
            <w:vAlign w:val="bottom"/>
            <w:tcBorders>
              <w:bottom w:val="single" w:sz="8" w:color="BFE4FF"/>
            </w:tcBorders>
            <w:gridSpan w:val="2"/>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0.48%</w:t>
            </w:r>
          </w:p>
        </w:tc>
        <w:tc>
          <w:tcPr>
            <w:tcW w:w="0" w:type="dxa"/>
            <w:vAlign w:val="bottom"/>
          </w:tcPr>
          <w:p>
            <w:pPr>
              <w:spacing w:after="0"/>
              <w:rPr>
                <w:sz w:val="1"/>
                <w:szCs w:val="1"/>
                <w:color w:val="auto"/>
              </w:rPr>
            </w:pPr>
          </w:p>
        </w:tc>
      </w:tr>
      <w:tr>
        <w:trPr>
          <w:trHeight w:val="237"/>
        </w:trPr>
        <w:tc>
          <w:tcPr>
            <w:tcW w:w="288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BFE4FF"/>
            </w:tcBorders>
            <w:shd w:val="clear" w:color="auto" w:fill="BFE4FF"/>
          </w:tcPr>
          <w:p>
            <w:pPr>
              <w:spacing w:after="0"/>
              <w:rPr>
                <w:sz w:val="21"/>
                <w:szCs w:val="21"/>
                <w:color w:val="auto"/>
              </w:rPr>
            </w:pPr>
          </w:p>
        </w:tc>
        <w:tc>
          <w:tcPr>
            <w:tcW w:w="2840" w:type="dxa"/>
            <w:vAlign w:val="bottom"/>
            <w:tcBorders>
              <w:bottom w:val="single" w:sz="8" w:color="BFE4FF"/>
            </w:tcBorders>
            <w:gridSpan w:val="3"/>
            <w:shd w:val="clear" w:color="auto" w:fill="BFE4FF"/>
          </w:tcPr>
          <w:p>
            <w:pPr>
              <w:ind w:left="140"/>
              <w:spacing w:after="0"/>
              <w:rPr>
                <w:sz w:val="20"/>
                <w:szCs w:val="20"/>
                <w:color w:val="auto"/>
              </w:rPr>
            </w:pPr>
            <w:r>
              <w:rPr>
                <w:rFonts w:ascii="Times New Roman" w:cs="Times New Roman" w:eastAsia="Times New Roman" w:hAnsi="Times New Roman"/>
                <w:sz w:val="16"/>
                <w:szCs w:val="16"/>
                <w:i w:val="1"/>
                <w:iCs w:val="1"/>
                <w:color w:val="auto"/>
              </w:rPr>
              <w:t>Clean Technology</w:t>
            </w:r>
          </w:p>
        </w:tc>
        <w:tc>
          <w:tcPr>
            <w:tcW w:w="100" w:type="dxa"/>
            <w:vAlign w:val="bottom"/>
            <w:tcBorders>
              <w:bottom w:val="single" w:sz="8" w:color="BFE4FF"/>
            </w:tcBorders>
            <w:shd w:val="clear" w:color="auto" w:fill="BFE4FF"/>
          </w:tcPr>
          <w:p>
            <w:pPr>
              <w:spacing w:after="0"/>
              <w:rPr>
                <w:sz w:val="21"/>
                <w:szCs w:val="21"/>
                <w:color w:val="auto"/>
              </w:rPr>
            </w:pPr>
          </w:p>
        </w:tc>
        <w:tc>
          <w:tcPr>
            <w:tcW w:w="7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6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78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68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80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8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84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SPBRX, INC. (f/k/a GSV</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84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Sustainability Partners, Inc.)–</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84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Preferred shares, Class A***</w:t>
            </w:r>
            <w:r>
              <w:rPr>
                <w:rFonts w:ascii="Times New Roman" w:cs="Times New Roman" w:eastAsia="Times New Roman" w:hAnsi="Times New Roman"/>
                <w:sz w:val="21"/>
                <w:szCs w:val="21"/>
                <w:color w:val="auto"/>
                <w:vertAlign w:val="superscript"/>
              </w:rPr>
              <w:t>(12)</w:t>
            </w: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14,300,000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625,000</w:t>
            </w:r>
          </w:p>
        </w:tc>
        <w:tc>
          <w:tcPr>
            <w:tcW w:w="120" w:type="dxa"/>
            <w:vAlign w:val="bottom"/>
          </w:tcPr>
          <w:p>
            <w:pPr>
              <w:spacing w:after="0"/>
              <w:rPr>
                <w:sz w:val="21"/>
                <w:szCs w:val="21"/>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1,069,862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(319,664)</w:t>
            </w:r>
          </w:p>
        </w:tc>
        <w:tc>
          <w:tcPr>
            <w:tcW w:w="100" w:type="dxa"/>
            <w:vAlign w:val="bottom"/>
          </w:tcPr>
          <w:p>
            <w:pPr>
              <w:spacing w:after="0"/>
              <w:rPr>
                <w:sz w:val="21"/>
                <w:szCs w:val="21"/>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750,198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0.38%</w:t>
            </w:r>
          </w:p>
        </w:tc>
        <w:tc>
          <w:tcPr>
            <w:tcW w:w="0" w:type="dxa"/>
            <w:vAlign w:val="bottom"/>
          </w:tcPr>
          <w:p>
            <w:pPr>
              <w:spacing w:after="0"/>
              <w:rPr>
                <w:sz w:val="1"/>
                <w:szCs w:val="1"/>
                <w:color w:val="auto"/>
              </w:rPr>
            </w:pPr>
          </w:p>
        </w:tc>
      </w:tr>
      <w:tr>
        <w:trPr>
          <w:trHeight w:val="250"/>
        </w:trPr>
        <w:tc>
          <w:tcPr>
            <w:tcW w:w="40" w:type="dxa"/>
            <w:vAlign w:val="bottom"/>
            <w:tcBorders>
              <w:bottom w:val="single" w:sz="8" w:color="BFE4FF"/>
            </w:tcBorders>
            <w:shd w:val="clear" w:color="auto" w:fill="BFE4FF"/>
          </w:tcPr>
          <w:p>
            <w:pPr>
              <w:spacing w:after="0"/>
              <w:rPr>
                <w:sz w:val="21"/>
                <w:szCs w:val="21"/>
                <w:color w:val="auto"/>
              </w:rPr>
            </w:pPr>
          </w:p>
        </w:tc>
        <w:tc>
          <w:tcPr>
            <w:tcW w:w="2840" w:type="dxa"/>
            <w:vAlign w:val="bottom"/>
            <w:tcBorders>
              <w:bottom w:val="single" w:sz="8" w:color="BFE4FF"/>
            </w:tcBorders>
            <w:gridSpan w:val="3"/>
            <w:shd w:val="clear" w:color="auto" w:fill="BFE4FF"/>
          </w:tcPr>
          <w:p>
            <w:pPr>
              <w:ind w:left="140"/>
              <w:spacing w:after="0"/>
              <w:rPr>
                <w:sz w:val="20"/>
                <w:szCs w:val="20"/>
                <w:color w:val="auto"/>
              </w:rPr>
            </w:pPr>
            <w:r>
              <w:rPr>
                <w:rFonts w:ascii="Times New Roman" w:cs="Times New Roman" w:eastAsia="Times New Roman" w:hAnsi="Times New Roman"/>
                <w:sz w:val="16"/>
                <w:szCs w:val="16"/>
                <w:i w:val="1"/>
                <w:iCs w:val="1"/>
                <w:color w:val="auto"/>
              </w:rPr>
              <w:t>Global Innovation Platform</w:t>
            </w:r>
          </w:p>
        </w:tc>
        <w:tc>
          <w:tcPr>
            <w:tcW w:w="100" w:type="dxa"/>
            <w:vAlign w:val="bottom"/>
            <w:tcBorders>
              <w:bottom w:val="single" w:sz="8" w:color="BFE4FF"/>
            </w:tcBorders>
            <w:shd w:val="clear" w:color="auto" w:fill="BFE4FF"/>
          </w:tcPr>
          <w:p>
            <w:pPr>
              <w:spacing w:after="0"/>
              <w:rPr>
                <w:sz w:val="21"/>
                <w:szCs w:val="21"/>
                <w:color w:val="auto"/>
              </w:rPr>
            </w:pPr>
          </w:p>
        </w:tc>
        <w:tc>
          <w:tcPr>
            <w:tcW w:w="7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6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78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68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80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8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84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NestGSV, Inc. (d/b/a GSV Labs,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84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Inc.)–Preferred stock Series A-4</w:t>
            </w:r>
          </w:p>
        </w:tc>
        <w:tc>
          <w:tcPr>
            <w:tcW w:w="82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3,720,424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5,390,842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(430,289)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4,960,553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shd w:val="clear" w:color="auto" w:fill="BFE4FF"/>
          </w:tcPr>
          <w:p>
            <w:pPr>
              <w:spacing w:after="0"/>
              <w:rPr>
                <w:sz w:val="18"/>
                <w:szCs w:val="18"/>
                <w:color w:val="auto"/>
              </w:rPr>
            </w:pPr>
          </w:p>
        </w:tc>
        <w:tc>
          <w:tcPr>
            <w:tcW w:w="2840" w:type="dxa"/>
            <w:vAlign w:val="bottom"/>
            <w:gridSpan w:val="3"/>
            <w:shd w:val="clear" w:color="auto" w:fill="BFE4FF"/>
          </w:tcPr>
          <w:p>
            <w:pPr>
              <w:ind w:left="240"/>
              <w:spacing w:after="0"/>
              <w:rPr>
                <w:sz w:val="20"/>
                <w:szCs w:val="20"/>
                <w:color w:val="auto"/>
              </w:rPr>
            </w:pPr>
            <w:r>
              <w:rPr>
                <w:rFonts w:ascii="Times New Roman" w:cs="Times New Roman" w:eastAsia="Times New Roman" w:hAnsi="Times New Roman"/>
                <w:sz w:val="16"/>
                <w:szCs w:val="16"/>
                <w:color w:val="auto"/>
              </w:rPr>
              <w:t>NestGSV, Inc. (d/b/a GSV Labs,</w:t>
            </w:r>
          </w:p>
        </w:tc>
        <w:tc>
          <w:tcPr>
            <w:tcW w:w="100" w:type="dxa"/>
            <w:vAlign w:val="bottom"/>
            <w:shd w:val="clear" w:color="auto" w:fill="BFE4FF"/>
          </w:tcPr>
          <w:p>
            <w:pPr>
              <w:spacing w:after="0"/>
              <w:rPr>
                <w:sz w:val="18"/>
                <w:szCs w:val="18"/>
                <w:color w:val="auto"/>
              </w:rPr>
            </w:pPr>
          </w:p>
        </w:tc>
        <w:tc>
          <w:tcPr>
            <w:tcW w:w="72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66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76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78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68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140" w:type="dxa"/>
            <w:vAlign w:val="bottom"/>
            <w:shd w:val="clear" w:color="auto" w:fill="BFE4FF"/>
          </w:tcPr>
          <w:p>
            <w:pPr>
              <w:spacing w:after="0"/>
              <w:rPr>
                <w:sz w:val="18"/>
                <w:szCs w:val="18"/>
                <w:color w:val="auto"/>
              </w:rPr>
            </w:pPr>
          </w:p>
        </w:tc>
        <w:tc>
          <w:tcPr>
            <w:tcW w:w="80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82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76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760" w:type="dxa"/>
            <w:vAlign w:val="bottom"/>
            <w:shd w:val="clear" w:color="auto" w:fill="BFE4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BFE4FF"/>
            </w:tcBorders>
            <w:shd w:val="clear" w:color="auto" w:fill="BFE4FF"/>
          </w:tcPr>
          <w:p>
            <w:pPr>
              <w:spacing w:after="0"/>
              <w:rPr>
                <w:sz w:val="19"/>
                <w:szCs w:val="19"/>
                <w:color w:val="auto"/>
              </w:rPr>
            </w:pPr>
          </w:p>
        </w:tc>
        <w:tc>
          <w:tcPr>
            <w:tcW w:w="2840" w:type="dxa"/>
            <w:vAlign w:val="bottom"/>
            <w:tcBorders>
              <w:bottom w:val="single" w:sz="8" w:color="BFE4FF"/>
            </w:tcBorders>
            <w:gridSpan w:val="3"/>
            <w:shd w:val="clear" w:color="auto" w:fill="BFE4FF"/>
          </w:tcPr>
          <w:p>
            <w:pPr>
              <w:ind w:left="240"/>
              <w:spacing w:after="0"/>
              <w:rPr>
                <w:sz w:val="20"/>
                <w:szCs w:val="20"/>
                <w:color w:val="auto"/>
              </w:rPr>
            </w:pPr>
            <w:r>
              <w:rPr>
                <w:rFonts w:ascii="Times New Roman" w:cs="Times New Roman" w:eastAsia="Times New Roman" w:hAnsi="Times New Roman"/>
                <w:sz w:val="16"/>
                <w:szCs w:val="16"/>
                <w:color w:val="auto"/>
              </w:rPr>
              <w:t>Inc.)–Preferred stock Series A-3</w:t>
            </w:r>
          </w:p>
        </w:tc>
        <w:tc>
          <w:tcPr>
            <w:tcW w:w="820" w:type="dxa"/>
            <w:vAlign w:val="bottom"/>
            <w:tcBorders>
              <w:bottom w:val="single" w:sz="8" w:color="BFE4FF"/>
            </w:tcBorders>
            <w:gridSpan w:val="2"/>
            <w:shd w:val="clear" w:color="auto" w:fill="BFE4FF"/>
          </w:tcPr>
          <w:p>
            <w:pPr>
              <w:jc w:val="right"/>
              <w:ind w:right="2"/>
              <w:spacing w:after="0"/>
              <w:rPr>
                <w:sz w:val="20"/>
                <w:szCs w:val="20"/>
                <w:color w:val="auto"/>
              </w:rPr>
            </w:pPr>
            <w:r>
              <w:rPr>
                <w:rFonts w:ascii="Times New Roman" w:cs="Times New Roman" w:eastAsia="Times New Roman" w:hAnsi="Times New Roman"/>
                <w:sz w:val="16"/>
                <w:szCs w:val="16"/>
                <w:color w:val="auto"/>
              </w:rPr>
              <w:t>1,561,625</w:t>
            </w:r>
          </w:p>
        </w:tc>
        <w:tc>
          <w:tcPr>
            <w:tcW w:w="100" w:type="dxa"/>
            <w:vAlign w:val="bottom"/>
            <w:tcBorders>
              <w:bottom w:val="single" w:sz="8" w:color="BFE4FF"/>
            </w:tcBorders>
            <w:shd w:val="clear" w:color="auto" w:fill="BFE4FF"/>
          </w:tcPr>
          <w:p>
            <w:pPr>
              <w:spacing w:after="0"/>
              <w:rPr>
                <w:sz w:val="19"/>
                <w:szCs w:val="19"/>
                <w:color w:val="auto"/>
              </w:rPr>
            </w:pPr>
          </w:p>
        </w:tc>
        <w:tc>
          <w:tcPr>
            <w:tcW w:w="120" w:type="dxa"/>
            <w:vAlign w:val="bottom"/>
            <w:tcBorders>
              <w:bottom w:val="single" w:sz="8" w:color="BFE4FF"/>
            </w:tcBorders>
            <w:shd w:val="clear" w:color="auto" w:fill="BFE4FF"/>
          </w:tcPr>
          <w:p>
            <w:pPr>
              <w:spacing w:after="0"/>
              <w:rPr>
                <w:sz w:val="19"/>
                <w:szCs w:val="19"/>
                <w:color w:val="auto"/>
              </w:rPr>
            </w:pPr>
          </w:p>
        </w:tc>
        <w:tc>
          <w:tcPr>
            <w:tcW w:w="78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BFE4FF"/>
            </w:tcBorders>
            <w:shd w:val="clear" w:color="auto" w:fill="BFE4FF"/>
          </w:tcPr>
          <w:p>
            <w:pPr>
              <w:spacing w:after="0"/>
              <w:rPr>
                <w:sz w:val="19"/>
                <w:szCs w:val="19"/>
                <w:color w:val="auto"/>
              </w:rPr>
            </w:pPr>
          </w:p>
        </w:tc>
        <w:tc>
          <w:tcPr>
            <w:tcW w:w="760" w:type="dxa"/>
            <w:vAlign w:val="bottom"/>
            <w:tcBorders>
              <w:bottom w:val="single" w:sz="8" w:color="BFE4FF"/>
            </w:tcBorders>
            <w:shd w:val="clear" w:color="auto" w:fill="BFE4FF"/>
          </w:tcPr>
          <w:p>
            <w:pPr>
              <w:jc w:val="right"/>
              <w:ind w:right="1"/>
              <w:spacing w:after="0"/>
              <w:rPr>
                <w:sz w:val="20"/>
                <w:szCs w:val="20"/>
                <w:color w:val="auto"/>
              </w:rPr>
            </w:pPr>
            <w:r>
              <w:rPr>
                <w:rFonts w:ascii="Times New Roman" w:cs="Times New Roman" w:eastAsia="Times New Roman" w:hAnsi="Times New Roman"/>
                <w:sz w:val="16"/>
                <w:szCs w:val="16"/>
                <w:color w:val="auto"/>
              </w:rPr>
              <w:t>1,885,644</w:t>
            </w:r>
          </w:p>
        </w:tc>
        <w:tc>
          <w:tcPr>
            <w:tcW w:w="100" w:type="dxa"/>
            <w:vAlign w:val="bottom"/>
            <w:tcBorders>
              <w:bottom w:val="single" w:sz="8" w:color="BFE4FF"/>
            </w:tcBorders>
            <w:shd w:val="clear" w:color="auto" w:fill="BFE4FF"/>
          </w:tcPr>
          <w:p>
            <w:pPr>
              <w:spacing w:after="0"/>
              <w:rPr>
                <w:sz w:val="19"/>
                <w:szCs w:val="19"/>
                <w:color w:val="auto"/>
              </w:rPr>
            </w:pPr>
          </w:p>
        </w:tc>
        <w:tc>
          <w:tcPr>
            <w:tcW w:w="120" w:type="dxa"/>
            <w:vAlign w:val="bottom"/>
            <w:tcBorders>
              <w:bottom w:val="single" w:sz="8" w:color="BFE4FF"/>
            </w:tcBorders>
            <w:shd w:val="clear" w:color="auto" w:fill="BFE4FF"/>
          </w:tcPr>
          <w:p>
            <w:pPr>
              <w:spacing w:after="0"/>
              <w:rPr>
                <w:sz w:val="19"/>
                <w:szCs w:val="19"/>
                <w:color w:val="auto"/>
              </w:rPr>
            </w:pPr>
          </w:p>
        </w:tc>
        <w:tc>
          <w:tcPr>
            <w:tcW w:w="88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BFE4FF"/>
            </w:tcBorders>
            <w:shd w:val="clear" w:color="auto" w:fill="BFE4FF"/>
          </w:tcPr>
          <w:p>
            <w:pPr>
              <w:spacing w:after="0"/>
              <w:rPr>
                <w:sz w:val="19"/>
                <w:szCs w:val="19"/>
                <w:color w:val="auto"/>
              </w:rPr>
            </w:pPr>
          </w:p>
        </w:tc>
        <w:tc>
          <w:tcPr>
            <w:tcW w:w="80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BFE4FF"/>
            </w:tcBorders>
            <w:shd w:val="clear" w:color="auto" w:fill="BFE4FF"/>
          </w:tcPr>
          <w:p>
            <w:pPr>
              <w:spacing w:after="0"/>
              <w:rPr>
                <w:sz w:val="19"/>
                <w:szCs w:val="19"/>
                <w:color w:val="auto"/>
              </w:rPr>
            </w:pPr>
          </w:p>
        </w:tc>
        <w:tc>
          <w:tcPr>
            <w:tcW w:w="900" w:type="dxa"/>
            <w:vAlign w:val="bottom"/>
            <w:tcBorders>
              <w:bottom w:val="single" w:sz="8" w:color="BFE4FF"/>
            </w:tcBorders>
            <w:gridSpan w:val="2"/>
            <w:shd w:val="clear" w:color="auto" w:fill="BFE4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BFE4FF"/>
            </w:tcBorders>
            <w:shd w:val="clear" w:color="auto" w:fill="BFE4FF"/>
          </w:tcPr>
          <w:p>
            <w:pPr>
              <w:spacing w:after="0"/>
              <w:rPr>
                <w:sz w:val="19"/>
                <w:szCs w:val="19"/>
                <w:color w:val="auto"/>
              </w:rPr>
            </w:pPr>
          </w:p>
        </w:tc>
        <w:tc>
          <w:tcPr>
            <w:tcW w:w="82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(150,510)</w:t>
            </w:r>
          </w:p>
        </w:tc>
        <w:tc>
          <w:tcPr>
            <w:tcW w:w="100" w:type="dxa"/>
            <w:vAlign w:val="bottom"/>
            <w:tcBorders>
              <w:bottom w:val="single" w:sz="8" w:color="BFE4FF"/>
            </w:tcBorders>
            <w:shd w:val="clear" w:color="auto" w:fill="BFE4FF"/>
          </w:tcPr>
          <w:p>
            <w:pPr>
              <w:spacing w:after="0"/>
              <w:rPr>
                <w:sz w:val="19"/>
                <w:szCs w:val="19"/>
                <w:color w:val="auto"/>
              </w:rPr>
            </w:pPr>
          </w:p>
        </w:tc>
        <w:tc>
          <w:tcPr>
            <w:tcW w:w="120" w:type="dxa"/>
            <w:vAlign w:val="bottom"/>
            <w:tcBorders>
              <w:bottom w:val="single" w:sz="8" w:color="BFE4FF"/>
            </w:tcBorders>
            <w:shd w:val="clear" w:color="auto" w:fill="BFE4FF"/>
          </w:tcPr>
          <w:p>
            <w:pPr>
              <w:spacing w:after="0"/>
              <w:rPr>
                <w:sz w:val="19"/>
                <w:szCs w:val="19"/>
                <w:color w:val="auto"/>
              </w:rPr>
            </w:pPr>
          </w:p>
        </w:tc>
        <w:tc>
          <w:tcPr>
            <w:tcW w:w="760" w:type="dxa"/>
            <w:vAlign w:val="bottom"/>
            <w:tcBorders>
              <w:bottom w:val="single" w:sz="8" w:color="BFE4FF"/>
            </w:tcBorders>
            <w:shd w:val="clear" w:color="auto" w:fill="BFE4FF"/>
          </w:tcPr>
          <w:p>
            <w:pPr>
              <w:jc w:val="right"/>
              <w:ind w:right="21"/>
              <w:spacing w:after="0"/>
              <w:rPr>
                <w:sz w:val="20"/>
                <w:szCs w:val="20"/>
                <w:color w:val="auto"/>
              </w:rPr>
            </w:pPr>
            <w:r>
              <w:rPr>
                <w:rFonts w:ascii="Times New Roman" w:cs="Times New Roman" w:eastAsia="Times New Roman" w:hAnsi="Times New Roman"/>
                <w:sz w:val="16"/>
                <w:szCs w:val="16"/>
                <w:color w:val="auto"/>
                <w:w w:val="99"/>
              </w:rPr>
              <w:t>1,735,134</w:t>
            </w:r>
          </w:p>
        </w:tc>
        <w:tc>
          <w:tcPr>
            <w:tcW w:w="880" w:type="dxa"/>
            <w:vAlign w:val="bottom"/>
            <w:tcBorders>
              <w:bottom w:val="single" w:sz="8" w:color="BFE4FF"/>
            </w:tcBorders>
            <w:gridSpan w:val="2"/>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0.89%</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84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NestGSV, Inc. (d/b/a GSV Labs,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84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Inc.)–Preferred stock Series A-2</w:t>
            </w:r>
          </w:p>
        </w:tc>
        <w:tc>
          <w:tcPr>
            <w:tcW w:w="100" w:type="dxa"/>
            <w:vAlign w:val="bottom"/>
          </w:tcPr>
          <w:p>
            <w:pPr>
              <w:spacing w:after="0"/>
              <w:rPr>
                <w:sz w:val="18"/>
                <w:szCs w:val="18"/>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450,001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326,022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300,000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shd w:val="clear" w:color="auto" w:fill="BFE4FF"/>
          </w:tcPr>
          <w:p>
            <w:pPr>
              <w:spacing w:after="0"/>
              <w:rPr>
                <w:sz w:val="18"/>
                <w:szCs w:val="18"/>
                <w:color w:val="auto"/>
              </w:rPr>
            </w:pPr>
          </w:p>
        </w:tc>
        <w:tc>
          <w:tcPr>
            <w:tcW w:w="2840" w:type="dxa"/>
            <w:vAlign w:val="bottom"/>
            <w:gridSpan w:val="3"/>
            <w:shd w:val="clear" w:color="auto" w:fill="BFE4FF"/>
          </w:tcPr>
          <w:p>
            <w:pPr>
              <w:ind w:left="240"/>
              <w:spacing w:after="0"/>
              <w:rPr>
                <w:sz w:val="20"/>
                <w:szCs w:val="20"/>
                <w:color w:val="auto"/>
              </w:rPr>
            </w:pPr>
            <w:r>
              <w:rPr>
                <w:rFonts w:ascii="Times New Roman" w:cs="Times New Roman" w:eastAsia="Times New Roman" w:hAnsi="Times New Roman"/>
                <w:sz w:val="16"/>
                <w:szCs w:val="16"/>
                <w:color w:val="auto"/>
              </w:rPr>
              <w:t>NestGSV, Inc. (d/b/a GSV Labs,</w:t>
            </w:r>
          </w:p>
        </w:tc>
        <w:tc>
          <w:tcPr>
            <w:tcW w:w="100" w:type="dxa"/>
            <w:vAlign w:val="bottom"/>
            <w:shd w:val="clear" w:color="auto" w:fill="BFE4FF"/>
          </w:tcPr>
          <w:p>
            <w:pPr>
              <w:spacing w:after="0"/>
              <w:rPr>
                <w:sz w:val="18"/>
                <w:szCs w:val="18"/>
                <w:color w:val="auto"/>
              </w:rPr>
            </w:pPr>
          </w:p>
        </w:tc>
        <w:tc>
          <w:tcPr>
            <w:tcW w:w="72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66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76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78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68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140" w:type="dxa"/>
            <w:vAlign w:val="bottom"/>
            <w:shd w:val="clear" w:color="auto" w:fill="BFE4FF"/>
          </w:tcPr>
          <w:p>
            <w:pPr>
              <w:spacing w:after="0"/>
              <w:rPr>
                <w:sz w:val="18"/>
                <w:szCs w:val="18"/>
                <w:color w:val="auto"/>
              </w:rPr>
            </w:pPr>
          </w:p>
        </w:tc>
        <w:tc>
          <w:tcPr>
            <w:tcW w:w="80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82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76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760" w:type="dxa"/>
            <w:vAlign w:val="bottom"/>
            <w:shd w:val="clear" w:color="auto" w:fill="BFE4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BFE4FF"/>
            </w:tcBorders>
            <w:shd w:val="clear" w:color="auto" w:fill="BFE4FF"/>
          </w:tcPr>
          <w:p>
            <w:pPr>
              <w:spacing w:after="0"/>
              <w:rPr>
                <w:sz w:val="21"/>
                <w:szCs w:val="21"/>
                <w:color w:val="auto"/>
              </w:rPr>
            </w:pPr>
          </w:p>
        </w:tc>
        <w:tc>
          <w:tcPr>
            <w:tcW w:w="2840" w:type="dxa"/>
            <w:vAlign w:val="bottom"/>
            <w:tcBorders>
              <w:bottom w:val="single" w:sz="8" w:color="BFE4FF"/>
            </w:tcBorders>
            <w:gridSpan w:val="3"/>
            <w:shd w:val="clear" w:color="auto" w:fill="BFE4FF"/>
          </w:tcPr>
          <w:p>
            <w:pPr>
              <w:ind w:left="240"/>
              <w:spacing w:after="0"/>
              <w:rPr>
                <w:sz w:val="20"/>
                <w:szCs w:val="20"/>
                <w:color w:val="auto"/>
              </w:rPr>
            </w:pPr>
            <w:r>
              <w:rPr>
                <w:rFonts w:ascii="Times New Roman" w:cs="Times New Roman" w:eastAsia="Times New Roman" w:hAnsi="Times New Roman"/>
                <w:sz w:val="16"/>
                <w:szCs w:val="16"/>
                <w:color w:val="auto"/>
              </w:rPr>
              <w:t>Inc.)–Preferred stock Series A-1</w:t>
            </w:r>
          </w:p>
        </w:tc>
        <w:tc>
          <w:tcPr>
            <w:tcW w:w="820" w:type="dxa"/>
            <w:vAlign w:val="bottom"/>
            <w:tcBorders>
              <w:bottom w:val="single" w:sz="8" w:color="BFE4FF"/>
            </w:tcBorders>
            <w:gridSpan w:val="2"/>
            <w:shd w:val="clear" w:color="auto" w:fill="BFE4FF"/>
          </w:tcPr>
          <w:p>
            <w:pPr>
              <w:jc w:val="right"/>
              <w:ind w:right="2"/>
              <w:spacing w:after="0"/>
              <w:rPr>
                <w:sz w:val="20"/>
                <w:szCs w:val="20"/>
                <w:color w:val="auto"/>
              </w:rPr>
            </w:pPr>
            <w:r>
              <w:rPr>
                <w:rFonts w:ascii="Times New Roman" w:cs="Times New Roman" w:eastAsia="Times New Roman" w:hAnsi="Times New Roman"/>
                <w:sz w:val="16"/>
                <w:szCs w:val="16"/>
                <w:color w:val="auto"/>
              </w:rPr>
              <w:t>1,000,000</w:t>
            </w: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78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jc w:val="right"/>
              <w:ind w:right="1"/>
              <w:spacing w:after="0"/>
              <w:rPr>
                <w:sz w:val="20"/>
                <w:szCs w:val="20"/>
                <w:color w:val="auto"/>
              </w:rPr>
            </w:pPr>
            <w:r>
              <w:rPr>
                <w:rFonts w:ascii="Times New Roman" w:cs="Times New Roman" w:eastAsia="Times New Roman" w:hAnsi="Times New Roman"/>
                <w:sz w:val="16"/>
                <w:szCs w:val="16"/>
                <w:color w:val="auto"/>
              </w:rPr>
              <w:t>543,370</w:t>
            </w: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88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BFE4FF"/>
            </w:tcBorders>
            <w:shd w:val="clear" w:color="auto" w:fill="BFE4FF"/>
          </w:tcPr>
          <w:p>
            <w:pPr>
              <w:spacing w:after="0"/>
              <w:rPr>
                <w:sz w:val="21"/>
                <w:szCs w:val="21"/>
                <w:color w:val="auto"/>
              </w:rPr>
            </w:pPr>
          </w:p>
        </w:tc>
        <w:tc>
          <w:tcPr>
            <w:tcW w:w="80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BFE4FF"/>
            </w:tcBorders>
            <w:shd w:val="clear" w:color="auto" w:fill="BFE4FF"/>
          </w:tcPr>
          <w:p>
            <w:pPr>
              <w:spacing w:after="0"/>
              <w:rPr>
                <w:sz w:val="21"/>
                <w:szCs w:val="21"/>
                <w:color w:val="auto"/>
              </w:rPr>
            </w:pPr>
          </w:p>
        </w:tc>
        <w:tc>
          <w:tcPr>
            <w:tcW w:w="900" w:type="dxa"/>
            <w:vAlign w:val="bottom"/>
            <w:tcBorders>
              <w:bottom w:val="single" w:sz="8" w:color="BFE4FF"/>
            </w:tcBorders>
            <w:gridSpan w:val="2"/>
            <w:shd w:val="clear" w:color="auto" w:fill="BFE4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BFE4FF"/>
            </w:tcBorders>
            <w:shd w:val="clear" w:color="auto" w:fill="BFE4FF"/>
          </w:tcPr>
          <w:p>
            <w:pPr>
              <w:spacing w:after="0"/>
              <w:rPr>
                <w:sz w:val="21"/>
                <w:szCs w:val="21"/>
                <w:color w:val="auto"/>
              </w:rPr>
            </w:pPr>
          </w:p>
        </w:tc>
        <w:tc>
          <w:tcPr>
            <w:tcW w:w="82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(43,371)</w:t>
            </w: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jc w:val="right"/>
              <w:ind w:right="21"/>
              <w:spacing w:after="0"/>
              <w:rPr>
                <w:sz w:val="20"/>
                <w:szCs w:val="20"/>
                <w:color w:val="auto"/>
              </w:rPr>
            </w:pPr>
            <w:r>
              <w:rPr>
                <w:rFonts w:ascii="Times New Roman" w:cs="Times New Roman" w:eastAsia="Times New Roman" w:hAnsi="Times New Roman"/>
                <w:sz w:val="16"/>
                <w:szCs w:val="16"/>
                <w:color w:val="auto"/>
              </w:rPr>
              <w:t>499,999</w:t>
            </w:r>
          </w:p>
        </w:tc>
        <w:tc>
          <w:tcPr>
            <w:tcW w:w="880" w:type="dxa"/>
            <w:vAlign w:val="bottom"/>
            <w:tcBorders>
              <w:bottom w:val="single" w:sz="8" w:color="BFE4FF"/>
            </w:tcBorders>
            <w:gridSpan w:val="2"/>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2840" w:type="dxa"/>
            <w:vAlign w:val="bottom"/>
            <w:gridSpan w:val="3"/>
          </w:tcPr>
          <w:p>
            <w:pPr>
              <w:ind w:left="140"/>
              <w:spacing w:after="0"/>
              <w:rPr>
                <w:sz w:val="20"/>
                <w:szCs w:val="20"/>
                <w:color w:val="auto"/>
              </w:rPr>
            </w:pPr>
            <w:r>
              <w:rPr>
                <w:rFonts w:ascii="Times New Roman" w:cs="Times New Roman" w:eastAsia="Times New Roman" w:hAnsi="Times New Roman"/>
                <w:sz w:val="16"/>
                <w:szCs w:val="16"/>
                <w:i w:val="1"/>
                <w:iCs w:val="1"/>
                <w:color w:val="auto"/>
              </w:rPr>
              <w:t>Total Global Innovation Platform</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8,145,878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(650,192)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7,495,686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BFE4FF"/>
            </w:tcBorders>
            <w:shd w:val="clear" w:color="auto" w:fill="BFE4FF"/>
          </w:tcPr>
          <w:p>
            <w:pPr>
              <w:spacing w:after="0"/>
              <w:rPr>
                <w:sz w:val="21"/>
                <w:szCs w:val="21"/>
                <w:color w:val="auto"/>
              </w:rPr>
            </w:pPr>
          </w:p>
        </w:tc>
        <w:tc>
          <w:tcPr>
            <w:tcW w:w="2840" w:type="dxa"/>
            <w:vAlign w:val="bottom"/>
            <w:tcBorders>
              <w:bottom w:val="single" w:sz="8" w:color="BFE4FF"/>
            </w:tcBorders>
            <w:gridSpan w:val="3"/>
            <w:shd w:val="clear" w:color="auto" w:fill="BFE4FF"/>
          </w:tcPr>
          <w:p>
            <w:pPr>
              <w:ind w:left="140"/>
              <w:spacing w:after="0"/>
              <w:rPr>
                <w:sz w:val="20"/>
                <w:szCs w:val="20"/>
                <w:color w:val="auto"/>
              </w:rPr>
            </w:pPr>
            <w:r>
              <w:rPr>
                <w:rFonts w:ascii="Times New Roman" w:cs="Times New Roman" w:eastAsia="Times New Roman" w:hAnsi="Times New Roman"/>
                <w:sz w:val="16"/>
                <w:szCs w:val="16"/>
                <w:i w:val="1"/>
                <w:iCs w:val="1"/>
                <w:color w:val="auto"/>
              </w:rPr>
              <w:t>Interactive Learning</w:t>
            </w:r>
          </w:p>
        </w:tc>
        <w:tc>
          <w:tcPr>
            <w:tcW w:w="100" w:type="dxa"/>
            <w:vAlign w:val="bottom"/>
            <w:tcBorders>
              <w:bottom w:val="single" w:sz="8" w:color="BFE4FF"/>
            </w:tcBorders>
            <w:shd w:val="clear" w:color="auto" w:fill="BFE4FF"/>
          </w:tcPr>
          <w:p>
            <w:pPr>
              <w:spacing w:after="0"/>
              <w:rPr>
                <w:sz w:val="21"/>
                <w:szCs w:val="21"/>
                <w:color w:val="auto"/>
              </w:rPr>
            </w:pPr>
          </w:p>
        </w:tc>
        <w:tc>
          <w:tcPr>
            <w:tcW w:w="7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6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78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68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80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8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84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StormWind, LLC–Preferred shares,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84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Series C 8%</w:t>
            </w:r>
            <w:r>
              <w:rPr>
                <w:rFonts w:ascii="Times New Roman" w:cs="Times New Roman" w:eastAsia="Times New Roman" w:hAnsi="Times New Roman"/>
                <w:sz w:val="21"/>
                <w:szCs w:val="21"/>
                <w:color w:val="auto"/>
                <w:vertAlign w:val="superscript"/>
              </w:rPr>
              <w:t>(3)</w:t>
            </w:r>
          </w:p>
        </w:tc>
        <w:tc>
          <w:tcPr>
            <w:tcW w:w="82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2,779,134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7,223,904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7,194,971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0" w:type="dxa"/>
            <w:vAlign w:val="bottom"/>
          </w:tcPr>
          <w:p>
            <w:pPr>
              <w:spacing w:after="0"/>
              <w:rPr>
                <w:sz w:val="1"/>
                <w:szCs w:val="1"/>
                <w:color w:val="auto"/>
              </w:rPr>
            </w:pPr>
          </w:p>
        </w:tc>
      </w:tr>
      <w:tr>
        <w:trPr>
          <w:trHeight w:val="216"/>
        </w:trPr>
        <w:tc>
          <w:tcPr>
            <w:tcW w:w="40" w:type="dxa"/>
            <w:vAlign w:val="bottom"/>
            <w:shd w:val="clear" w:color="auto" w:fill="BFE4FF"/>
          </w:tcPr>
          <w:p>
            <w:pPr>
              <w:spacing w:after="0"/>
              <w:rPr>
                <w:sz w:val="18"/>
                <w:szCs w:val="18"/>
                <w:color w:val="auto"/>
              </w:rPr>
            </w:pPr>
          </w:p>
        </w:tc>
        <w:tc>
          <w:tcPr>
            <w:tcW w:w="2840" w:type="dxa"/>
            <w:vAlign w:val="bottom"/>
            <w:gridSpan w:val="3"/>
            <w:shd w:val="clear" w:color="auto" w:fill="BFE4FF"/>
          </w:tcPr>
          <w:p>
            <w:pPr>
              <w:ind w:left="240"/>
              <w:spacing w:after="0"/>
              <w:rPr>
                <w:sz w:val="20"/>
                <w:szCs w:val="20"/>
                <w:color w:val="auto"/>
              </w:rPr>
            </w:pPr>
            <w:r>
              <w:rPr>
                <w:rFonts w:ascii="Times New Roman" w:cs="Times New Roman" w:eastAsia="Times New Roman" w:hAnsi="Times New Roman"/>
                <w:sz w:val="16"/>
                <w:szCs w:val="16"/>
                <w:color w:val="auto"/>
              </w:rPr>
              <w:t>StormWind, LLC–Preferred shares,</w:t>
            </w:r>
          </w:p>
        </w:tc>
        <w:tc>
          <w:tcPr>
            <w:tcW w:w="100" w:type="dxa"/>
            <w:vAlign w:val="bottom"/>
            <w:shd w:val="clear" w:color="auto" w:fill="BFE4FF"/>
          </w:tcPr>
          <w:p>
            <w:pPr>
              <w:spacing w:after="0"/>
              <w:rPr>
                <w:sz w:val="18"/>
                <w:szCs w:val="18"/>
                <w:color w:val="auto"/>
              </w:rPr>
            </w:pPr>
          </w:p>
        </w:tc>
        <w:tc>
          <w:tcPr>
            <w:tcW w:w="72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66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76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78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68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140" w:type="dxa"/>
            <w:vAlign w:val="bottom"/>
            <w:shd w:val="clear" w:color="auto" w:fill="BFE4FF"/>
          </w:tcPr>
          <w:p>
            <w:pPr>
              <w:spacing w:after="0"/>
              <w:rPr>
                <w:sz w:val="18"/>
                <w:szCs w:val="18"/>
                <w:color w:val="auto"/>
              </w:rPr>
            </w:pPr>
          </w:p>
        </w:tc>
        <w:tc>
          <w:tcPr>
            <w:tcW w:w="80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82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76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760" w:type="dxa"/>
            <w:vAlign w:val="bottom"/>
            <w:shd w:val="clear" w:color="auto" w:fill="BFE4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 w:type="dxa"/>
            <w:vAlign w:val="bottom"/>
            <w:shd w:val="clear" w:color="auto" w:fill="BFE4FF"/>
          </w:tcPr>
          <w:p>
            <w:pPr>
              <w:spacing w:after="0"/>
              <w:rPr>
                <w:sz w:val="21"/>
                <w:szCs w:val="21"/>
                <w:color w:val="auto"/>
              </w:rPr>
            </w:pPr>
          </w:p>
        </w:tc>
        <w:tc>
          <w:tcPr>
            <w:tcW w:w="2840" w:type="dxa"/>
            <w:vAlign w:val="bottom"/>
            <w:gridSpan w:val="3"/>
            <w:shd w:val="clear" w:color="auto" w:fill="BFE4FF"/>
          </w:tcPr>
          <w:p>
            <w:pPr>
              <w:ind w:left="240"/>
              <w:spacing w:after="0"/>
              <w:rPr>
                <w:sz w:val="20"/>
                <w:szCs w:val="20"/>
                <w:color w:val="auto"/>
              </w:rPr>
            </w:pPr>
            <w:r>
              <w:rPr>
                <w:rFonts w:ascii="Times New Roman" w:cs="Times New Roman" w:eastAsia="Times New Roman" w:hAnsi="Times New Roman"/>
                <w:sz w:val="16"/>
                <w:szCs w:val="16"/>
                <w:color w:val="auto"/>
              </w:rPr>
              <w:t>Series B 8%</w:t>
            </w:r>
            <w:r>
              <w:rPr>
                <w:rFonts w:ascii="Times New Roman" w:cs="Times New Roman" w:eastAsia="Times New Roman" w:hAnsi="Times New Roman"/>
                <w:sz w:val="21"/>
                <w:szCs w:val="21"/>
                <w:color w:val="auto"/>
                <w:vertAlign w:val="superscript"/>
              </w:rPr>
              <w:t>(3)</w:t>
            </w:r>
          </w:p>
        </w:tc>
        <w:tc>
          <w:tcPr>
            <w:tcW w:w="820" w:type="dxa"/>
            <w:vAlign w:val="bottom"/>
            <w:gridSpan w:val="2"/>
            <w:shd w:val="clear" w:color="auto" w:fill="BFE4FF"/>
          </w:tcPr>
          <w:p>
            <w:pPr>
              <w:jc w:val="right"/>
              <w:ind w:right="2"/>
              <w:spacing w:after="0"/>
              <w:rPr>
                <w:sz w:val="20"/>
                <w:szCs w:val="20"/>
                <w:color w:val="auto"/>
              </w:rPr>
            </w:pPr>
            <w:r>
              <w:rPr>
                <w:rFonts w:ascii="Times New Roman" w:cs="Times New Roman" w:eastAsia="Times New Roman" w:hAnsi="Times New Roman"/>
                <w:sz w:val="16"/>
                <w:szCs w:val="16"/>
                <w:color w:val="auto"/>
              </w:rPr>
              <w:t>3,279,629</w:t>
            </w:r>
          </w:p>
        </w:tc>
        <w:tc>
          <w:tcPr>
            <w:tcW w:w="100" w:type="dxa"/>
            <w:vAlign w:val="bottom"/>
            <w:shd w:val="clear" w:color="auto" w:fill="BFE4FF"/>
          </w:tcPr>
          <w:p>
            <w:pPr>
              <w:spacing w:after="0"/>
              <w:rPr>
                <w:sz w:val="21"/>
                <w:szCs w:val="21"/>
                <w:color w:val="auto"/>
              </w:rPr>
            </w:pPr>
          </w:p>
        </w:tc>
        <w:tc>
          <w:tcPr>
            <w:tcW w:w="120" w:type="dxa"/>
            <w:vAlign w:val="bottom"/>
            <w:shd w:val="clear" w:color="auto" w:fill="BFE4FF"/>
          </w:tcPr>
          <w:p>
            <w:pPr>
              <w:spacing w:after="0"/>
              <w:rPr>
                <w:sz w:val="21"/>
                <w:szCs w:val="21"/>
                <w:color w:val="auto"/>
              </w:rPr>
            </w:pPr>
          </w:p>
        </w:tc>
        <w:tc>
          <w:tcPr>
            <w:tcW w:w="780" w:type="dxa"/>
            <w:vAlign w:val="bottom"/>
            <w:gridSpan w:val="2"/>
            <w:shd w:val="clear" w:color="auto" w:fill="BFE4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BFE4FF"/>
          </w:tcPr>
          <w:p>
            <w:pPr>
              <w:spacing w:after="0"/>
              <w:rPr>
                <w:sz w:val="21"/>
                <w:szCs w:val="21"/>
                <w:color w:val="auto"/>
              </w:rPr>
            </w:pPr>
          </w:p>
        </w:tc>
        <w:tc>
          <w:tcPr>
            <w:tcW w:w="7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6"/>
                <w:szCs w:val="16"/>
                <w:color w:val="auto"/>
              </w:rPr>
              <w:t>5,804,472</w:t>
            </w:r>
          </w:p>
        </w:tc>
        <w:tc>
          <w:tcPr>
            <w:tcW w:w="100" w:type="dxa"/>
            <w:vAlign w:val="bottom"/>
            <w:shd w:val="clear" w:color="auto" w:fill="BFE4FF"/>
          </w:tcPr>
          <w:p>
            <w:pPr>
              <w:spacing w:after="0"/>
              <w:rPr>
                <w:sz w:val="21"/>
                <w:szCs w:val="21"/>
                <w:color w:val="auto"/>
              </w:rPr>
            </w:pPr>
          </w:p>
        </w:tc>
        <w:tc>
          <w:tcPr>
            <w:tcW w:w="120" w:type="dxa"/>
            <w:vAlign w:val="bottom"/>
            <w:shd w:val="clear" w:color="auto" w:fill="BFE4FF"/>
          </w:tcPr>
          <w:p>
            <w:pPr>
              <w:spacing w:after="0"/>
              <w:rPr>
                <w:sz w:val="21"/>
                <w:szCs w:val="21"/>
                <w:color w:val="auto"/>
              </w:rPr>
            </w:pPr>
          </w:p>
        </w:tc>
        <w:tc>
          <w:tcPr>
            <w:tcW w:w="880" w:type="dxa"/>
            <w:vAlign w:val="bottom"/>
            <w:gridSpan w:val="2"/>
            <w:shd w:val="clear" w:color="auto" w:fill="BFE4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BFE4FF"/>
          </w:tcPr>
          <w:p>
            <w:pPr>
              <w:spacing w:after="0"/>
              <w:rPr>
                <w:sz w:val="21"/>
                <w:szCs w:val="21"/>
                <w:color w:val="auto"/>
              </w:rPr>
            </w:pPr>
          </w:p>
        </w:tc>
        <w:tc>
          <w:tcPr>
            <w:tcW w:w="800" w:type="dxa"/>
            <w:vAlign w:val="bottom"/>
            <w:gridSpan w:val="2"/>
            <w:shd w:val="clear" w:color="auto" w:fill="BFE4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BFE4FF"/>
          </w:tcPr>
          <w:p>
            <w:pPr>
              <w:spacing w:after="0"/>
              <w:rPr>
                <w:sz w:val="21"/>
                <w:szCs w:val="21"/>
                <w:color w:val="auto"/>
              </w:rPr>
            </w:pPr>
          </w:p>
        </w:tc>
        <w:tc>
          <w:tcPr>
            <w:tcW w:w="900" w:type="dxa"/>
            <w:vAlign w:val="bottom"/>
            <w:gridSpan w:val="2"/>
            <w:shd w:val="clear" w:color="auto" w:fill="BFE4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BFE4FF"/>
          </w:tcPr>
          <w:p>
            <w:pPr>
              <w:spacing w:after="0"/>
              <w:rPr>
                <w:sz w:val="21"/>
                <w:szCs w:val="21"/>
                <w:color w:val="auto"/>
              </w:rPr>
            </w:pPr>
          </w:p>
        </w:tc>
        <w:tc>
          <w:tcPr>
            <w:tcW w:w="8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(34,144)</w:t>
            </w:r>
          </w:p>
        </w:tc>
        <w:tc>
          <w:tcPr>
            <w:tcW w:w="100" w:type="dxa"/>
            <w:vAlign w:val="bottom"/>
            <w:shd w:val="clear" w:color="auto" w:fill="BFE4FF"/>
          </w:tcPr>
          <w:p>
            <w:pPr>
              <w:spacing w:after="0"/>
              <w:rPr>
                <w:sz w:val="21"/>
                <w:szCs w:val="21"/>
                <w:color w:val="auto"/>
              </w:rPr>
            </w:pPr>
          </w:p>
        </w:tc>
        <w:tc>
          <w:tcPr>
            <w:tcW w:w="120" w:type="dxa"/>
            <w:vAlign w:val="bottom"/>
            <w:shd w:val="clear" w:color="auto" w:fill="BFE4FF"/>
          </w:tcPr>
          <w:p>
            <w:pPr>
              <w:spacing w:after="0"/>
              <w:rPr>
                <w:sz w:val="21"/>
                <w:szCs w:val="21"/>
                <w:color w:val="auto"/>
              </w:rPr>
            </w:pPr>
          </w:p>
        </w:tc>
        <w:tc>
          <w:tcPr>
            <w:tcW w:w="760" w:type="dxa"/>
            <w:vAlign w:val="bottom"/>
            <w:shd w:val="clear" w:color="auto" w:fill="BFE4FF"/>
          </w:tcPr>
          <w:p>
            <w:pPr>
              <w:jc w:val="right"/>
              <w:ind w:right="21"/>
              <w:spacing w:after="0"/>
              <w:rPr>
                <w:sz w:val="20"/>
                <w:szCs w:val="20"/>
                <w:color w:val="auto"/>
              </w:rPr>
            </w:pPr>
            <w:r>
              <w:rPr>
                <w:rFonts w:ascii="Times New Roman" w:cs="Times New Roman" w:eastAsia="Times New Roman" w:hAnsi="Times New Roman"/>
                <w:sz w:val="16"/>
                <w:szCs w:val="16"/>
                <w:color w:val="auto"/>
                <w:w w:val="99"/>
              </w:rPr>
              <w:t>5,770,328</w:t>
            </w:r>
          </w:p>
        </w:tc>
        <w:tc>
          <w:tcPr>
            <w:tcW w:w="880" w:type="dxa"/>
            <w:vAlign w:val="bottom"/>
            <w:gridSpan w:val="2"/>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84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StormWind, LLC–Preferred shares,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BFE4FF"/>
            </w:tcBorders>
          </w:tcPr>
          <w:p>
            <w:pPr>
              <w:spacing w:after="0"/>
              <w:rPr>
                <w:sz w:val="21"/>
                <w:szCs w:val="21"/>
                <w:color w:val="auto"/>
              </w:rPr>
            </w:pPr>
          </w:p>
        </w:tc>
        <w:tc>
          <w:tcPr>
            <w:tcW w:w="2840" w:type="dxa"/>
            <w:vAlign w:val="bottom"/>
            <w:tcBorders>
              <w:bottom w:val="single" w:sz="8" w:color="BFE4FF"/>
            </w:tcBorders>
            <w:gridSpan w:val="3"/>
          </w:tcPr>
          <w:p>
            <w:pPr>
              <w:ind w:left="240"/>
              <w:spacing w:after="0"/>
              <w:rPr>
                <w:sz w:val="20"/>
                <w:szCs w:val="20"/>
                <w:color w:val="auto"/>
              </w:rPr>
            </w:pPr>
            <w:r>
              <w:rPr>
                <w:rFonts w:ascii="Times New Roman" w:cs="Times New Roman" w:eastAsia="Times New Roman" w:hAnsi="Times New Roman"/>
                <w:sz w:val="16"/>
                <w:szCs w:val="16"/>
                <w:color w:val="auto"/>
              </w:rPr>
              <w:t>Series A 8%</w:t>
            </w:r>
            <w:r>
              <w:rPr>
                <w:rFonts w:ascii="Times New Roman" w:cs="Times New Roman" w:eastAsia="Times New Roman" w:hAnsi="Times New Roman"/>
                <w:sz w:val="21"/>
                <w:szCs w:val="21"/>
                <w:color w:val="auto"/>
                <w:vertAlign w:val="superscript"/>
              </w:rPr>
              <w:t>(3)</w:t>
            </w:r>
          </w:p>
        </w:tc>
        <w:tc>
          <w:tcPr>
            <w:tcW w:w="100" w:type="dxa"/>
            <w:vAlign w:val="bottom"/>
            <w:tcBorders>
              <w:bottom w:val="single" w:sz="8" w:color="BFE4FF"/>
            </w:tcBorders>
          </w:tcPr>
          <w:p>
            <w:pPr>
              <w:spacing w:after="0"/>
              <w:rPr>
                <w:sz w:val="21"/>
                <w:szCs w:val="21"/>
                <w:color w:val="auto"/>
              </w:rPr>
            </w:pPr>
          </w:p>
        </w:tc>
        <w:tc>
          <w:tcPr>
            <w:tcW w:w="720" w:type="dxa"/>
            <w:vAlign w:val="bottom"/>
            <w:tcBorders>
              <w:bottom w:val="single" w:sz="8" w:color="BFE4FF"/>
            </w:tcBorders>
          </w:tcPr>
          <w:p>
            <w:pPr>
              <w:jc w:val="right"/>
              <w:ind w:right="2"/>
              <w:spacing w:after="0"/>
              <w:rPr>
                <w:sz w:val="20"/>
                <w:szCs w:val="20"/>
                <w:color w:val="auto"/>
              </w:rPr>
            </w:pPr>
            <w:r>
              <w:rPr>
                <w:rFonts w:ascii="Times New Roman" w:cs="Times New Roman" w:eastAsia="Times New Roman" w:hAnsi="Times New Roman"/>
                <w:sz w:val="16"/>
                <w:szCs w:val="16"/>
                <w:color w:val="auto"/>
              </w:rPr>
              <w:t>366,666</w:t>
            </w:r>
          </w:p>
        </w:tc>
        <w:tc>
          <w:tcPr>
            <w:tcW w:w="100" w:type="dxa"/>
            <w:vAlign w:val="bottom"/>
            <w:tcBorders>
              <w:bottom w:val="single" w:sz="8" w:color="BFE4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BFE4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425,342</w:t>
            </w:r>
          </w:p>
        </w:tc>
        <w:tc>
          <w:tcPr>
            <w:tcW w:w="100" w:type="dxa"/>
            <w:vAlign w:val="bottom"/>
            <w:tcBorders>
              <w:bottom w:val="single" w:sz="8" w:color="BFE4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BFE4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BFE4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BFE4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(3,817)</w:t>
            </w:r>
          </w:p>
        </w:tc>
        <w:tc>
          <w:tcPr>
            <w:tcW w:w="100" w:type="dxa"/>
            <w:vAlign w:val="bottom"/>
            <w:tcBorders>
              <w:bottom w:val="single" w:sz="8" w:color="BFE4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421,525</w:t>
            </w:r>
          </w:p>
        </w:tc>
        <w:tc>
          <w:tcPr>
            <w:tcW w:w="880" w:type="dxa"/>
            <w:vAlign w:val="bottom"/>
            <w:tcBorders>
              <w:bottom w:val="single" w:sz="8" w:color="BFE4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0" w:type="dxa"/>
            <w:vAlign w:val="bottom"/>
          </w:tcPr>
          <w:p>
            <w:pPr>
              <w:spacing w:after="0"/>
              <w:rPr>
                <w:sz w:val="1"/>
                <w:szCs w:val="1"/>
                <w:color w:val="auto"/>
              </w:rPr>
            </w:pPr>
          </w:p>
        </w:tc>
      </w:tr>
      <w:tr>
        <w:trPr>
          <w:trHeight w:val="230"/>
        </w:trPr>
        <w:tc>
          <w:tcPr>
            <w:tcW w:w="40" w:type="dxa"/>
            <w:vAlign w:val="bottom"/>
            <w:tcBorders>
              <w:bottom w:val="single" w:sz="8" w:color="BFE4FF"/>
            </w:tcBorders>
            <w:shd w:val="clear" w:color="auto" w:fill="BFE4FF"/>
          </w:tcPr>
          <w:p>
            <w:pPr>
              <w:spacing w:after="0"/>
              <w:rPr>
                <w:sz w:val="20"/>
                <w:szCs w:val="20"/>
                <w:color w:val="auto"/>
              </w:rPr>
            </w:pPr>
          </w:p>
        </w:tc>
        <w:tc>
          <w:tcPr>
            <w:tcW w:w="2840" w:type="dxa"/>
            <w:vAlign w:val="bottom"/>
            <w:tcBorders>
              <w:bottom w:val="single" w:sz="8" w:color="BFE4FF"/>
            </w:tcBorders>
            <w:gridSpan w:val="3"/>
            <w:shd w:val="clear" w:color="auto" w:fill="BFE4FF"/>
          </w:tcPr>
          <w:p>
            <w:pPr>
              <w:ind w:left="140"/>
              <w:spacing w:after="0"/>
              <w:rPr>
                <w:sz w:val="20"/>
                <w:szCs w:val="20"/>
                <w:color w:val="auto"/>
              </w:rPr>
            </w:pPr>
            <w:r>
              <w:rPr>
                <w:rFonts w:ascii="Times New Roman" w:cs="Times New Roman" w:eastAsia="Times New Roman" w:hAnsi="Times New Roman"/>
                <w:sz w:val="16"/>
                <w:szCs w:val="16"/>
                <w:i w:val="1"/>
                <w:iCs w:val="1"/>
                <w:color w:val="auto"/>
              </w:rPr>
              <w:t>Total Interactive Learning</w:t>
            </w:r>
          </w:p>
        </w:tc>
        <w:tc>
          <w:tcPr>
            <w:tcW w:w="100" w:type="dxa"/>
            <w:vAlign w:val="bottom"/>
            <w:tcBorders>
              <w:bottom w:val="single" w:sz="8" w:color="BFE4FF"/>
            </w:tcBorders>
            <w:shd w:val="clear" w:color="auto" w:fill="BFE4FF"/>
          </w:tcPr>
          <w:p>
            <w:pPr>
              <w:spacing w:after="0"/>
              <w:rPr>
                <w:sz w:val="20"/>
                <w:szCs w:val="20"/>
                <w:color w:val="auto"/>
              </w:rPr>
            </w:pPr>
          </w:p>
        </w:tc>
        <w:tc>
          <w:tcPr>
            <w:tcW w:w="720" w:type="dxa"/>
            <w:vAlign w:val="bottom"/>
            <w:tcBorders>
              <w:bottom w:val="single" w:sz="8" w:color="BFE4FF"/>
            </w:tcBorders>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78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BFE4FF"/>
            </w:tcBorders>
            <w:gridSpan w:val="2"/>
            <w:shd w:val="clear" w:color="auto" w:fill="BFE4FF"/>
          </w:tcPr>
          <w:p>
            <w:pPr>
              <w:jc w:val="right"/>
              <w:ind w:right="1"/>
              <w:spacing w:after="0"/>
              <w:rPr>
                <w:sz w:val="20"/>
                <w:szCs w:val="20"/>
                <w:color w:val="auto"/>
              </w:rPr>
            </w:pPr>
            <w:r>
              <w:rPr>
                <w:rFonts w:ascii="Times New Roman" w:cs="Times New Roman" w:eastAsia="Times New Roman" w:hAnsi="Times New Roman"/>
                <w:sz w:val="16"/>
                <w:szCs w:val="16"/>
                <w:color w:val="auto"/>
              </w:rPr>
              <w:t>13,453,718</w:t>
            </w:r>
          </w:p>
        </w:tc>
        <w:tc>
          <w:tcPr>
            <w:tcW w:w="10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88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BFE4FF"/>
            </w:tcBorders>
            <w:shd w:val="clear" w:color="auto" w:fill="BFE4FF"/>
          </w:tcPr>
          <w:p>
            <w:pPr>
              <w:spacing w:after="0"/>
              <w:rPr>
                <w:sz w:val="20"/>
                <w:szCs w:val="20"/>
                <w:color w:val="auto"/>
              </w:rPr>
            </w:pPr>
          </w:p>
        </w:tc>
        <w:tc>
          <w:tcPr>
            <w:tcW w:w="80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BFE4FF"/>
            </w:tcBorders>
            <w:shd w:val="clear" w:color="auto" w:fill="BFE4FF"/>
          </w:tcPr>
          <w:p>
            <w:pPr>
              <w:spacing w:after="0"/>
              <w:rPr>
                <w:sz w:val="20"/>
                <w:szCs w:val="20"/>
                <w:color w:val="auto"/>
              </w:rPr>
            </w:pPr>
          </w:p>
        </w:tc>
        <w:tc>
          <w:tcPr>
            <w:tcW w:w="900" w:type="dxa"/>
            <w:vAlign w:val="bottom"/>
            <w:tcBorders>
              <w:bottom w:val="single" w:sz="8" w:color="BFE4FF"/>
            </w:tcBorders>
            <w:gridSpan w:val="2"/>
            <w:shd w:val="clear" w:color="auto" w:fill="BFE4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BFE4FF"/>
            </w:tcBorders>
            <w:shd w:val="clear" w:color="auto" w:fill="BFE4FF"/>
          </w:tcPr>
          <w:p>
            <w:pPr>
              <w:spacing w:after="0"/>
              <w:rPr>
                <w:sz w:val="20"/>
                <w:szCs w:val="20"/>
                <w:color w:val="auto"/>
              </w:rPr>
            </w:pPr>
          </w:p>
        </w:tc>
        <w:tc>
          <w:tcPr>
            <w:tcW w:w="82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(66,894)</w:t>
            </w:r>
          </w:p>
        </w:tc>
        <w:tc>
          <w:tcPr>
            <w:tcW w:w="100" w:type="dxa"/>
            <w:vAlign w:val="bottom"/>
            <w:tcBorders>
              <w:bottom w:val="single" w:sz="8" w:color="BFE4FF"/>
            </w:tcBorders>
            <w:shd w:val="clear" w:color="auto" w:fill="BFE4FF"/>
          </w:tcPr>
          <w:p>
            <w:pPr>
              <w:spacing w:after="0"/>
              <w:rPr>
                <w:sz w:val="20"/>
                <w:szCs w:val="20"/>
                <w:color w:val="auto"/>
              </w:rPr>
            </w:pPr>
          </w:p>
        </w:tc>
        <w:tc>
          <w:tcPr>
            <w:tcW w:w="880" w:type="dxa"/>
            <w:vAlign w:val="bottom"/>
            <w:tcBorders>
              <w:bottom w:val="single" w:sz="8" w:color="BFE4FF"/>
            </w:tcBorders>
            <w:gridSpan w:val="2"/>
            <w:shd w:val="clear" w:color="auto" w:fill="BFE4FF"/>
          </w:tcPr>
          <w:p>
            <w:pPr>
              <w:jc w:val="right"/>
              <w:ind w:right="21"/>
              <w:spacing w:after="0"/>
              <w:rPr>
                <w:sz w:val="20"/>
                <w:szCs w:val="20"/>
                <w:color w:val="auto"/>
              </w:rPr>
            </w:pPr>
            <w:r>
              <w:rPr>
                <w:rFonts w:ascii="Times New Roman" w:cs="Times New Roman" w:eastAsia="Times New Roman" w:hAnsi="Times New Roman"/>
                <w:sz w:val="16"/>
                <w:szCs w:val="16"/>
                <w:color w:val="auto"/>
              </w:rPr>
              <w:t>13,386,824</w:t>
            </w:r>
          </w:p>
        </w:tc>
        <w:tc>
          <w:tcPr>
            <w:tcW w:w="880" w:type="dxa"/>
            <w:vAlign w:val="bottom"/>
            <w:tcBorders>
              <w:bottom w:val="single" w:sz="8" w:color="BFE4FF"/>
            </w:tcBorders>
            <w:gridSpan w:val="2"/>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0" w:type="dxa"/>
            <w:vAlign w:val="bottom"/>
          </w:tcPr>
          <w:p>
            <w:pPr>
              <w:spacing w:after="0"/>
              <w:rPr>
                <w:sz w:val="1"/>
                <w:szCs w:val="1"/>
                <w:color w:val="auto"/>
              </w:rPr>
            </w:pPr>
          </w:p>
        </w:tc>
      </w:tr>
      <w:tr>
        <w:trPr>
          <w:trHeight w:val="237"/>
        </w:trPr>
        <w:tc>
          <w:tcPr>
            <w:tcW w:w="288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Total Preferred Stock</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625,000</w:t>
            </w:r>
          </w:p>
        </w:tc>
        <w:tc>
          <w:tcPr>
            <w:tcW w:w="120" w:type="dxa"/>
            <w:vAlign w:val="bottom"/>
          </w:tcPr>
          <w:p>
            <w:pPr>
              <w:spacing w:after="0"/>
              <w:rPr>
                <w:sz w:val="20"/>
                <w:szCs w:val="20"/>
                <w:color w:val="auto"/>
              </w:rPr>
            </w:pPr>
          </w:p>
        </w:tc>
        <w:tc>
          <w:tcPr>
            <w:tcW w:w="86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22,669,458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(1,036,750)</w:t>
            </w:r>
          </w:p>
        </w:tc>
        <w:tc>
          <w:tcPr>
            <w:tcW w:w="100" w:type="dxa"/>
            <w:vAlign w:val="bottom"/>
          </w:tcPr>
          <w:p>
            <w:pPr>
              <w:spacing w:after="0"/>
              <w:rPr>
                <w:sz w:val="20"/>
                <w:szCs w:val="20"/>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21,632,708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-5355590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18" w:right="239" w:bottom="1440" w:gutter="0" w:footer="0" w:header="0"/>
        </w:sectPr>
      </w:pPr>
    </w:p>
    <w:bookmarkStart w:id="43" w:name="page44"/>
    <w:bookmarkEnd w:id="4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Interest,</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Fees, or</w:t>
            </w:r>
          </w:p>
        </w:tc>
        <w:tc>
          <w:tcPr>
            <w:tcW w:w="10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0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Capitalized</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6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Type/Industry/Portfolio</w:t>
            </w:r>
          </w:p>
        </w:tc>
        <w:tc>
          <w:tcPr>
            <w:tcW w:w="120" w:type="dxa"/>
            <w:vAlign w:val="bottom"/>
          </w:tcPr>
          <w:p>
            <w:pPr>
              <w:spacing w:after="0"/>
              <w:rPr>
                <w:sz w:val="12"/>
                <w:szCs w:val="12"/>
                <w:color w:val="auto"/>
              </w:rPr>
            </w:pP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8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Dividends</w:t>
            </w:r>
          </w:p>
        </w:tc>
        <w:tc>
          <w:tcPr>
            <w:tcW w:w="10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Fees,</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100" w:type="dxa"/>
            <w:vAlign w:val="bottom"/>
          </w:tcPr>
          <w:p>
            <w:pPr>
              <w:spacing w:after="0"/>
              <w:rPr>
                <w:sz w:val="12"/>
                <w:szCs w:val="12"/>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000" w:type="dxa"/>
            <w:vAlign w:val="bottom"/>
            <w:gridSpan w:val="3"/>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6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Credited</w:t>
            </w:r>
          </w:p>
        </w:tc>
        <w:tc>
          <w:tcPr>
            <w:tcW w:w="102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Interest and</w:t>
            </w:r>
          </w:p>
        </w:tc>
        <w:tc>
          <w:tcPr>
            <w:tcW w:w="100" w:type="dxa"/>
            <w:vAlign w:val="bottom"/>
          </w:tcPr>
          <w:p>
            <w:pPr>
              <w:spacing w:after="0"/>
              <w:rPr>
                <w:sz w:val="12"/>
                <w:szCs w:val="12"/>
                <w:color w:val="auto"/>
              </w:rPr>
            </w:pPr>
          </w:p>
        </w:tc>
        <w:tc>
          <w:tcPr>
            <w:tcW w:w="8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Pr>
          <w:p>
            <w:pPr>
              <w:jc w:val="right"/>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Company/Investment</w:t>
            </w:r>
          </w:p>
        </w:tc>
        <w:tc>
          <w:tcPr>
            <w:tcW w:w="120" w:type="dxa"/>
            <w:vAlign w:val="bottom"/>
          </w:tcPr>
          <w:p>
            <w:pPr>
              <w:spacing w:after="0"/>
              <w:rPr>
                <w:sz w:val="16"/>
                <w:szCs w:val="16"/>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Income</w:t>
            </w:r>
          </w:p>
        </w:tc>
        <w:tc>
          <w:tcPr>
            <w:tcW w:w="100" w:type="dxa"/>
            <w:vAlign w:val="bottom"/>
          </w:tcPr>
          <w:p>
            <w:pPr>
              <w:spacing w:after="0"/>
              <w:rPr>
                <w:sz w:val="16"/>
                <w:szCs w:val="16"/>
                <w:color w:val="auto"/>
              </w:rPr>
            </w:pPr>
          </w:p>
        </w:tc>
        <w:tc>
          <w:tcPr>
            <w:tcW w:w="80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6"/>
                <w:szCs w:val="16"/>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00" w:type="dxa"/>
            <w:vAlign w:val="bottom"/>
          </w:tcPr>
          <w:p>
            <w:pPr>
              <w:spacing w:after="0"/>
              <w:rPr>
                <w:sz w:val="16"/>
                <w:szCs w:val="16"/>
                <w:color w:val="auto"/>
              </w:rPr>
            </w:pPr>
          </w:p>
        </w:tc>
        <w:tc>
          <w:tcPr>
            <w:tcW w:w="80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80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49"/>
        </w:trPr>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2640" w:type="dxa"/>
            <w:vAlign w:val="bottom"/>
            <w:tcBorders>
              <w:top w:val="single" w:sz="8" w:color="auto"/>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40" w:type="dxa"/>
            <w:vAlign w:val="bottom"/>
            <w:gridSpan w:val="3"/>
          </w:tcPr>
          <w:p>
            <w:pPr>
              <w:ind w:left="140"/>
              <w:spacing w:after="0"/>
              <w:rPr>
                <w:sz w:val="20"/>
                <w:szCs w:val="20"/>
                <w:color w:val="auto"/>
              </w:rPr>
            </w:pPr>
            <w:r>
              <w:rPr>
                <w:rFonts w:ascii="Times New Roman" w:cs="Times New Roman" w:eastAsia="Times New Roman" w:hAnsi="Times New Roman"/>
                <w:sz w:val="16"/>
                <w:szCs w:val="16"/>
                <w:i w:val="1"/>
                <w:iCs w:val="1"/>
                <w:color w:val="auto"/>
              </w:rPr>
              <w:t>Global Innovation Platform</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26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NestGSV, Inc. (d/b/a GSV Labs,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6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Inc.)–Preferred Warrant Series A-3,</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6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Strike Price $1.33, Expiration Date</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2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4/4/2021</w:t>
            </w:r>
            <w:r>
              <w:rPr>
                <w:rFonts w:ascii="Times New Roman" w:cs="Times New Roman" w:eastAsia="Times New Roman" w:hAnsi="Times New Roman"/>
                <w:sz w:val="21"/>
                <w:szCs w:val="21"/>
                <w:color w:val="auto"/>
                <w:vertAlign w:val="superscript"/>
              </w:rPr>
              <w:t>(10)</w:t>
            </w:r>
          </w:p>
        </w:tc>
        <w:tc>
          <w:tcPr>
            <w:tcW w:w="1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187,500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24,375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26,250</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64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NestGSV, Inc. (d/b/a GSV Labs,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64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Inc.)–Preferred Warrant Series A-4,</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64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Strike Price $1.33, Expiration Date</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2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10/6/2021</w:t>
            </w:r>
            <w:r>
              <w:rPr>
                <w:rFonts w:ascii="Times New Roman" w:cs="Times New Roman" w:eastAsia="Times New Roman" w:hAnsi="Times New Roman"/>
                <w:sz w:val="21"/>
                <w:szCs w:val="21"/>
                <w:color w:val="auto"/>
                <w:vertAlign w:val="superscript"/>
              </w:rPr>
              <w:t>(10)</w:t>
            </w:r>
          </w:p>
        </w:tc>
        <w:tc>
          <w:tcPr>
            <w:tcW w:w="1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145,000</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26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NestGSV, Inc. (d/b/a GSV Labs,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6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Inc.)–Preferred Warrant Series A-4,</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6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Strike Price $1.33, Expiration Date</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2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7/18/2021</w:t>
            </w:r>
          </w:p>
        </w:tc>
        <w:tc>
          <w:tcPr>
            <w:tcW w:w="13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250,000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102,500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(32,500)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64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NestGSV, Inc. (d/b/a GSV Labs,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64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Inc.)–Preferred Warrant Series B,</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64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Strike Price $2.31, Expiration Date</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11/29/2021</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26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NestGSV, Inc. (d/b/a GSV Labs,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6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Inc.)–Preferred Warrant Series B,</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6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Strike Price $2.31, Expiration Date</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2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5/29/2022</w:t>
            </w:r>
          </w:p>
        </w:tc>
        <w:tc>
          <w:tcPr>
            <w:tcW w:w="13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125,000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(79,306)</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64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NestGSV, Inc. (d/b/a GSV Labs,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64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Inc.)–Preferred Warrant Series B,</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64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Strike Price $2.31, Expiration Date</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22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6"/>
                <w:szCs w:val="16"/>
                <w:color w:val="auto"/>
                <w:w w:val="95"/>
              </w:rPr>
              <w:t>12/31/2023</w:t>
            </w:r>
            <w:r>
              <w:rPr>
                <w:rFonts w:ascii="Times New Roman" w:cs="Times New Roman" w:eastAsia="Times New Roman" w:hAnsi="Times New Roman"/>
                <w:sz w:val="21"/>
                <w:szCs w:val="21"/>
                <w:color w:val="auto"/>
                <w:w w:val="95"/>
                <w:vertAlign w:val="superscript"/>
              </w:rPr>
              <w:t>(10)</w:t>
            </w:r>
          </w:p>
        </w:tc>
        <w:tc>
          <w:tcPr>
            <w:tcW w:w="13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250,000</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5,080</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264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Total Global Innovation Platform</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385,375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5,080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(142,955)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247,500</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Total Warrants</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385,375</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5,080</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(142,955)</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247,500</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40" w:type="dxa"/>
            <w:vAlign w:val="bottom"/>
            <w:gridSpan w:val="3"/>
          </w:tcPr>
          <w:p>
            <w:pPr>
              <w:ind w:left="140"/>
              <w:spacing w:after="0"/>
              <w:rPr>
                <w:sz w:val="20"/>
                <w:szCs w:val="20"/>
                <w:color w:val="auto"/>
              </w:rPr>
            </w:pPr>
            <w:r>
              <w:rPr>
                <w:rFonts w:ascii="Times New Roman" w:cs="Times New Roman" w:eastAsia="Times New Roman" w:hAnsi="Times New Roman"/>
                <w:sz w:val="16"/>
                <w:szCs w:val="16"/>
                <w:i w:val="1"/>
                <w:iCs w:val="1"/>
                <w:color w:val="auto"/>
              </w:rPr>
              <w:t>Clean Technology</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26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SPBRX, INC. (f/k/a GSV</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6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Sustainability Partners, Inc.)–</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264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Common shares</w:t>
            </w:r>
          </w:p>
        </w:tc>
        <w:tc>
          <w:tcPr>
            <w:tcW w:w="94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40" w:type="dxa"/>
            <w:vAlign w:val="bottom"/>
            <w:gridSpan w:val="3"/>
          </w:tcPr>
          <w:p>
            <w:pPr>
              <w:ind w:left="140"/>
              <w:spacing w:after="0"/>
              <w:rPr>
                <w:sz w:val="20"/>
                <w:szCs w:val="20"/>
                <w:color w:val="auto"/>
              </w:rPr>
            </w:pPr>
            <w:r>
              <w:rPr>
                <w:rFonts w:ascii="Times New Roman" w:cs="Times New Roman" w:eastAsia="Times New Roman" w:hAnsi="Times New Roman"/>
                <w:sz w:val="16"/>
                <w:szCs w:val="16"/>
                <w:i w:val="1"/>
                <w:iCs w:val="1"/>
                <w:color w:val="auto"/>
              </w:rPr>
              <w:t>Global Innovation Platform</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26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NestGSV, Inc. (d/b/a GSV Labs,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264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Inc.)–Common shares</w:t>
            </w:r>
          </w:p>
        </w:tc>
        <w:tc>
          <w:tcPr>
            <w:tcW w:w="94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200,000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Total Common Stock</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40" w:type="dxa"/>
            <w:vAlign w:val="bottom"/>
            <w:shd w:val="clear" w:color="auto" w:fill="CCEEFF"/>
          </w:tcPr>
          <w:p>
            <w:pPr>
              <w:spacing w:after="0"/>
              <w:rPr>
                <w:sz w:val="18"/>
                <w:szCs w:val="18"/>
                <w:color w:val="auto"/>
              </w:rPr>
            </w:pPr>
          </w:p>
        </w:tc>
        <w:tc>
          <w:tcPr>
            <w:tcW w:w="2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CONTROLLED</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0" w:type="dxa"/>
            <w:vAlign w:val="bottom"/>
            <w:shd w:val="clear" w:color="auto" w:fill="CCEEFF"/>
          </w:tcPr>
          <w:p>
            <w:pPr>
              <w:spacing w:after="0"/>
              <w:rPr>
                <w:sz w:val="21"/>
                <w:szCs w:val="21"/>
                <w:color w:val="auto"/>
              </w:rPr>
            </w:pPr>
          </w:p>
        </w:tc>
        <w:tc>
          <w:tcPr>
            <w:tcW w:w="2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INVESTMENTS*</w:t>
            </w:r>
            <w:r>
              <w:rPr>
                <w:rFonts w:ascii="Times New Roman" w:cs="Times New Roman" w:eastAsia="Times New Roman" w:hAnsi="Times New Roman"/>
                <w:sz w:val="21"/>
                <w:szCs w:val="21"/>
                <w:b w:val="1"/>
                <w:bCs w:val="1"/>
                <w:color w:val="auto"/>
                <w:vertAlign w:val="superscript"/>
              </w:rPr>
              <w:t>(2)</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99"/>
              </w:rPr>
              <w:t>684,835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24,207,161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397,517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(592,129)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(680)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(1,195,135)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22,816,733</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11.68%</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9"/>
              </w:rPr>
              <w:t>NON-CONTROLLED/AFFILIATE</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64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INVESTMENTS*</w:t>
            </w:r>
            <w:r>
              <w:rPr>
                <w:rFonts w:ascii="Times New Roman" w:cs="Times New Roman" w:eastAsia="Times New Roman" w:hAnsi="Times New Roman"/>
                <w:sz w:val="21"/>
                <w:szCs w:val="21"/>
                <w:b w:val="1"/>
                <w:bCs w:val="1"/>
                <w:color w:val="auto"/>
                <w:vertAlign w:val="superscript"/>
              </w:rPr>
              <w:t>(1)</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180" w:type="dxa"/>
            <w:vAlign w:val="bottom"/>
            <w:tcBorders>
              <w:top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Debt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40" w:type="dxa"/>
            <w:vAlign w:val="bottom"/>
            <w:gridSpan w:val="3"/>
          </w:tcPr>
          <w:p>
            <w:pPr>
              <w:ind w:left="140"/>
              <w:spacing w:after="0"/>
              <w:rPr>
                <w:sz w:val="20"/>
                <w:szCs w:val="20"/>
                <w:color w:val="auto"/>
              </w:rPr>
            </w:pPr>
            <w:r>
              <w:rPr>
                <w:rFonts w:ascii="Times New Roman" w:cs="Times New Roman" w:eastAsia="Times New Roman" w:hAnsi="Times New Roman"/>
                <w:sz w:val="16"/>
                <w:szCs w:val="16"/>
                <w:i w:val="1"/>
                <w:iCs w:val="1"/>
                <w:color w:val="auto"/>
              </w:rPr>
              <w:t>Corporate Education</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26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CUX, Inc. (d/b/a CorpU)–Senior</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6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Subordinated Convertible</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6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Promissory Note 10% Due</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5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2/14/2020***</w:t>
            </w:r>
            <w:r>
              <w:rPr>
                <w:rFonts w:ascii="Times New Roman" w:cs="Times New Roman" w:eastAsia="Times New Roman" w:hAnsi="Times New Roman"/>
                <w:sz w:val="21"/>
                <w:szCs w:val="21"/>
                <w:color w:val="auto"/>
                <w:vertAlign w:val="superscript"/>
              </w:rPr>
              <w:t>(4)</w:t>
            </w:r>
          </w:p>
        </w:tc>
        <w:tc>
          <w:tcPr>
            <w:tcW w:w="1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$1,360,489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104,256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1,259,712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102,257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1,360,489</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18" w:right="239" w:bottom="1440" w:gutter="0" w:footer="0" w:header="0"/>
          <w:type w:val="continuous"/>
        </w:sectPr>
      </w:pPr>
    </w:p>
    <w:bookmarkStart w:id="44" w:name="page45"/>
    <w:bookmarkEnd w:id="4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Fees, or</w:t>
            </w:r>
          </w:p>
        </w:tc>
        <w:tc>
          <w:tcPr>
            <w:tcW w:w="960" w:type="dxa"/>
            <w:vAlign w:val="bottom"/>
            <w:gridSpan w:val="3"/>
            <w:vMerge w:val="continue"/>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Capitalized</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2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Type/Industry/Portfolio</w:t>
            </w:r>
          </w:p>
        </w:tc>
        <w:tc>
          <w:tcPr>
            <w:tcW w:w="10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9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Dividends</w:t>
            </w: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Fees,</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120" w:type="dxa"/>
            <w:vAlign w:val="bottom"/>
          </w:tcPr>
          <w:p>
            <w:pPr>
              <w:spacing w:after="0"/>
              <w:rPr>
                <w:sz w:val="12"/>
                <w:szCs w:val="12"/>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76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Credited</w:t>
            </w:r>
          </w:p>
        </w:tc>
        <w:tc>
          <w:tcPr>
            <w:tcW w:w="100" w:type="dxa"/>
            <w:vAlign w:val="bottom"/>
          </w:tcPr>
          <w:p>
            <w:pPr>
              <w:spacing w:after="0"/>
              <w:rPr>
                <w:sz w:val="12"/>
                <w:szCs w:val="12"/>
                <w:color w:val="auto"/>
              </w:rPr>
            </w:pPr>
          </w:p>
        </w:tc>
        <w:tc>
          <w:tcPr>
            <w:tcW w:w="76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31,</w:t>
            </w:r>
          </w:p>
        </w:tc>
        <w:tc>
          <w:tcPr>
            <w:tcW w:w="10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Interest and</w:t>
            </w:r>
          </w:p>
        </w:tc>
        <w:tc>
          <w:tcPr>
            <w:tcW w:w="120" w:type="dxa"/>
            <w:vAlign w:val="bottom"/>
          </w:tcPr>
          <w:p>
            <w:pPr>
              <w:spacing w:after="0"/>
              <w:rPr>
                <w:sz w:val="12"/>
                <w:szCs w:val="12"/>
                <w:color w:val="auto"/>
              </w:rPr>
            </w:pPr>
          </w:p>
        </w:tc>
        <w:tc>
          <w:tcPr>
            <w:tcW w:w="68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31,</w:t>
            </w:r>
          </w:p>
        </w:tc>
        <w:tc>
          <w:tcPr>
            <w:tcW w:w="120" w:type="dxa"/>
            <w:vAlign w:val="bottom"/>
          </w:tcPr>
          <w:p>
            <w:pPr>
              <w:spacing w:after="0"/>
              <w:rPr>
                <w:sz w:val="12"/>
                <w:szCs w:val="12"/>
                <w:color w:val="auto"/>
              </w:rPr>
            </w:pPr>
          </w:p>
        </w:tc>
        <w:tc>
          <w:tcPr>
            <w:tcW w:w="760" w:type="dxa"/>
            <w:vAlign w:val="bottom"/>
          </w:tcPr>
          <w:p>
            <w:pPr>
              <w:jc w:val="right"/>
              <w:ind w:right="121"/>
              <w:spacing w:after="0" w:line="149"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95"/>
        </w:trPr>
        <w:tc>
          <w:tcPr>
            <w:tcW w:w="2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Company/Investment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Income</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49"/>
        </w:trPr>
        <w:tc>
          <w:tcPr>
            <w:tcW w:w="28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Digital Media Platform</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Ozy Media, Inc.–Convertible</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8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Promissory Note 5% Due</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12/31/2018</w:t>
            </w:r>
            <w:r>
              <w:rPr>
                <w:rFonts w:ascii="Times New Roman" w:cs="Times New Roman" w:eastAsia="Times New Roman" w:hAnsi="Times New Roman"/>
                <w:sz w:val="21"/>
                <w:szCs w:val="21"/>
                <w:color w:val="auto"/>
                <w:vertAlign w:val="superscript"/>
              </w:rPr>
              <w:t>(7)</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2,102,384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268,104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1,067,639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133,031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1,983,552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3,153,575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0" w:type="dxa"/>
            <w:vAlign w:val="bottom"/>
          </w:tcPr>
          <w:p>
            <w:pPr>
              <w:spacing w:after="0"/>
              <w:rPr>
                <w:sz w:val="1"/>
                <w:szCs w:val="1"/>
                <w:color w:val="auto"/>
              </w:rPr>
            </w:pPr>
          </w:p>
        </w:tc>
      </w:tr>
      <w:tr>
        <w:trPr>
          <w:trHeight w:val="216"/>
        </w:trPr>
        <w:tc>
          <w:tcPr>
            <w:tcW w:w="28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Ozy Media, Inc.–Promissory Note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8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10% Due 2/12/2018***</w:t>
            </w:r>
            <w:r>
              <w:rPr>
                <w:rFonts w:ascii="Times New Roman" w:cs="Times New Roman" w:eastAsia="Times New Roman" w:hAnsi="Times New Roman"/>
                <w:sz w:val="21"/>
                <w:szCs w:val="21"/>
                <w:color w:val="auto"/>
                <w:vertAlign w:val="superscript"/>
              </w:rPr>
              <w:t>(7)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2,384</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(100,000)</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286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Total Digital Media Platform</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270,488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1,067,639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233,031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(130,647)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1,983,552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3,153,575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Social Cognitive Learning</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Declara, Inc.–Convertible</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8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Promissory Note 12% Due</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4/30/2018</w:t>
            </w:r>
            <w:r>
              <w:rPr>
                <w:rFonts w:ascii="Times New Roman" w:cs="Times New Roman" w:eastAsia="Times New Roman" w:hAnsi="Times New Roman"/>
                <w:sz w:val="21"/>
                <w:szCs w:val="21"/>
                <w:color w:val="auto"/>
                <w:vertAlign w:val="superscript"/>
              </w:rPr>
              <w:t>(6)(9)</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2,327,727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207,069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1,120,329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212,254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90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(1,332,583)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0"/>
        </w:trPr>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Debt Investments</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581,813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3,447,680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547,542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(130,647)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649,489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4,514,064</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0" w:type="dxa"/>
            <w:vAlign w:val="bottom"/>
          </w:tcPr>
          <w:p>
            <w:pPr>
              <w:spacing w:after="0"/>
              <w:rPr>
                <w:sz w:val="1"/>
                <w:szCs w:val="1"/>
                <w:color w:val="auto"/>
              </w:rPr>
            </w:pPr>
          </w:p>
        </w:tc>
      </w:tr>
      <w:tr>
        <w:trPr>
          <w:trHeight w:val="237"/>
        </w:trPr>
        <w:tc>
          <w:tcPr>
            <w:tcW w:w="28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Corporate Education</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CUX, Inc. (d/b/a CorpU)–</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8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Convertible preferred shares,</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Series D 6%</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169,033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989,489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(111,484)</w:t>
            </w:r>
          </w:p>
        </w:tc>
        <w:tc>
          <w:tcPr>
            <w:tcW w:w="100" w:type="dxa"/>
            <w:vAlign w:val="bottom"/>
          </w:tcPr>
          <w:p>
            <w:pPr>
              <w:spacing w:after="0"/>
              <w:rPr>
                <w:sz w:val="18"/>
                <w:szCs w:val="18"/>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878,005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CUX, Inc. (d/b/a CorpU)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Convertible preferred shares,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Series C 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615,763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480,184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(480,184)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1"/>
        </w:trPr>
        <w:tc>
          <w:tcPr>
            <w:tcW w:w="2860" w:type="dxa"/>
            <w:vAlign w:val="bottom"/>
            <w:tcBorders>
              <w:top w:val="single" w:sz="8" w:color="CCEEFF"/>
            </w:tcBorders>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Total Corporate Education</w:t>
            </w:r>
          </w:p>
        </w:tc>
        <w:tc>
          <w:tcPr>
            <w:tcW w:w="100" w:type="dxa"/>
            <w:vAlign w:val="bottom"/>
            <w:tcBorders>
              <w:top w:val="single" w:sz="8" w:color="CCEEFF"/>
            </w:tcBorders>
          </w:tcPr>
          <w:p>
            <w:pPr>
              <w:spacing w:after="0"/>
              <w:rPr>
                <w:sz w:val="20"/>
                <w:szCs w:val="20"/>
                <w:color w:val="auto"/>
              </w:rPr>
            </w:pPr>
          </w:p>
        </w:tc>
        <w:tc>
          <w:tcPr>
            <w:tcW w:w="740" w:type="dxa"/>
            <w:vAlign w:val="bottom"/>
            <w:tcBorders>
              <w:top w:val="single" w:sz="8" w:color="CCEEFF"/>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1,469,673</w:t>
            </w:r>
          </w:p>
        </w:tc>
        <w:tc>
          <w:tcPr>
            <w:tcW w:w="10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(591,668)</w:t>
            </w:r>
          </w:p>
        </w:tc>
        <w:tc>
          <w:tcPr>
            <w:tcW w:w="10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878,005</w:t>
            </w:r>
          </w:p>
        </w:tc>
        <w:tc>
          <w:tcPr>
            <w:tcW w:w="8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0.45%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Social Cognitive Learning</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Declara, Inc.–Preferred shares,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Series A 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10,716,390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382,678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(382,678)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Education Media Platform</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EdSurge, Inc.–Preferred shares,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Series A-1</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378,788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250,000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EdSurge, Inc.–Preferred shares,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Series A</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494,365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581,917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(312,069)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269,848</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0" w:type="dxa"/>
            <w:vAlign w:val="bottom"/>
          </w:tcPr>
          <w:p>
            <w:pPr>
              <w:spacing w:after="0"/>
              <w:rPr>
                <w:sz w:val="1"/>
                <w:szCs w:val="1"/>
                <w:color w:val="auto"/>
              </w:rPr>
            </w:pPr>
          </w:p>
        </w:tc>
      </w:tr>
      <w:tr>
        <w:trPr>
          <w:trHeight w:val="231"/>
        </w:trPr>
        <w:tc>
          <w:tcPr>
            <w:tcW w:w="274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6"/>
                <w:szCs w:val="16"/>
                <w:i w:val="1"/>
                <w:iCs w:val="1"/>
                <w:color w:val="auto"/>
              </w:rPr>
              <w:t>Total Education Media Platform</w:t>
            </w:r>
          </w:p>
        </w:tc>
        <w:tc>
          <w:tcPr>
            <w:tcW w:w="120" w:type="dxa"/>
            <w:vAlign w:val="bottom"/>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74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1,081,917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(562,069)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519,848</w:t>
            </w:r>
          </w:p>
        </w:tc>
        <w:tc>
          <w:tcPr>
            <w:tcW w:w="8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Knowledge Networks</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Maven Research, Inc.–Preferred</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shares, Series C</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318,979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501,240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(501,240)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9"/>
        </w:trPr>
        <w:tc>
          <w:tcPr>
            <w:tcW w:w="28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Maven Research, Inc.–Preferred</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8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shares, Series B</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Total Knowledge Networks</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551,240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(551,240)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86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Digital Media Platform</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OzyMedia, Inc.–Preferred shares,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Series B 6%</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922,509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2,367,022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(2,367,022)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8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OzyMedia, Inc.–Preferred shares,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Series A 6%</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1,090,909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1,419,810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(1,419,810)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OzyMedia, Inc.–Preferred shares,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8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Series Seed 6%</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236,635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(236,635)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1"/>
        </w:trPr>
        <w:tc>
          <w:tcPr>
            <w:tcW w:w="286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Total Digital Media Platform</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4,023,467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(4,023,467)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8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Preferred Stock</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7,508,975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(6,111,122)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1,397,854</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0.72%</w:t>
            </w:r>
          </w:p>
        </w:tc>
        <w:tc>
          <w:tcPr>
            <w:tcW w:w="0" w:type="dxa"/>
            <w:vAlign w:val="bottom"/>
          </w:tcPr>
          <w:p>
            <w:pPr>
              <w:spacing w:after="0"/>
              <w:rPr>
                <w:sz w:val="1"/>
                <w:szCs w:val="1"/>
                <w:color w:val="auto"/>
              </w:rPr>
            </w:pPr>
          </w:p>
        </w:tc>
      </w:tr>
      <w:tr>
        <w:trPr>
          <w:trHeight w:val="33"/>
        </w:trPr>
        <w:tc>
          <w:tcPr>
            <w:tcW w:w="2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18" w:right="239" w:bottom="1440" w:gutter="0" w:footer="0" w:header="0"/>
          <w:type w:val="continuous"/>
        </w:sectPr>
      </w:pPr>
    </w:p>
    <w:bookmarkStart w:id="45" w:name="page46"/>
    <w:bookmarkEnd w:id="4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Fees, or</w:t>
            </w:r>
          </w:p>
        </w:tc>
        <w:tc>
          <w:tcPr>
            <w:tcW w:w="10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0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Capitalized</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2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Type/Industry/Portfolio</w:t>
            </w:r>
          </w:p>
        </w:tc>
        <w:tc>
          <w:tcPr>
            <w:tcW w:w="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8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Dividends</w:t>
            </w:r>
          </w:p>
        </w:tc>
        <w:tc>
          <w:tcPr>
            <w:tcW w:w="10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Fees,</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120" w:type="dxa"/>
            <w:vAlign w:val="bottom"/>
          </w:tcPr>
          <w:p>
            <w:pPr>
              <w:spacing w:after="0"/>
              <w:rPr>
                <w:sz w:val="12"/>
                <w:szCs w:val="12"/>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Credited</w:t>
            </w:r>
          </w:p>
        </w:tc>
        <w:tc>
          <w:tcPr>
            <w:tcW w:w="10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Interest and</w:t>
            </w:r>
          </w:p>
        </w:tc>
        <w:tc>
          <w:tcPr>
            <w:tcW w:w="120" w:type="dxa"/>
            <w:vAlign w:val="bottom"/>
          </w:tcPr>
          <w:p>
            <w:pPr>
              <w:spacing w:after="0"/>
              <w:rPr>
                <w:sz w:val="12"/>
                <w:szCs w:val="12"/>
                <w:color w:val="auto"/>
              </w:rPr>
            </w:pPr>
          </w:p>
        </w:tc>
        <w:tc>
          <w:tcPr>
            <w:tcW w:w="7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31,</w:t>
            </w:r>
          </w:p>
        </w:tc>
        <w:tc>
          <w:tcPr>
            <w:tcW w:w="100" w:type="dxa"/>
            <w:vAlign w:val="bottom"/>
          </w:tcPr>
          <w:p>
            <w:pPr>
              <w:spacing w:after="0"/>
              <w:rPr>
                <w:sz w:val="12"/>
                <w:szCs w:val="12"/>
                <w:color w:val="auto"/>
              </w:rPr>
            </w:pPr>
          </w:p>
        </w:tc>
        <w:tc>
          <w:tcPr>
            <w:tcW w:w="800" w:type="dxa"/>
            <w:vAlign w:val="bottom"/>
          </w:tcPr>
          <w:p>
            <w:pPr>
              <w:jc w:val="right"/>
              <w:ind w:right="142"/>
              <w:spacing w:after="0" w:line="149"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95"/>
        </w:trPr>
        <w:tc>
          <w:tcPr>
            <w:tcW w:w="2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Company/Investment</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Income</w:t>
            </w:r>
          </w:p>
        </w:tc>
        <w:tc>
          <w:tcPr>
            <w:tcW w:w="100" w:type="dxa"/>
            <w:vAlign w:val="bottom"/>
          </w:tcPr>
          <w:p>
            <w:pPr>
              <w:spacing w:after="0"/>
              <w:rPr>
                <w:sz w:val="16"/>
                <w:szCs w:val="16"/>
                <w:color w:val="auto"/>
              </w:rPr>
            </w:pPr>
          </w:p>
        </w:tc>
        <w:tc>
          <w:tcPr>
            <w:tcW w:w="80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6"/>
                <w:szCs w:val="16"/>
                <w:color w:val="auto"/>
              </w:rPr>
            </w:pP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00" w:type="dxa"/>
            <w:vAlign w:val="bottom"/>
          </w:tcPr>
          <w:p>
            <w:pPr>
              <w:spacing w:after="0"/>
              <w:rPr>
                <w:sz w:val="16"/>
                <w:szCs w:val="16"/>
                <w:color w:val="auto"/>
              </w:rPr>
            </w:pPr>
          </w:p>
        </w:tc>
        <w:tc>
          <w:tcPr>
            <w:tcW w:w="76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Pr>
          <w:p>
            <w:pPr>
              <w:spacing w:after="0"/>
              <w:rPr>
                <w:sz w:val="16"/>
                <w:szCs w:val="16"/>
                <w:color w:val="auto"/>
              </w:rPr>
            </w:pPr>
          </w:p>
        </w:tc>
        <w:tc>
          <w:tcPr>
            <w:tcW w:w="80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62"/>
        </w:trPr>
        <w:tc>
          <w:tcPr>
            <w:tcW w:w="27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66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80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78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68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spacing w:after="0"/>
              <w:rPr>
                <w:sz w:val="22"/>
                <w:szCs w:val="22"/>
                <w:color w:val="auto"/>
              </w:rPr>
            </w:pPr>
          </w:p>
        </w:tc>
        <w:tc>
          <w:tcPr>
            <w:tcW w:w="80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88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76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800" w:type="dxa"/>
            <w:vAlign w:val="bottom"/>
            <w:tcBorders>
              <w:top w:val="single" w:sz="8" w:color="auto"/>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84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Corporate Education</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CUX, Inc. (d/b/a CorpU) –Preferred</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8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warrants, Series D, Strike Price</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8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$4.59, Expiration Date 2/14/2020</w:t>
            </w:r>
            <w:r>
              <w:rPr>
                <w:rFonts w:ascii="Times New Roman" w:cs="Times New Roman" w:eastAsia="Times New Roman" w:hAnsi="Times New Roman"/>
                <w:sz w:val="21"/>
                <w:szCs w:val="21"/>
                <w:color w:val="auto"/>
                <w:vertAlign w:val="superscript"/>
              </w:rPr>
              <w:t>(5)</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16,903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17,580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19,946</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37"/>
        </w:trPr>
        <w:tc>
          <w:tcPr>
            <w:tcW w:w="284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Digital Media Platform</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OzyMedia, Inc.–Common Warrants,</w:t>
            </w: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8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Strike Price $0.01, Expiration Date</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4/9/2028</w:t>
            </w:r>
            <w:r>
              <w:rPr>
                <w:rFonts w:ascii="Times New Roman" w:cs="Times New Roman" w:eastAsia="Times New Roman" w:hAnsi="Times New Roman"/>
                <w:sz w:val="21"/>
                <w:szCs w:val="21"/>
                <w:color w:val="auto"/>
                <w:vertAlign w:val="superscript"/>
              </w:rPr>
              <w:t>(7)</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295,565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30,647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(30,647)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8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Total Warrants</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2,366</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30,647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(13,067)</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19,946</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8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7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84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Online Education</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Curious.com, Inc.–Common</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8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shares</w:t>
            </w:r>
            <w:r>
              <w:rPr>
                <w:rFonts w:ascii="Times New Roman" w:cs="Times New Roman" w:eastAsia="Times New Roman" w:hAnsi="Times New Roman"/>
                <w:sz w:val="21"/>
                <w:szCs w:val="21"/>
                <w:color w:val="auto"/>
                <w:vertAlign w:val="superscript"/>
              </w:rPr>
              <w:t>(11)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1,135,944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5,514,077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(5,514,077)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8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Total Common Stock</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5,514,077</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(5,514,077)</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NON-</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CONTROLLED/AFFILIATE</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581,813</w:t>
            </w:r>
          </w:p>
        </w:tc>
        <w:tc>
          <w:tcPr>
            <w:tcW w:w="12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16,473,098</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578,189</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(130,647)</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vMerge w:val="restart"/>
            <w:shd w:val="clear" w:color="auto" w:fill="CCEEFF"/>
          </w:tcPr>
          <w:p>
            <w:pPr>
              <w:ind w:left="44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vMerge w:val="restart"/>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(10,988,777)</w:t>
            </w:r>
          </w:p>
        </w:tc>
        <w:tc>
          <w:tcPr>
            <w:tcW w:w="12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5,931,863</w:t>
            </w:r>
          </w:p>
        </w:tc>
        <w:tc>
          <w:tcPr>
            <w:tcW w:w="1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3.04%</w:t>
            </w:r>
          </w:p>
        </w:tc>
        <w:tc>
          <w:tcPr>
            <w:tcW w:w="0" w:type="dxa"/>
            <w:vAlign w:val="bottom"/>
          </w:tcPr>
          <w:p>
            <w:pPr>
              <w:spacing w:after="0"/>
              <w:rPr>
                <w:sz w:val="1"/>
                <w:szCs w:val="1"/>
                <w:color w:val="auto"/>
              </w:rPr>
            </w:pPr>
          </w:p>
        </w:tc>
      </w:tr>
      <w:tr>
        <w:trPr>
          <w:trHeight w:val="272"/>
        </w:trPr>
        <w:tc>
          <w:tcPr>
            <w:tcW w:w="2740" w:type="dxa"/>
            <w:vAlign w:val="bottom"/>
            <w:tcBorders>
              <w:bottom w:val="single" w:sz="8" w:color="CCEEFF"/>
            </w:tcBorders>
            <w:shd w:val="clear" w:color="auto" w:fill="CCEEFF"/>
          </w:tcPr>
          <w:p>
            <w:pPr>
              <w:ind w:left="40"/>
              <w:spacing w:after="0" w:line="232" w:lineRule="exact"/>
              <w:rPr>
                <w:sz w:val="20"/>
                <w:szCs w:val="20"/>
                <w:color w:val="auto"/>
              </w:rPr>
            </w:pPr>
            <w:r>
              <w:rPr>
                <w:rFonts w:ascii="Times New Roman" w:cs="Times New Roman" w:eastAsia="Times New Roman" w:hAnsi="Times New Roman"/>
                <w:sz w:val="16"/>
                <w:szCs w:val="16"/>
                <w:b w:val="1"/>
                <w:bCs w:val="1"/>
                <w:color w:val="auto"/>
              </w:rPr>
              <w:t>INVESTMENTS*</w:t>
            </w:r>
            <w:r>
              <w:rPr>
                <w:rFonts w:ascii="Times New Roman" w:cs="Times New Roman" w:eastAsia="Times New Roman" w:hAnsi="Times New Roman"/>
                <w:sz w:val="21"/>
                <w:szCs w:val="21"/>
                <w:b w:val="1"/>
                <w:bCs w:val="1"/>
                <w:color w:val="auto"/>
                <w:vertAlign w:val="superscript"/>
              </w:rPr>
              <w:t>(1)</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vMerge w:val="continue"/>
            <w:shd w:val="clear" w:color="auto" w:fill="CCEEFF"/>
          </w:tcPr>
          <w:p>
            <w:pPr>
              <w:spacing w:after="0"/>
              <w:rPr>
                <w:sz w:val="23"/>
                <w:szCs w:val="23"/>
                <w:color w:val="auto"/>
              </w:rPr>
            </w:pPr>
          </w:p>
        </w:tc>
        <w:tc>
          <w:tcPr>
            <w:tcW w:w="660" w:type="dxa"/>
            <w:vAlign w:val="bottom"/>
            <w:tcBorders>
              <w:bottom w:val="single" w:sz="8" w:color="auto"/>
            </w:tcBorders>
            <w:vMerge w:val="continue"/>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vMerge w:val="continue"/>
            <w:shd w:val="clear" w:color="auto" w:fill="CCEEFF"/>
          </w:tcPr>
          <w:p>
            <w:pPr>
              <w:spacing w:after="0"/>
              <w:rPr>
                <w:sz w:val="23"/>
                <w:szCs w:val="23"/>
                <w:color w:val="auto"/>
              </w:rPr>
            </w:pPr>
          </w:p>
        </w:tc>
        <w:tc>
          <w:tcPr>
            <w:tcW w:w="800" w:type="dxa"/>
            <w:vAlign w:val="bottom"/>
            <w:tcBorders>
              <w:bottom w:val="single" w:sz="8" w:color="auto"/>
            </w:tcBorders>
            <w:vMerge w:val="continue"/>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vMerge w:val="continue"/>
            <w:shd w:val="clear" w:color="auto" w:fill="CCEEFF"/>
          </w:tcPr>
          <w:p>
            <w:pPr>
              <w:spacing w:after="0"/>
              <w:rPr>
                <w:sz w:val="23"/>
                <w:szCs w:val="23"/>
                <w:color w:val="auto"/>
              </w:rPr>
            </w:pPr>
          </w:p>
        </w:tc>
        <w:tc>
          <w:tcPr>
            <w:tcW w:w="780" w:type="dxa"/>
            <w:vAlign w:val="bottom"/>
            <w:tcBorders>
              <w:bottom w:val="single" w:sz="8" w:color="auto"/>
            </w:tcBorders>
            <w:vMerge w:val="continue"/>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vMerge w:val="continue"/>
            <w:shd w:val="clear" w:color="auto" w:fill="CCEEFF"/>
          </w:tcPr>
          <w:p>
            <w:pPr>
              <w:spacing w:after="0"/>
              <w:rPr>
                <w:sz w:val="23"/>
                <w:szCs w:val="23"/>
                <w:color w:val="auto"/>
              </w:rPr>
            </w:pPr>
          </w:p>
        </w:tc>
        <w:tc>
          <w:tcPr>
            <w:tcW w:w="680" w:type="dxa"/>
            <w:vAlign w:val="bottom"/>
            <w:tcBorders>
              <w:bottom w:val="single" w:sz="8" w:color="auto"/>
            </w:tcBorders>
            <w:vMerge w:val="continue"/>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vMerge w:val="continue"/>
            <w:shd w:val="clear" w:color="auto" w:fill="CCEEFF"/>
          </w:tcPr>
          <w:p>
            <w:pPr>
              <w:spacing w:after="0"/>
              <w:rPr>
                <w:sz w:val="23"/>
                <w:szCs w:val="23"/>
                <w:color w:val="auto"/>
              </w:rPr>
            </w:pPr>
          </w:p>
        </w:tc>
        <w:tc>
          <w:tcPr>
            <w:tcW w:w="800" w:type="dxa"/>
            <w:vAlign w:val="bottom"/>
            <w:tcBorders>
              <w:bottom w:val="single" w:sz="8" w:color="auto"/>
            </w:tcBorders>
            <w:vMerge w:val="continue"/>
            <w:shd w:val="clear" w:color="auto" w:fill="CCEEFF"/>
          </w:tcPr>
          <w:p>
            <w:pPr>
              <w:spacing w:after="0"/>
              <w:rPr>
                <w:sz w:val="23"/>
                <w:szCs w:val="23"/>
                <w:color w:val="auto"/>
              </w:rPr>
            </w:pPr>
          </w:p>
        </w:tc>
        <w:tc>
          <w:tcPr>
            <w:tcW w:w="100" w:type="dxa"/>
            <w:vAlign w:val="bottom"/>
            <w:tcBorders>
              <w:bottom w:val="single" w:sz="8" w:color="CCEEFF"/>
            </w:tcBorders>
            <w:vMerge w:val="continue"/>
            <w:shd w:val="clear" w:color="auto" w:fill="CCEEFF"/>
          </w:tcPr>
          <w:p>
            <w:pPr>
              <w:spacing w:after="0"/>
              <w:rPr>
                <w:sz w:val="23"/>
                <w:szCs w:val="23"/>
                <w:color w:val="auto"/>
              </w:rPr>
            </w:pPr>
          </w:p>
        </w:tc>
        <w:tc>
          <w:tcPr>
            <w:tcW w:w="120" w:type="dxa"/>
            <w:vAlign w:val="bottom"/>
            <w:tcBorders>
              <w:bottom w:val="single" w:sz="8" w:color="auto"/>
            </w:tcBorders>
            <w:vMerge w:val="continue"/>
            <w:shd w:val="clear" w:color="auto" w:fill="CCEEFF"/>
          </w:tcPr>
          <w:p>
            <w:pPr>
              <w:spacing w:after="0"/>
              <w:rPr>
                <w:sz w:val="23"/>
                <w:szCs w:val="23"/>
                <w:color w:val="auto"/>
              </w:rPr>
            </w:pPr>
          </w:p>
        </w:tc>
        <w:tc>
          <w:tcPr>
            <w:tcW w:w="880" w:type="dxa"/>
            <w:vAlign w:val="bottom"/>
            <w:tcBorders>
              <w:bottom w:val="single" w:sz="8" w:color="auto"/>
            </w:tcBorders>
            <w:vMerge w:val="continue"/>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vMerge w:val="continue"/>
            <w:shd w:val="clear" w:color="auto" w:fill="CCEEFF"/>
          </w:tcPr>
          <w:p>
            <w:pPr>
              <w:spacing w:after="0"/>
              <w:rPr>
                <w:sz w:val="23"/>
                <w:szCs w:val="23"/>
                <w:color w:val="auto"/>
              </w:rPr>
            </w:pPr>
          </w:p>
        </w:tc>
        <w:tc>
          <w:tcPr>
            <w:tcW w:w="760" w:type="dxa"/>
            <w:vAlign w:val="bottom"/>
            <w:tcBorders>
              <w:bottom w:val="single" w:sz="8" w:color="auto"/>
            </w:tcBorders>
            <w:vMerge w:val="continue"/>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auto"/>
            </w:tcBorders>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-1868805</wp:posOffset>
            </wp:positionV>
            <wp:extent cx="17322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____________________</w:t>
      </w:r>
    </w:p>
    <w:p>
      <w:pPr>
        <w:spacing w:after="0" w:line="22" w:lineRule="exact"/>
        <w:rPr>
          <w:sz w:val="20"/>
          <w:szCs w:val="20"/>
          <w:color w:val="auto"/>
        </w:rPr>
      </w:pPr>
    </w:p>
    <w:p>
      <w:pPr>
        <w:jc w:val="both"/>
        <w:ind w:left="340" w:hanging="332"/>
        <w:spacing w:after="0" w:line="281"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All portfolio investments are non-income-producing, unless otherwise identified. Equity investments are subject to lock-up restrictions upon their IPO. Preferred dividends are generally only payable when declared and paid by the portfolio company's board of directors. Unless otherwise noted, all investments were pledged as collateral under the Credit Facility. The Company’s and GSV Asset Management’s officers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portfolio investments are considered Level 3 and valued using unobservable inputs, unless otherwise noted. All of the Company's portfolio investments are restricted as to resale, unless otherwise noted, and were valued at fair value as determined in good faith by the Company’s Board of Directors. (Refer to "Note 2—Significant Accounting Policies—</w:t>
      </w:r>
      <w:r>
        <w:rPr>
          <w:rFonts w:ascii="Times New Roman" w:cs="Times New Roman" w:eastAsia="Times New Roman" w:hAnsi="Times New Roman"/>
          <w:sz w:val="16"/>
          <w:szCs w:val="16"/>
          <w:i w:val="1"/>
          <w:iCs w:val="1"/>
          <w:color w:val="auto"/>
        </w:rPr>
        <w:t>Investments at Fair Value</w:t>
      </w:r>
      <w:r>
        <w:rPr>
          <w:rFonts w:ascii="Times New Roman" w:cs="Times New Roman" w:eastAsia="Times New Roman" w:hAnsi="Times New Roman"/>
          <w:sz w:val="16"/>
          <w:szCs w:val="16"/>
          <w:color w:val="auto"/>
        </w:rPr>
        <w:t>").</w:t>
      </w:r>
    </w:p>
    <w:p>
      <w:pPr>
        <w:spacing w:after="0" w:line="153"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assets that GSV Capital Corp. believes do not represent “qualifying assets” under Section 55(a) of the 1940 Act.</w:t>
      </w:r>
    </w:p>
    <w:p>
      <w:pPr>
        <w:spacing w:after="0" w:line="194"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is income-producing.</w:t>
      </w:r>
    </w:p>
    <w:p>
      <w:pPr>
        <w:spacing w:after="0" w:line="194" w:lineRule="exact"/>
        <w:rPr>
          <w:sz w:val="20"/>
          <w:szCs w:val="20"/>
          <w:color w:val="auto"/>
        </w:rPr>
      </w:pPr>
    </w:p>
    <w:p>
      <w:pPr>
        <w:jc w:val="both"/>
        <w:ind w:left="500" w:hanging="492"/>
        <w:spacing w:after="0" w:line="263" w:lineRule="auto"/>
        <w:tabs>
          <w:tab w:leader="none" w:pos="5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“Affiliate Investments” are investments in those companies that are “Affiliated Companies” of GSV Capital Corp., as defined in the 1940 Act. In general, a company is deemed to be an “Affiliate” of GSV Capital Corp. if GSV Capital Corp. owns 5% or more of the voting securities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securities with the right to elect directors) of such company.</w:t>
      </w:r>
    </w:p>
    <w:p>
      <w:pPr>
        <w:spacing w:after="0" w:line="151" w:lineRule="exact"/>
        <w:rPr>
          <w:rFonts w:ascii="Times New Roman" w:cs="Times New Roman" w:eastAsia="Times New Roman" w:hAnsi="Times New Roman"/>
          <w:sz w:val="16"/>
          <w:szCs w:val="16"/>
          <w:color w:val="auto"/>
        </w:rPr>
      </w:pPr>
    </w:p>
    <w:p>
      <w:pPr>
        <w:jc w:val="both"/>
        <w:ind w:left="500" w:hanging="492"/>
        <w:spacing w:after="0" w:line="263" w:lineRule="auto"/>
        <w:tabs>
          <w:tab w:leader="none" w:pos="5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“Control Investments” are investments in those companies that are “Controlled Companies” of GSV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 such portfolio company.</w:t>
      </w:r>
    </w:p>
    <w:p>
      <w:pPr>
        <w:spacing w:after="0" w:line="151"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GSV Capital Corp.’s investments in StormWind, LLC are held through GSV Capital Corp.'s wholly owned subsidiary, GSVC SW Holdings, Inc.</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18" w:right="239" w:bottom="1440" w:gutter="0" w:footer="0" w:header="0"/>
        </w:sectPr>
      </w:pPr>
    </w:p>
    <w:bookmarkStart w:id="46" w:name="page47"/>
    <w:bookmarkEnd w:id="4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238" w:lineRule="exact"/>
        <w:rPr>
          <w:sz w:val="20"/>
          <w:szCs w:val="20"/>
          <w:color w:val="auto"/>
        </w:rPr>
      </w:pPr>
    </w:p>
    <w:p>
      <w:pPr>
        <w:jc w:val="both"/>
        <w:ind w:left="500" w:hanging="492"/>
        <w:spacing w:after="0" w:line="258" w:lineRule="auto"/>
        <w:tabs>
          <w:tab w:leader="none" w:pos="5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will accrue daily on the unpaid principal balance of the note. Interest began compounding annually on November 26, 2015. Accrued interest is not payable until the earlier of (a) the closing of a subsequent equity offering by CUX, Inc. (d/b/a CorpU), or (b) the maturity of the note. On October 31, 2018, GSV Capital Corp. agreed to extend the maturity of the Senior Subordinated Convertible Promissory Note to CUX, Inc. (d/b/a CorpU) until February 14, 2020, with a new interest rate of 10%. Accrued interest will continue to be compounded annually on November 26 of the current and each subsequent year until repaid.</w:t>
      </w:r>
    </w:p>
    <w:p>
      <w:pPr>
        <w:spacing w:after="0" w:line="154" w:lineRule="exact"/>
        <w:rPr>
          <w:rFonts w:ascii="Times New Roman" w:cs="Times New Roman" w:eastAsia="Times New Roman" w:hAnsi="Times New Roman"/>
          <w:sz w:val="16"/>
          <w:szCs w:val="16"/>
          <w:color w:val="auto"/>
        </w:rPr>
      </w:pPr>
    </w:p>
    <w:p>
      <w:pPr>
        <w:jc w:val="both"/>
        <w:ind w:left="500" w:hanging="492"/>
        <w:spacing w:after="0" w:line="258" w:lineRule="auto"/>
        <w:tabs>
          <w:tab w:leader="none" w:pos="5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February 23, 2018, CUX, Inc. (d/b/a CorpU) agreed to extend the maturity of the GSV Capital Corp.'s Series D warrants until August 1, 2018. On July 31, 2018, CUX, Inc. (d/b/a CorpU) agreed to further extend the maturity of GSV Capital Corp.'s Series D warrants until November 26, 2018. On October 31, 2018, and in connection with the extension of the maturity date on the related debt investment, CUX, Inc. (d/b/a CorpU) agreed to further extend the maturity of GSV Capital Corp's Series D warrants until February 14, 2020.</w:t>
      </w:r>
    </w:p>
    <w:p>
      <w:pPr>
        <w:spacing w:after="0" w:line="154" w:lineRule="exact"/>
        <w:rPr>
          <w:rFonts w:ascii="Times New Roman" w:cs="Times New Roman" w:eastAsia="Times New Roman" w:hAnsi="Times New Roman"/>
          <w:sz w:val="16"/>
          <w:szCs w:val="16"/>
          <w:color w:val="auto"/>
        </w:rPr>
      </w:pPr>
    </w:p>
    <w:p>
      <w:pPr>
        <w:jc w:val="both"/>
        <w:ind w:left="500" w:hanging="492"/>
        <w:spacing w:after="0" w:line="260" w:lineRule="auto"/>
        <w:tabs>
          <w:tab w:leader="none" w:pos="5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January 31, 2018, the maturity date of the convertible promissory note to Declara, Inc. was extended an additional three months to April 30, 2018 and the interest rate on the convertible promissory note increased to 12% per annum (including 365 days for the purposes of accrual). On January 31, 2018 the convertible promissory note to Declara Inc. was placed on non-accrual status. On April 30, 2018, the Company deemed this investment to be in default based on Declara Inc.'s financial position.</w:t>
      </w:r>
    </w:p>
    <w:p>
      <w:pPr>
        <w:spacing w:after="0" w:line="347" w:lineRule="exact"/>
        <w:rPr>
          <w:rFonts w:ascii="Times New Roman" w:cs="Times New Roman" w:eastAsia="Times New Roman" w:hAnsi="Times New Roman"/>
          <w:sz w:val="16"/>
          <w:szCs w:val="16"/>
          <w:color w:val="auto"/>
        </w:rPr>
      </w:pPr>
    </w:p>
    <w:p>
      <w:pPr>
        <w:jc w:val="both"/>
        <w:ind w:left="500" w:hanging="492"/>
        <w:spacing w:after="0" w:line="255" w:lineRule="auto"/>
        <w:tabs>
          <w:tab w:leader="none" w:pos="5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April 9, 2018, the term of Ozy Media Inc.'s notes were extended through the issuance of a new convertible promissory note, which extended the maturity date of the existing notes to October 31, 2018 and then to December 31, 2018 once certain conditions were satisfied. Effective August 17, 2018, Ozy Media Inc. executed an additional debt amendment, which expanded its borrowing limit. In consideration for amending and restating the existing notes, the Company was issued warrants exercisable for 295,565 shares of Ozy Media Inc.'s common stock. Subsequent to the year-ended December 31, 2018, Ozy Media Inc.'s obligations under its financing arrangements with the Company became past due.</w:t>
      </w:r>
    </w:p>
    <w:p>
      <w:pPr>
        <w:spacing w:after="0" w:line="157"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January 12, 2018, the unsecured promissory note to NestGSV, Inc. (d/b/a GSV Labs, Inc.) was repaid, with interest.</w:t>
      </w:r>
    </w:p>
    <w:p>
      <w:pPr>
        <w:spacing w:after="0" w:line="194"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2018, the investments noted had been placed on non-accrual status.</w:t>
      </w:r>
    </w:p>
    <w:p>
      <w:pPr>
        <w:spacing w:after="0" w:line="194" w:lineRule="exact"/>
        <w:rPr>
          <w:rFonts w:ascii="Times New Roman" w:cs="Times New Roman" w:eastAsia="Times New Roman" w:hAnsi="Times New Roman"/>
          <w:sz w:val="16"/>
          <w:szCs w:val="16"/>
          <w:color w:val="auto"/>
        </w:rPr>
      </w:pPr>
    </w:p>
    <w:p>
      <w:pPr>
        <w:jc w:val="both"/>
        <w:ind w:left="500" w:hanging="492"/>
        <w:spacing w:after="0" w:line="253" w:lineRule="auto"/>
        <w:tabs>
          <w:tab w:leader="none" w:pos="5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July 31, 2018, GSV Capital Corp agreed to extend the Convertible Promissory Note to NestGSV, Inc. (d/b/a GSV Labs, Inc.) until December 31, 2018, with a new interest rate of 12%. Previously accrued interest will be capitalized into the principal of the extended note. On December 31, 2018, GSV Capital Corp extended the maturity of the Convertible Promissory Note to December 31, 2019, compounded the previously accrued and then-outstanding interest and invested an additional $300,000. The Convertible Promissory Note continues to accrue interest at 12%. In consideration for the extension and additional investment, the 500,000 Series A-3 Preferred Warrants due April 4, 2019 and the 187,500 Series A-4 Preferred Warrants due October 6, 2019, were extended to April 4, 2021 and October 6, 2021, respectively. The Company also received an additional 250,000 Series B Preferred Warrants due December 31, 2023.</w:t>
      </w:r>
    </w:p>
    <w:p>
      <w:pPr>
        <w:spacing w:after="0" w:line="159" w:lineRule="exact"/>
        <w:rPr>
          <w:rFonts w:ascii="Times New Roman" w:cs="Times New Roman" w:eastAsia="Times New Roman" w:hAnsi="Times New Roman"/>
          <w:sz w:val="16"/>
          <w:szCs w:val="16"/>
          <w:color w:val="auto"/>
        </w:rPr>
      </w:pPr>
    </w:p>
    <w:p>
      <w:pPr>
        <w:ind w:left="500" w:right="20" w:hanging="492"/>
        <w:spacing w:after="0" w:line="281" w:lineRule="auto"/>
        <w:tabs>
          <w:tab w:leader="none" w:pos="5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June 8, 2018, Curious.com, Inc. completed a recapitalization and issued new Series C preferred shares. In connection with the offering, GSV Capital Corp.'s 3,407,834 Series B preferred shares were converted into common shares. Additionally, a 1:3 reverse stock split was declared on the now common shares.</w:t>
      </w:r>
    </w:p>
    <w:p>
      <w:pPr>
        <w:spacing w:after="0" w:line="136" w:lineRule="exact"/>
        <w:rPr>
          <w:rFonts w:ascii="Times New Roman" w:cs="Times New Roman" w:eastAsia="Times New Roman" w:hAnsi="Times New Roman"/>
          <w:sz w:val="16"/>
          <w:szCs w:val="16"/>
          <w:color w:val="auto"/>
        </w:rPr>
      </w:pPr>
    </w:p>
    <w:p>
      <w:pPr>
        <w:jc w:val="both"/>
        <w:ind w:left="500" w:hanging="492"/>
        <w:spacing w:after="0" w:line="263" w:lineRule="auto"/>
        <w:tabs>
          <w:tab w:leader="none" w:pos="5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SPBRX, INC. (f/k/a GSV Sustainability Partners, Inc.) preferred shares held by GSV Capital Corp. do not entitle GSV Capital Corp. to a preferred dividend rate. During the year ended December 31, 2018, SPBRX, INC. declared, and GSV Capital Corp. received, an aggregate of $625,000 in cash distributions. GSV Capital Corp. does not anticipate that SPBRX, INC. will pay distributions on a quarterly or regular basis or become a predictable distributor of distributions.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18" w:right="239" w:bottom="1440" w:gutter="0" w:footer="0" w:header="0"/>
        </w:sectPr>
      </w:pPr>
    </w:p>
    <w:bookmarkStart w:id="47" w:name="page48"/>
    <w:bookmarkEnd w:id="4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5—SHARE REPURCHASE PROGRAM, EQUITY OFFERINGS AND RELATED EXPENSES</w:t>
      </w:r>
    </w:p>
    <w:p>
      <w:pPr>
        <w:spacing w:after="0" w:line="229" w:lineRule="exact"/>
        <w:rPr>
          <w:sz w:val="20"/>
          <w:szCs w:val="20"/>
          <w:color w:val="auto"/>
        </w:rPr>
      </w:pPr>
    </w:p>
    <w:p>
      <w:pPr>
        <w:jc w:val="both"/>
        <w:ind w:firstLine="351"/>
        <w:spacing w:after="0" w:line="254" w:lineRule="auto"/>
        <w:rPr>
          <w:sz w:val="20"/>
          <w:szCs w:val="20"/>
          <w:color w:val="auto"/>
        </w:rPr>
      </w:pPr>
      <w:r>
        <w:rPr>
          <w:rFonts w:ascii="Times New Roman" w:cs="Times New Roman" w:eastAsia="Times New Roman" w:hAnsi="Times New Roman"/>
          <w:sz w:val="18"/>
          <w:szCs w:val="18"/>
          <w:color w:val="auto"/>
        </w:rPr>
        <w:t>On August 8, 2017, the Company announced a $5.0 million discretionary open-market share repurchase program of shares of the Company’s common stock, $0.01 par value per share, of up to $5.0 million until the earlier of (i) August 6, 2018 or (ii) the repurchase of $5.0 million in aggregate amount of the Company’s common stock (the “Share Repurchase Program”). On November 7, 2017, the Company’s Board of Directors authorized an extension of, and an increase in the amount of shares of the Company’s common stock that may be repurchased under the discretionary Share Repurchase Program until the earlier of (i) November 6, 2018 or (ii) the repurchase of $10.0 million in aggregate amount of the Company’s common stock. On May 3, 2018, the Company’s Board of Directors authorized a $5.0 million increase in the amount of shares of the Company’s common stock that may be repurchased under the discretionary Share Repurchase Program until the earlier of (i) November 6, 2018 or (ii) the repurchase of $15.0 million in aggregate amount of the Company’s common stock. On November 1, 2018, our Board of Directors authorized a $5.0 million increase in the amount of shares of our common stock that may be repurchased under the discretionary Share Repurchase Program until the earlier of (i) October 31, 2019 or (ii) the repurchase of $20.0 million in aggregate amount of our common stock.</w:t>
      </w:r>
    </w:p>
    <w:p>
      <w:pPr>
        <w:spacing w:after="0" w:line="186"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The timing and number of shares to be repurchased will depend on a number of factors, including market conditions and alternative investment opportunities. The Share Repurchase Program may be suspended, terminated or modified at any time for any reason and does not obligate the Company to acquire any specific number of shares of its common stock. Under the Share Repurchase Program, we may repurchase our outstanding common stock in the open market provided that we comply with the prohibitions under our insider trading policies and procedures and the applicable provisions of the 1940 Act and the Securities Exchange Act of 1934, as amended.</w:t>
      </w:r>
    </w:p>
    <w:p>
      <w:pPr>
        <w:spacing w:after="0" w:line="184"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2019, the Company repurchased 115,801 and 115,801, respectively, of shares of the Company’s common stock pursuant to the Share Repurchase Program. As of June 30, 2019, the dollar value of shares that remained available to be purchased by the Company under the Share Repurchase Program was approximately $4.1 million.</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 new shares of the Company’s common stock were issued during the three and six months ended June 30, 2019.</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6—NET CHANGE IN NET ASSETS RESULTING FROM OPERATIONS PER COMMON SHARE—BASIC AND DILUTED</w:t>
      </w:r>
    </w:p>
    <w:p>
      <w:pPr>
        <w:spacing w:after="0" w:line="229" w:lineRule="exact"/>
        <w:rPr>
          <w:sz w:val="20"/>
          <w:szCs w:val="20"/>
          <w:color w:val="auto"/>
        </w:rPr>
      </w:pPr>
    </w:p>
    <w:p>
      <w:pPr>
        <w:jc w:val="both"/>
        <w:ind w:firstLine="351"/>
        <w:spacing w:after="0" w:line="282" w:lineRule="auto"/>
        <w:rPr>
          <w:sz w:val="20"/>
          <w:szCs w:val="20"/>
          <w:color w:val="auto"/>
        </w:rPr>
      </w:pPr>
      <w:r>
        <w:rPr>
          <w:rFonts w:ascii="Times New Roman" w:cs="Times New Roman" w:eastAsia="Times New Roman" w:hAnsi="Times New Roman"/>
          <w:sz w:val="18"/>
          <w:szCs w:val="18"/>
          <w:color w:val="auto"/>
        </w:rPr>
        <w:t>The following information sets forth the computation of basic and diluted net increase in net assets resulting from operations per common share, pursuant to ASC 260, for the three and six months ended June 30, 2019 and 2018.</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30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0" w:type="dxa"/>
            <w:vAlign w:val="bottom"/>
          </w:tcPr>
          <w:p>
            <w:pPr>
              <w:spacing w:after="0"/>
              <w:rPr>
                <w:sz w:val="16"/>
                <w:szCs w:val="16"/>
                <w:color w:val="auto"/>
              </w:rPr>
            </w:pPr>
          </w:p>
        </w:tc>
        <w:tc>
          <w:tcPr>
            <w:tcW w:w="3080" w:type="dxa"/>
            <w:vAlign w:val="bottom"/>
            <w:gridSpan w:val="4"/>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03"/>
        </w:trPr>
        <w:tc>
          <w:tcPr>
            <w:tcW w:w="424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Earnings per common share–basic:</w:t>
            </w: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44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6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change in net assets resulting from operations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(675,605)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8,830,003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16,484,008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15,796,299</w:t>
            </w:r>
          </w:p>
        </w:tc>
        <w:tc>
          <w:tcPr>
            <w:tcW w:w="0" w:type="dxa"/>
            <w:vAlign w:val="bottom"/>
          </w:tcPr>
          <w:p>
            <w:pPr>
              <w:spacing w:after="0"/>
              <w:rPr>
                <w:sz w:val="1"/>
                <w:szCs w:val="1"/>
                <w:color w:val="auto"/>
              </w:rPr>
            </w:pPr>
          </w:p>
        </w:tc>
      </w:tr>
      <w:tr>
        <w:trPr>
          <w:trHeight w:val="237"/>
        </w:trPr>
        <w:tc>
          <w:tcPr>
            <w:tcW w:w="424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Weighted-average common shares–basic</w:t>
            </w:r>
          </w:p>
        </w:tc>
        <w:tc>
          <w:tcPr>
            <w:tcW w:w="40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19,719,706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20,968,850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19,741,058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21,059,254</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Earnings per common share–basic</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0.42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0.84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0.75</w:t>
            </w:r>
          </w:p>
        </w:tc>
        <w:tc>
          <w:tcPr>
            <w:tcW w:w="0" w:type="dxa"/>
            <w:vAlign w:val="bottom"/>
          </w:tcPr>
          <w:p>
            <w:pPr>
              <w:spacing w:after="0"/>
              <w:rPr>
                <w:sz w:val="1"/>
                <w:szCs w:val="1"/>
                <w:color w:val="auto"/>
              </w:rPr>
            </w:pPr>
          </w:p>
        </w:tc>
      </w:tr>
      <w:tr>
        <w:trPr>
          <w:trHeight w:val="20"/>
        </w:trPr>
        <w:tc>
          <w:tcPr>
            <w:tcW w:w="4240" w:type="dxa"/>
            <w:vAlign w:val="bottom"/>
            <w:gridSpan w:val="4"/>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Earnings per common share–diluted:</w:t>
            </w: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240" w:type="dxa"/>
            <w:vAlign w:val="bottom"/>
            <w:gridSpan w:val="4"/>
            <w:vMerge w:val="continue"/>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44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6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change in net assets resulting from operations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(675,605)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8,830,003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16,484,008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15,796,299</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20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Adjustment for interest and amortization on 5.25%</w:t>
            </w: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Convertible Senior Notes due 2018</w:t>
            </w:r>
            <w:r>
              <w:rPr>
                <w:rFonts w:ascii="Times New Roman" w:cs="Times New Roman" w:eastAsia="Times New Roman" w:hAnsi="Times New Roman"/>
                <w:sz w:val="21"/>
                <w:szCs w:val="21"/>
                <w:color w:val="auto"/>
                <w:vertAlign w:val="superscript"/>
              </w:rPr>
              <w:t>(1)</w:t>
            </w:r>
          </w:p>
        </w:tc>
        <w:tc>
          <w:tcPr>
            <w:tcW w:w="40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1"/>
                <w:szCs w:val="21"/>
                <w:color w:val="auto"/>
              </w:rPr>
            </w:pPr>
          </w:p>
        </w:tc>
        <w:tc>
          <w:tcPr>
            <w:tcW w:w="13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821,585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1"/>
                <w:szCs w:val="21"/>
                <w:color w:val="auto"/>
              </w:rPr>
            </w:pPr>
          </w:p>
        </w:tc>
        <w:tc>
          <w:tcPr>
            <w:tcW w:w="12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1,872,253</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2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 for interest and amortization on 4.75%</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42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Convertible Senior Notes due 2023</w:t>
            </w:r>
            <w:r>
              <w:rPr>
                <w:rFonts w:ascii="Times New Roman" w:cs="Times New Roman" w:eastAsia="Times New Roman" w:hAnsi="Times New Roman"/>
                <w:sz w:val="21"/>
                <w:szCs w:val="21"/>
                <w:color w:val="auto"/>
                <w:vertAlign w:val="superscript"/>
              </w:rPr>
              <w:t>(1)</w:t>
            </w:r>
          </w:p>
        </w:tc>
        <w:tc>
          <w:tcPr>
            <w:tcW w:w="4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570,505</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1,133,045</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589,302</w:t>
            </w:r>
          </w:p>
        </w:tc>
        <w:tc>
          <w:tcPr>
            <w:tcW w:w="0" w:type="dxa"/>
            <w:vAlign w:val="bottom"/>
          </w:tcPr>
          <w:p>
            <w:pPr>
              <w:spacing w:after="0"/>
              <w:rPr>
                <w:sz w:val="1"/>
                <w:szCs w:val="1"/>
                <w:color w:val="auto"/>
              </w:rPr>
            </w:pPr>
          </w:p>
        </w:tc>
      </w:tr>
      <w:tr>
        <w:trPr>
          <w:trHeight w:val="217"/>
        </w:trPr>
        <w:tc>
          <w:tcPr>
            <w:tcW w:w="4240" w:type="dxa"/>
            <w:vAlign w:val="bottom"/>
            <w:tcBorders>
              <w:top w:val="single" w:sz="8" w:color="CCEEFF"/>
            </w:tcBorders>
            <w:gridSpan w:val="4"/>
          </w:tcPr>
          <w:p>
            <w:pPr>
              <w:ind w:left="40"/>
              <w:spacing w:after="0"/>
              <w:rPr>
                <w:sz w:val="20"/>
                <w:szCs w:val="20"/>
                <w:color w:val="auto"/>
              </w:rPr>
            </w:pPr>
            <w:r>
              <w:rPr>
                <w:rFonts w:ascii="Times New Roman" w:cs="Times New Roman" w:eastAsia="Times New Roman" w:hAnsi="Times New Roman"/>
                <w:sz w:val="16"/>
                <w:szCs w:val="16"/>
                <w:color w:val="auto"/>
              </w:rPr>
              <w:t>Net change in net assets resulting from operations, as adjusted</w:t>
            </w:r>
          </w:p>
        </w:tc>
        <w:tc>
          <w:tcPr>
            <w:tcW w:w="40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(675,605)</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10,222,093</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17,617,053</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18,257,854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2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 for dilutive effect of 5.25% Convertible Senior</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42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Notes due 2018</w:t>
            </w:r>
            <w:r>
              <w:rPr>
                <w:rFonts w:ascii="Times New Roman" w:cs="Times New Roman" w:eastAsia="Times New Roman" w:hAnsi="Times New Roman"/>
                <w:sz w:val="21"/>
                <w:szCs w:val="21"/>
                <w:color w:val="auto"/>
                <w:vertAlign w:val="superscript"/>
              </w:rPr>
              <w:t>(1)</w:t>
            </w:r>
          </w:p>
        </w:tc>
        <w:tc>
          <w:tcPr>
            <w:tcW w:w="40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4,166,480</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4,757,803</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20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Adjustment for dilutive effect of 4.75% Convertible Senior</w:t>
            </w: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Notes due 2023</w:t>
            </w:r>
            <w:r>
              <w:rPr>
                <w:rFonts w:ascii="Times New Roman" w:cs="Times New Roman" w:eastAsia="Times New Roman" w:hAnsi="Times New Roman"/>
                <w:sz w:val="21"/>
                <w:szCs w:val="21"/>
                <w:color w:val="auto"/>
                <w:vertAlign w:val="superscript"/>
              </w:rPr>
              <w:t>(1)</w:t>
            </w:r>
          </w:p>
        </w:tc>
        <w:tc>
          <w:tcPr>
            <w:tcW w:w="40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1"/>
                <w:szCs w:val="21"/>
                <w:color w:val="auto"/>
              </w:rPr>
            </w:pPr>
          </w:p>
        </w:tc>
        <w:tc>
          <w:tcPr>
            <w:tcW w:w="13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3,731,344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3,731,344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1,979,055</w:t>
            </w:r>
          </w:p>
        </w:tc>
        <w:tc>
          <w:tcPr>
            <w:tcW w:w="0" w:type="dxa"/>
            <w:vAlign w:val="bottom"/>
          </w:tcPr>
          <w:p>
            <w:pPr>
              <w:spacing w:after="0"/>
              <w:rPr>
                <w:sz w:val="1"/>
                <w:szCs w:val="1"/>
                <w:color w:val="auto"/>
              </w:rPr>
            </w:pPr>
          </w:p>
        </w:tc>
      </w:tr>
      <w:tr>
        <w:trPr>
          <w:trHeight w:val="250"/>
        </w:trPr>
        <w:tc>
          <w:tcPr>
            <w:tcW w:w="4240" w:type="dxa"/>
            <w:vAlign w:val="bottom"/>
            <w:tcBorders>
              <w:top w:val="single" w:sz="8" w:color="CCEEFF"/>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Weighted-average common shares outstanding–diluted</w:t>
            </w: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19,719,706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28,866,674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23,472,402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27,796,112</w:t>
            </w:r>
          </w:p>
        </w:tc>
        <w:tc>
          <w:tcPr>
            <w:tcW w:w="0" w:type="dxa"/>
            <w:vAlign w:val="bottom"/>
          </w:tcPr>
          <w:p>
            <w:pPr>
              <w:spacing w:after="0"/>
              <w:rPr>
                <w:sz w:val="1"/>
                <w:szCs w:val="1"/>
                <w:color w:val="auto"/>
              </w:rPr>
            </w:pPr>
          </w:p>
        </w:tc>
      </w:tr>
      <w:tr>
        <w:trPr>
          <w:trHeight w:val="244"/>
        </w:trPr>
        <w:tc>
          <w:tcPr>
            <w:tcW w:w="4240" w:type="dxa"/>
            <w:vAlign w:val="bottom"/>
            <w:tcBorders>
              <w:top w:val="single" w:sz="8" w:color="CCEEFF"/>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Earnings per common share–diluted</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0.35</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0.75</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0.66</w:t>
            </w:r>
          </w:p>
        </w:tc>
        <w:tc>
          <w:tcPr>
            <w:tcW w:w="0" w:type="dxa"/>
            <w:vAlign w:val="bottom"/>
          </w:tcPr>
          <w:p>
            <w:pPr>
              <w:spacing w:after="0"/>
              <w:rPr>
                <w:sz w:val="1"/>
                <w:szCs w:val="1"/>
                <w:color w:val="auto"/>
              </w:rPr>
            </w:pPr>
          </w:p>
        </w:tc>
      </w:tr>
      <w:tr>
        <w:trPr>
          <w:trHeight w:val="20"/>
        </w:trPr>
        <w:tc>
          <w:tcPr>
            <w:tcW w:w="2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w:t>
            </w:r>
          </w:p>
        </w:tc>
        <w:tc>
          <w:tcPr>
            <w:tcW w:w="140" w:type="dxa"/>
            <w:vAlign w:val="bottom"/>
            <w:vMerge w:val="restart"/>
          </w:tcPr>
          <w:p>
            <w:pPr>
              <w:spacing w:after="0" w:line="20" w:lineRule="exact"/>
              <w:rPr>
                <w:sz w:val="1"/>
                <w:szCs w:val="1"/>
                <w:color w:val="auto"/>
              </w:rPr>
            </w:pPr>
          </w:p>
        </w:tc>
        <w:tc>
          <w:tcPr>
            <w:tcW w:w="162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80" w:type="dxa"/>
            <w:vAlign w:val="bottom"/>
            <w:gridSpan w:val="2"/>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62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760" w:hanging="674"/>
        <w:spacing w:after="0" w:line="274" w:lineRule="auto"/>
        <w:rPr>
          <w:sz w:val="20"/>
          <w:szCs w:val="20"/>
          <w:color w:val="auto"/>
        </w:rPr>
      </w:pPr>
      <w:r>
        <w:rPr>
          <w:rFonts w:ascii="Times New Roman" w:cs="Times New Roman" w:eastAsia="Times New Roman" w:hAnsi="Times New Roman"/>
          <w:sz w:val="16"/>
          <w:szCs w:val="16"/>
          <w:color w:val="auto"/>
        </w:rPr>
        <w:t>(1)</w:t>
      </w:r>
      <w:r>
        <w:rPr>
          <w:rFonts w:ascii="Times New Roman" w:cs="Times New Roman" w:eastAsia="Times New Roman" w:hAnsi="Times New Roman"/>
          <w:sz w:val="14"/>
          <w:szCs w:val="14"/>
          <w:color w:val="auto"/>
        </w:rPr>
        <w:t>For the three months ended June 30, 2019, 3,731,344 potentially dilutive common shares were excluded from the weighted-average common shares outstanding for diluted net change in net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4"/>
          <w:szCs w:val="14"/>
          <w:color w:val="auto"/>
        </w:rPr>
        <w:t>assets resulting from operations per common share because the effect of these shares would have been anti-dilutive.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7—COMMITMENTS AND CONTINGENCIES</w:t>
      </w:r>
    </w:p>
    <w:p>
      <w:pPr>
        <w:spacing w:after="0" w:line="229"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Company may enter into investment agreements under which it commits to make an investment in a portfolio company at some future date or over a specified period of time. At June 30, 2019 and December 31, 2018, the Company had not entered into any investment agreements that required it to make a future investment in a portfolio company.</w:t>
      </w:r>
    </w:p>
    <w:p>
      <w:pPr>
        <w:spacing w:after="0" w:line="176"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a party to certain legal proceedings in the ordinary course of business, including proceedings relating to the enforcement of its rights under contracts with its portfolio companies. While the outcome of these legal proceedings cannot be predicted with certainty, the Company does not expect that these proceedings will have a material effect upon its business, financial condition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 &amp; Related Deposits</w:t>
      </w:r>
    </w:p>
    <w:p>
      <w:pPr>
        <w:spacing w:after="0" w:line="229"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The Company currently has one operating lease for office space for which the Company has recorded a right-of-use asset and lease liability for the operating lease obligation. The lease commenced June 3, 2019 and expires July 31, 2024. The lease expense is presented as a single lease cost that is amortized on a straight-line basis over the life of the lease.</w:t>
      </w:r>
    </w:p>
    <w:p>
      <w:pPr>
        <w:spacing w:after="0" w:line="17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of June 30, 2019, the Company has booked a right of use asset and operating lease liability of $839,214 and $839,214, respectively, on the Condensed Consolidated Statements of Assets and Liabilities. As of June 30, 2019 and December 31, 2018, the Company recorded a security deposit of $16,574 and $0, respectively, of rental deposit on the Condensed Consolidated Statements of Assets and Liabilities. For the three and six months ended June 30, 2019, the Company incurred $7,148 and $7,148, respectively, of operating lease expense. The amounts reflected on the Condensed Consolidated Statements of Assets and Liabilities</w:t>
      </w:r>
    </w:p>
    <w:p>
      <w:pPr>
        <w:sectPr>
          <w:pgSz w:w="11900" w:h="16838" w:orient="portrait"/>
          <w:cols w:equalWidth="0" w:num="1">
            <w:col w:w="11420"/>
          </w:cols>
          <w:pgMar w:left="240" w:top="118"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18" w:right="239" w:bottom="1440" w:gutter="0" w:footer="0" w:header="0"/>
          <w:type w:val="continuous"/>
        </w:sectPr>
      </w:pPr>
    </w:p>
    <w:bookmarkStart w:id="49" w:name="page50"/>
    <w:bookmarkEnd w:id="4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SUTTER ROCK CAPITAL CORP. AND SUBSIDIARIES</w:t>
      </w:r>
    </w:p>
    <w:p>
      <w:pPr>
        <w:spacing w:after="0" w:line="225"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have been discounted using the rate implicit in the lease. As of June 30, 2019, the remaining lease term was 5.1 years and the discount rate was 3.00%.</w:t>
      </w:r>
    </w:p>
    <w:p>
      <w:pPr>
        <w:spacing w:after="0" w:line="23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shows future minimum payments under the Company's operating lease as of June 30, 2019:</w:t>
      </w:r>
    </w:p>
    <w:p>
      <w:pPr>
        <w:spacing w:after="0" w:line="381" w:lineRule="exact"/>
        <w:rPr>
          <w:sz w:val="20"/>
          <w:szCs w:val="20"/>
          <w:color w:val="auto"/>
        </w:rPr>
      </w:pPr>
    </w:p>
    <w:tbl>
      <w:tblPr>
        <w:tblLayout w:type="fixed"/>
        <w:tblInd w:w="2020" w:type="dxa"/>
        <w:tblCellMar>
          <w:top w:w="0" w:type="dxa"/>
          <w:left w:w="0" w:type="dxa"/>
          <w:bottom w:w="0" w:type="dxa"/>
          <w:right w:w="0" w:type="dxa"/>
        </w:tblCellMar>
      </w:tblPr>
      <w:tr>
        <w:trPr>
          <w:trHeight w:val="195"/>
        </w:trPr>
        <w:tc>
          <w:tcPr>
            <w:tcW w:w="2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8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tcPr>
          <w:p>
            <w:pPr>
              <w:jc w:val="right"/>
              <w:ind w:right="153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49"/>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1660" w:type="dxa"/>
            <w:vAlign w:val="bottom"/>
            <w:tcBorders>
              <w:bottom w:val="single" w:sz="8" w:color="CCEEFF"/>
            </w:tcBorders>
            <w:gridSpan w:val="2"/>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2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64,335</w:t>
            </w:r>
          </w:p>
        </w:tc>
      </w:tr>
      <w:tr>
        <w:trPr>
          <w:trHeight w:val="243"/>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174,563</w:t>
            </w:r>
          </w:p>
        </w:tc>
      </w:tr>
      <w:tr>
        <w:trPr>
          <w:trHeight w:val="27"/>
        </w:trPr>
        <w:tc>
          <w:tcPr>
            <w:tcW w:w="2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6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8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179,800</w:t>
            </w:r>
          </w:p>
        </w:tc>
      </w:tr>
      <w:tr>
        <w:trPr>
          <w:trHeight w:val="243"/>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185,194</w:t>
            </w:r>
          </w:p>
        </w:tc>
      </w:tr>
      <w:tr>
        <w:trPr>
          <w:trHeight w:val="27"/>
        </w:trPr>
        <w:tc>
          <w:tcPr>
            <w:tcW w:w="2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6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8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190,750</w:t>
            </w:r>
          </w:p>
        </w:tc>
      </w:tr>
      <w:tr>
        <w:trPr>
          <w:trHeight w:val="243"/>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113,604</w:t>
            </w:r>
          </w:p>
        </w:tc>
      </w:tr>
      <w:tr>
        <w:trPr>
          <w:trHeight w:val="27"/>
        </w:trPr>
        <w:tc>
          <w:tcPr>
            <w:tcW w:w="28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2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908,246</w:t>
            </w:r>
          </w:p>
        </w:tc>
      </w:tr>
      <w:tr>
        <w:trPr>
          <w:trHeight w:val="20"/>
        </w:trPr>
        <w:tc>
          <w:tcPr>
            <w:tcW w:w="2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r>
      <w:tr>
        <w:trPr>
          <w:trHeight w:val="669"/>
        </w:trPr>
        <w:tc>
          <w:tcPr>
            <w:tcW w:w="2880" w:type="dxa"/>
            <w:vAlign w:val="bottom"/>
          </w:tcPr>
          <w:p>
            <w:pPr>
              <w:spacing w:after="0"/>
              <w:rPr>
                <w:sz w:val="24"/>
                <w:szCs w:val="24"/>
                <w:color w:val="auto"/>
              </w:rPr>
            </w:pPr>
          </w:p>
        </w:tc>
        <w:tc>
          <w:tcPr>
            <w:tcW w:w="166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47</w:t>
            </w:r>
          </w:p>
        </w:tc>
        <w:tc>
          <w:tcPr>
            <w:tcW w:w="28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-616585</wp:posOffset>
            </wp:positionV>
            <wp:extent cx="23323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332355" cy="8890"/>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-1654175</wp:posOffset>
            </wp:positionV>
            <wp:extent cx="23323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ectPr>
          <w:pgSz w:w="11900" w:h="16838" w:orient="portrait"/>
          <w:cols w:equalWidth="0" w:num="1">
            <w:col w:w="10860"/>
          </w:cols>
          <w:pgMar w:left="240" w:top="118" w:right="799" w:bottom="1440" w:gutter="0" w:footer="0" w:header="0"/>
        </w:sectPr>
      </w:pPr>
    </w:p>
    <w:bookmarkStart w:id="50" w:name="page51"/>
    <w:bookmarkEnd w:id="5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8—FINANCIAL HIGHLIGHTS (UNAUDITED)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2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jc w:val="right"/>
              <w:ind w:right="87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20" w:type="dxa"/>
            <w:vAlign w:val="bottom"/>
          </w:tcPr>
          <w:p>
            <w:pPr>
              <w:spacing w:after="0"/>
              <w:rPr>
                <w:sz w:val="22"/>
                <w:szCs w:val="22"/>
                <w:color w:val="auto"/>
              </w:rPr>
            </w:pPr>
          </w:p>
        </w:tc>
        <w:tc>
          <w:tcPr>
            <w:tcW w:w="406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69"/>
        </w:trPr>
        <w:tc>
          <w:tcPr>
            <w:tcW w:w="20" w:type="dxa"/>
            <w:vAlign w:val="bottom"/>
          </w:tcPr>
          <w:p>
            <w:pPr>
              <w:spacing w:after="0"/>
              <w:rPr>
                <w:sz w:val="23"/>
                <w:szCs w:val="23"/>
                <w:color w:val="auto"/>
              </w:rPr>
            </w:pPr>
          </w:p>
        </w:tc>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Per Basic Share Data</w:t>
            </w:r>
          </w:p>
        </w:tc>
        <w:tc>
          <w:tcPr>
            <w:tcW w:w="4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asset value at beginning of the period</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10.75</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9.99</w:t>
            </w:r>
          </w:p>
        </w:tc>
        <w:tc>
          <w:tcPr>
            <w:tcW w:w="10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9.89</w:t>
            </w:r>
          </w:p>
        </w:tc>
        <w:tc>
          <w:tcPr>
            <w:tcW w:w="10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9.64</w:t>
            </w:r>
          </w:p>
        </w:tc>
      </w:tr>
      <w:tr>
        <w:trPr>
          <w:trHeight w:val="33"/>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4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investment loss</w:t>
            </w:r>
            <w:r>
              <w:rPr>
                <w:rFonts w:ascii="Times New Roman" w:cs="Times New Roman" w:eastAsia="Times New Roman" w:hAnsi="Times New Roman"/>
                <w:sz w:val="21"/>
                <w:szCs w:val="21"/>
                <w:color w:val="auto"/>
                <w:vertAlign w:val="superscript"/>
              </w:rPr>
              <w:t>(1)</w:t>
            </w:r>
          </w:p>
        </w:tc>
        <w:tc>
          <w:tcPr>
            <w:tcW w:w="4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(0.14)</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(0.26)</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(0.26)</w:t>
            </w:r>
          </w:p>
        </w:tc>
      </w:tr>
      <w:tr>
        <w:trPr>
          <w:trHeight w:val="270"/>
        </w:trPr>
        <w:tc>
          <w:tcPr>
            <w:tcW w:w="20" w:type="dxa"/>
            <w:vAlign w:val="bottom"/>
          </w:tcPr>
          <w:p>
            <w:pPr>
              <w:spacing w:after="0"/>
              <w:rPr>
                <w:sz w:val="23"/>
                <w:szCs w:val="23"/>
                <w:color w:val="auto"/>
              </w:rPr>
            </w:pPr>
          </w:p>
        </w:tc>
        <w:tc>
          <w:tcPr>
            <w:tcW w:w="4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realized gain on investments</w:t>
            </w:r>
            <w:r>
              <w:rPr>
                <w:rFonts w:ascii="Times New Roman" w:cs="Times New Roman" w:eastAsia="Times New Roman" w:hAnsi="Times New Roman"/>
                <w:sz w:val="21"/>
                <w:szCs w:val="21"/>
                <w:color w:val="auto"/>
                <w:vertAlign w:val="superscript"/>
              </w:rPr>
              <w:t>(1)</w:t>
            </w:r>
          </w:p>
        </w:tc>
        <w:tc>
          <w:tcPr>
            <w:tcW w:w="420" w:type="dxa"/>
            <w:vAlign w:val="bottom"/>
          </w:tcPr>
          <w:p>
            <w:pPr>
              <w:spacing w:after="0"/>
              <w:rPr>
                <w:sz w:val="23"/>
                <w:szCs w:val="23"/>
                <w:color w:val="auto"/>
              </w:rPr>
            </w:pPr>
          </w:p>
        </w:tc>
        <w:tc>
          <w:tcPr>
            <w:tcW w:w="13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0.69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0.16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0.48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0.12</w:t>
            </w: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Realized loss on partial repurchase of 5.25% Convertible</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4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Senior Notes due 2018</w:t>
            </w:r>
            <w:r>
              <w:rPr>
                <w:rFonts w:ascii="Times New Roman" w:cs="Times New Roman" w:eastAsia="Times New Roman" w:hAnsi="Times New Roman"/>
                <w:sz w:val="21"/>
                <w:szCs w:val="21"/>
                <w:color w:val="auto"/>
                <w:vertAlign w:val="superscript"/>
              </w:rPr>
              <w:t>(1)</w:t>
            </w:r>
          </w:p>
        </w:tc>
        <w:tc>
          <w:tcPr>
            <w:tcW w:w="4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(0.02)</w:t>
            </w: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change in unrealized appreciation/(depreciation) of</w:t>
            </w: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4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investments</w:t>
            </w:r>
            <w:r>
              <w:rPr>
                <w:rFonts w:ascii="Times New Roman" w:cs="Times New Roman" w:eastAsia="Times New Roman" w:hAnsi="Times New Roman"/>
                <w:sz w:val="21"/>
                <w:szCs w:val="21"/>
                <w:color w:val="auto"/>
                <w:vertAlign w:val="superscript"/>
              </w:rPr>
              <w:t>(1)</w:t>
            </w:r>
          </w:p>
        </w:tc>
        <w:tc>
          <w:tcPr>
            <w:tcW w:w="420" w:type="dxa"/>
            <w:vAlign w:val="bottom"/>
          </w:tcPr>
          <w:p>
            <w:pPr>
              <w:spacing w:after="0"/>
              <w:rPr>
                <w:sz w:val="21"/>
                <w:szCs w:val="21"/>
                <w:color w:val="auto"/>
              </w:rPr>
            </w:pPr>
          </w:p>
        </w:tc>
        <w:tc>
          <w:tcPr>
            <w:tcW w:w="13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(0.63)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0.47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0.42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0.86</w:t>
            </w: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Benefits from taxes on unrealized depreciation of</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4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investments</w:t>
            </w:r>
            <w:r>
              <w:rPr>
                <w:rFonts w:ascii="Times New Roman" w:cs="Times New Roman" w:eastAsia="Times New Roman" w:hAnsi="Times New Roman"/>
                <w:sz w:val="21"/>
                <w:szCs w:val="21"/>
                <w:color w:val="auto"/>
                <w:vertAlign w:val="superscript"/>
              </w:rPr>
              <w:t>(1)</w:t>
            </w:r>
          </w:p>
        </w:tc>
        <w:tc>
          <w:tcPr>
            <w:tcW w:w="4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0.05</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0.05</w:t>
            </w:r>
          </w:p>
        </w:tc>
      </w:tr>
      <w:tr>
        <w:trPr>
          <w:trHeight w:val="270"/>
        </w:trPr>
        <w:tc>
          <w:tcPr>
            <w:tcW w:w="20" w:type="dxa"/>
            <w:vAlign w:val="bottom"/>
          </w:tcPr>
          <w:p>
            <w:pPr>
              <w:spacing w:after="0"/>
              <w:rPr>
                <w:sz w:val="23"/>
                <w:szCs w:val="23"/>
                <w:color w:val="auto"/>
              </w:rPr>
            </w:pPr>
          </w:p>
        </w:tc>
        <w:tc>
          <w:tcPr>
            <w:tcW w:w="40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Repurchase of common stock</w:t>
            </w:r>
            <w:r>
              <w:rPr>
                <w:rFonts w:ascii="Times New Roman" w:cs="Times New Roman" w:eastAsia="Times New Roman" w:hAnsi="Times New Roman"/>
                <w:sz w:val="21"/>
                <w:szCs w:val="21"/>
                <w:color w:val="auto"/>
                <w:vertAlign w:val="superscript"/>
              </w:rPr>
              <w:t>(1)</w:t>
            </w:r>
          </w:p>
        </w:tc>
        <w:tc>
          <w:tcPr>
            <w:tcW w:w="4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0.03</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0.07</w:t>
            </w:r>
          </w:p>
        </w:tc>
      </w:tr>
      <w:tr>
        <w:trPr>
          <w:trHeight w:val="244"/>
        </w:trPr>
        <w:tc>
          <w:tcPr>
            <w:tcW w:w="20" w:type="dxa"/>
            <w:vAlign w:val="bottom"/>
          </w:tcPr>
          <w:p>
            <w:pPr>
              <w:spacing w:after="0"/>
              <w:rPr>
                <w:sz w:val="21"/>
                <w:szCs w:val="21"/>
                <w:color w:val="auto"/>
              </w:rPr>
            </w:pPr>
          </w:p>
        </w:tc>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asset value at end of period</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10.75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10.46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10.75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10.46</w:t>
            </w: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 share market value at end of period</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6.40</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6.86</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6.40</w:t>
            </w:r>
          </w:p>
        </w:tc>
        <w:tc>
          <w:tcPr>
            <w:tcW w:w="100" w:type="dxa"/>
            <w:vAlign w:val="bottom"/>
          </w:tcPr>
          <w:p>
            <w:pPr>
              <w:spacing w:after="0"/>
              <w:rPr>
                <w:sz w:val="18"/>
                <w:szCs w:val="18"/>
                <w:color w:val="auto"/>
              </w:rPr>
            </w:pPr>
          </w:p>
        </w:tc>
        <w:tc>
          <w:tcPr>
            <w:tcW w:w="4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6.86</w:t>
            </w:r>
          </w:p>
        </w:tc>
      </w:tr>
      <w:tr>
        <w:trPr>
          <w:trHeight w:val="33"/>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return based on market value</w:t>
            </w:r>
            <w:r>
              <w:rPr>
                <w:rFonts w:ascii="Times New Roman" w:cs="Times New Roman" w:eastAsia="Times New Roman" w:hAnsi="Times New Roman"/>
                <w:sz w:val="21"/>
                <w:szCs w:val="21"/>
                <w:color w:val="auto"/>
                <w:vertAlign w:val="superscript"/>
              </w:rPr>
              <w:t>(2)</w:t>
            </w:r>
          </w:p>
        </w:tc>
        <w:tc>
          <w:tcPr>
            <w:tcW w:w="4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22.61 %</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25.87 %</w:t>
            </w:r>
          </w:p>
        </w:tc>
      </w:tr>
      <w:tr>
        <w:trPr>
          <w:trHeight w:val="270"/>
        </w:trPr>
        <w:tc>
          <w:tcPr>
            <w:tcW w:w="20" w:type="dxa"/>
            <w:vAlign w:val="bottom"/>
          </w:tcPr>
          <w:p>
            <w:pPr>
              <w:spacing w:after="0"/>
              <w:rPr>
                <w:sz w:val="23"/>
                <w:szCs w:val="23"/>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return based on net asset value</w:t>
            </w:r>
            <w:r>
              <w:rPr>
                <w:rFonts w:ascii="Times New Roman" w:cs="Times New Roman" w:eastAsia="Times New Roman" w:hAnsi="Times New Roman"/>
                <w:sz w:val="21"/>
                <w:szCs w:val="21"/>
                <w:color w:val="auto"/>
                <w:vertAlign w:val="superscript"/>
              </w:rPr>
              <w:t>(2)</w:t>
            </w:r>
          </w:p>
        </w:tc>
        <w:tc>
          <w:tcPr>
            <w:tcW w:w="420" w:type="dxa"/>
            <w:vAlign w:val="bottom"/>
          </w:tcPr>
          <w:p>
            <w:pPr>
              <w:spacing w:after="0"/>
              <w:rPr>
                <w:sz w:val="23"/>
                <w:szCs w:val="23"/>
                <w:color w:val="auto"/>
              </w:rPr>
            </w:pPr>
          </w:p>
        </w:tc>
        <w:tc>
          <w:tcPr>
            <w:tcW w:w="144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 %</w:t>
            </w:r>
          </w:p>
        </w:tc>
        <w:tc>
          <w:tcPr>
            <w:tcW w:w="4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4.69 %</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8.70 %</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8.53 %</w:t>
            </w:r>
          </w:p>
        </w:tc>
      </w:tr>
      <w:tr>
        <w:trPr>
          <w:trHeight w:val="250"/>
        </w:trPr>
        <w:tc>
          <w:tcPr>
            <w:tcW w:w="20" w:type="dxa"/>
            <w:vAlign w:val="bottom"/>
          </w:tcPr>
          <w:p>
            <w:pPr>
              <w:spacing w:after="0"/>
              <w:rPr>
                <w:sz w:val="21"/>
                <w:szCs w:val="21"/>
                <w:color w:val="auto"/>
              </w:rPr>
            </w:pPr>
          </w:p>
        </w:tc>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outstanding at end of period</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19,646,846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20,750,913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19,646,846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20,750,913</w:t>
            </w:r>
          </w:p>
        </w:tc>
      </w:tr>
      <w:tr>
        <w:trPr>
          <w:trHeight w:val="237"/>
        </w:trPr>
        <w:tc>
          <w:tcPr>
            <w:tcW w:w="20" w:type="dxa"/>
            <w:vAlign w:val="bottom"/>
          </w:tcPr>
          <w:p>
            <w:pPr>
              <w:spacing w:after="0"/>
              <w:rPr>
                <w:sz w:val="20"/>
                <w:szCs w:val="20"/>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Ratios/Supplemental Data:</w:t>
            </w:r>
          </w:p>
        </w:tc>
        <w:tc>
          <w:tcPr>
            <w:tcW w:w="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assets at end of period</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211,125,048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217,148,613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211,125,048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217,148,613</w:t>
            </w:r>
          </w:p>
        </w:tc>
      </w:tr>
      <w:tr>
        <w:trPr>
          <w:trHeight w:val="237"/>
        </w:trPr>
        <w:tc>
          <w:tcPr>
            <w:tcW w:w="20" w:type="dxa"/>
            <w:vAlign w:val="bottom"/>
          </w:tcPr>
          <w:p>
            <w:pPr>
              <w:spacing w:after="0"/>
              <w:rPr>
                <w:sz w:val="20"/>
                <w:szCs w:val="20"/>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net assets</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211,244,233</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210,027,033</w:t>
            </w:r>
          </w:p>
        </w:tc>
        <w:tc>
          <w:tcPr>
            <w:tcW w:w="10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203,070,126</w:t>
            </w:r>
          </w:p>
        </w:tc>
        <w:tc>
          <w:tcPr>
            <w:tcW w:w="10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207,058,773</w:t>
            </w:r>
          </w:p>
        </w:tc>
      </w:tr>
      <w:tr>
        <w:trPr>
          <w:trHeight w:val="33"/>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Ratio of gross operating expenses to average net assets</w:t>
            </w:r>
            <w:r>
              <w:rPr>
                <w:rFonts w:ascii="Times New Roman" w:cs="Times New Roman" w:eastAsia="Times New Roman" w:hAnsi="Times New Roman"/>
                <w:sz w:val="21"/>
                <w:szCs w:val="21"/>
                <w:color w:val="auto"/>
                <w:vertAlign w:val="superscript"/>
              </w:rPr>
              <w:t>(3)</w:t>
            </w:r>
          </w:p>
        </w:tc>
        <w:tc>
          <w:tcPr>
            <w:tcW w:w="4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5.14 %</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12.25 %</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4.66 %</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11.15 %</w:t>
            </w:r>
          </w:p>
        </w:tc>
      </w:tr>
      <w:tr>
        <w:trPr>
          <w:trHeight w:val="237"/>
        </w:trPr>
        <w:tc>
          <w:tcPr>
            <w:tcW w:w="20" w:type="dxa"/>
            <w:vAlign w:val="bottom"/>
          </w:tcPr>
          <w:p>
            <w:pPr>
              <w:spacing w:after="0"/>
              <w:rPr>
                <w:sz w:val="20"/>
                <w:szCs w:val="20"/>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Ratio of incentive fee waiver to average net assets</w:t>
            </w:r>
          </w:p>
        </w:tc>
        <w:tc>
          <w:tcPr>
            <w:tcW w:w="420" w:type="dxa"/>
            <w:vAlign w:val="bottom"/>
          </w:tcPr>
          <w:p>
            <w:pPr>
              <w:spacing w:after="0"/>
              <w:rPr>
                <w:sz w:val="20"/>
                <w:szCs w:val="20"/>
                <w:color w:val="auto"/>
              </w:rPr>
            </w:pPr>
          </w:p>
        </w:tc>
        <w:tc>
          <w:tcPr>
            <w:tcW w:w="144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 %</w:t>
            </w:r>
          </w:p>
        </w:tc>
        <w:tc>
          <w:tcPr>
            <w:tcW w:w="420" w:type="dxa"/>
            <w:vAlign w:val="bottom"/>
          </w:tcPr>
          <w:p>
            <w:pPr>
              <w:spacing w:after="0"/>
              <w:rPr>
                <w:sz w:val="20"/>
                <w:szCs w:val="20"/>
                <w:color w:val="auto"/>
              </w:rPr>
            </w:pPr>
          </w:p>
        </w:tc>
        <w:tc>
          <w:tcPr>
            <w:tcW w:w="144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 %</w:t>
            </w:r>
          </w:p>
        </w:tc>
        <w:tc>
          <w:tcPr>
            <w:tcW w:w="420" w:type="dxa"/>
            <w:vAlign w:val="bottom"/>
          </w:tcPr>
          <w:p>
            <w:pPr>
              <w:spacing w:after="0"/>
              <w:rPr>
                <w:sz w:val="20"/>
                <w:szCs w:val="20"/>
                <w:color w:val="auto"/>
              </w:rPr>
            </w:pPr>
          </w:p>
        </w:tc>
        <w:tc>
          <w:tcPr>
            <w:tcW w:w="144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 %</w:t>
            </w: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r>
      <w:tr>
        <w:trPr>
          <w:trHeight w:val="33"/>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Ratio of management fee waiver to average net assets</w:t>
            </w:r>
          </w:p>
        </w:tc>
        <w:tc>
          <w:tcPr>
            <w:tcW w:w="4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 %</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 %</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(0.48)%</w:t>
            </w:r>
          </w:p>
        </w:tc>
      </w:tr>
      <w:tr>
        <w:trPr>
          <w:trHeight w:val="251"/>
        </w:trPr>
        <w:tc>
          <w:tcPr>
            <w:tcW w:w="20" w:type="dxa"/>
            <w:vAlign w:val="bottom"/>
          </w:tcPr>
          <w:p>
            <w:pPr>
              <w:spacing w:after="0"/>
              <w:rPr>
                <w:sz w:val="21"/>
                <w:szCs w:val="21"/>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Ratio of income tax provision to average net assets</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 %</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33"/>
        </w:trPr>
        <w:tc>
          <w:tcPr>
            <w:tcW w:w="20" w:type="dxa"/>
            <w:vAlign w:val="bottom"/>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Ratio of net operating expenses to average net assets</w:t>
            </w:r>
            <w:r>
              <w:rPr>
                <w:rFonts w:ascii="Times New Roman" w:cs="Times New Roman" w:eastAsia="Times New Roman" w:hAnsi="Times New Roman"/>
                <w:sz w:val="21"/>
                <w:szCs w:val="21"/>
                <w:color w:val="auto"/>
                <w:vertAlign w:val="superscript"/>
              </w:rPr>
              <w:t>(3)</w:t>
            </w:r>
          </w:p>
        </w:tc>
        <w:tc>
          <w:tcPr>
            <w:tcW w:w="4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4.68 %</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11.60 %</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4.22 %</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8.26 %</w:t>
            </w: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060" w:type="dxa"/>
            <w:vAlign w:val="bottom"/>
          </w:tcPr>
          <w:p>
            <w:pPr>
              <w:ind w:left="20"/>
              <w:spacing w:after="0" w:line="237" w:lineRule="exact"/>
              <w:rPr>
                <w:sz w:val="20"/>
                <w:szCs w:val="20"/>
                <w:color w:val="auto"/>
              </w:rPr>
            </w:pPr>
            <w:r>
              <w:rPr>
                <w:rFonts w:ascii="Times New Roman" w:cs="Times New Roman" w:eastAsia="Times New Roman" w:hAnsi="Times New Roman"/>
                <w:sz w:val="16"/>
                <w:szCs w:val="16"/>
                <w:color w:val="auto"/>
              </w:rPr>
              <w:t>Ratio of net investment loss to average net assets</w:t>
            </w:r>
            <w:r>
              <w:rPr>
                <w:rFonts w:ascii="Times New Roman" w:cs="Times New Roman" w:eastAsia="Times New Roman" w:hAnsi="Times New Roman"/>
                <w:sz w:val="21"/>
                <w:szCs w:val="21"/>
                <w:color w:val="auto"/>
                <w:vertAlign w:val="superscript"/>
              </w:rPr>
              <w:t>(3)</w:t>
            </w:r>
          </w:p>
        </w:tc>
        <w:tc>
          <w:tcPr>
            <w:tcW w:w="4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w:t>
            </w:r>
          </w:p>
        </w:tc>
      </w:tr>
      <w:tr>
        <w:trPr>
          <w:trHeight w:val="250"/>
        </w:trPr>
        <w:tc>
          <w:tcPr>
            <w:tcW w:w="20" w:type="dxa"/>
            <w:vAlign w:val="bottom"/>
          </w:tcPr>
          <w:p>
            <w:pPr>
              <w:spacing w:after="0"/>
              <w:rPr>
                <w:sz w:val="21"/>
                <w:szCs w:val="21"/>
                <w:color w:val="auto"/>
              </w:rPr>
            </w:pPr>
          </w:p>
        </w:tc>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Portfolio Turnover Ratio</w:t>
            </w:r>
          </w:p>
        </w:tc>
        <w:tc>
          <w:tcPr>
            <w:tcW w:w="4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 %</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0.05 %</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5.04 %</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0.10 %</w:t>
            </w:r>
          </w:p>
        </w:tc>
      </w:tr>
      <w:tr>
        <w:trPr>
          <w:trHeight w:val="207"/>
        </w:trPr>
        <w:tc>
          <w:tcPr>
            <w:tcW w:w="20" w:type="dxa"/>
            <w:vAlign w:val="bottom"/>
          </w:tcPr>
          <w:p>
            <w:pPr>
              <w:spacing w:after="0"/>
              <w:rPr>
                <w:sz w:val="17"/>
                <w:szCs w:val="17"/>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__________________</w:t>
            </w: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r>
    </w:tbl>
    <w:p>
      <w:pPr>
        <w:ind w:left="500" w:hanging="492"/>
        <w:spacing w:after="0"/>
        <w:tabs>
          <w:tab w:leader="none" w:pos="5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weighted-average number of shares outstanding for the relevant period.</w:t>
      </w:r>
    </w:p>
    <w:p>
      <w:pPr>
        <w:spacing w:after="0" w:line="5" w:lineRule="exact"/>
        <w:rPr>
          <w:rFonts w:ascii="Times New Roman" w:cs="Times New Roman" w:eastAsia="Times New Roman" w:hAnsi="Times New Roman"/>
          <w:sz w:val="16"/>
          <w:szCs w:val="16"/>
          <w:color w:val="auto"/>
        </w:rPr>
      </w:pPr>
    </w:p>
    <w:p>
      <w:pPr>
        <w:ind w:left="500" w:right="20" w:hanging="492"/>
        <w:spacing w:after="0" w:line="246" w:lineRule="auto"/>
        <w:tabs>
          <w:tab w:leader="none" w:pos="5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return based on market value is based on the change in market price per share between the opening and ending market values per share in the year. Total return based on net asset value is based upon the change in net asset value per share between the opening and ending net asset values per share.</w:t>
      </w:r>
    </w:p>
    <w:p>
      <w:pPr>
        <w:jc w:val="both"/>
        <w:ind w:left="500" w:hanging="492"/>
        <w:spacing w:after="0" w:line="249" w:lineRule="auto"/>
        <w:tabs>
          <w:tab w:leader="none" w:pos="5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Highlights for periods of less than one year are annualized and the ratios of operating expenses to average net assets and net investment loss to average net assets are adjusted accordingly. Non-recurring expenses, including the $5.0 million accrued incentive fee forfeiture pursuant to the Waiver Agreement, are not annualized. For the three and six months ended June 30, 2019, the Company excluded $617,536 and $(1,769,820) of non-recurring expenses and did not annualize the income tax provision. For three and six months ended June 30, 2018, the Company excluded $0 and $352,667 of non-recurring expenses and did not annualize the incentive fee waiver. Because the ratios are calculated for the Company’s common stock taken as a whole, an individual investor’s ratios may vary from these ratios.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9—INCOME TAXES</w:t>
      </w:r>
    </w:p>
    <w:p>
      <w:pPr>
        <w:spacing w:after="0" w:line="229" w:lineRule="exact"/>
        <w:rPr>
          <w:sz w:val="20"/>
          <w:szCs w:val="20"/>
          <w:color w:val="auto"/>
        </w:rPr>
      </w:pPr>
    </w:p>
    <w:p>
      <w:pPr>
        <w:ind w:firstLine="351"/>
        <w:spacing w:after="0" w:line="282" w:lineRule="auto"/>
        <w:rPr>
          <w:sz w:val="20"/>
          <w:szCs w:val="20"/>
          <w:color w:val="auto"/>
        </w:rPr>
      </w:pPr>
      <w:r>
        <w:rPr>
          <w:rFonts w:ascii="Times New Roman" w:cs="Times New Roman" w:eastAsia="Times New Roman" w:hAnsi="Times New Roman"/>
          <w:sz w:val="18"/>
          <w:szCs w:val="18"/>
          <w:color w:val="auto"/>
        </w:rPr>
        <w:t>The Company elected to be treated as a RIC under Subchapter M of the Code beginning with its taxable year ended December 31, 2014, has qualified to be treated as a RIC for subsequent taxable years and expects to continue to operate in a manner so as to qualify for the tax treatment applicable to RICs.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18" w:right="239" w:bottom="1440" w:gutter="0" w:footer="0" w:header="0"/>
        </w:sectPr>
      </w:pPr>
    </w:p>
    <w:bookmarkStart w:id="51" w:name="page52"/>
    <w:bookmarkEnd w:id="5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200" w:lineRule="exact"/>
        <w:rPr>
          <w:sz w:val="20"/>
          <w:szCs w:val="20"/>
          <w:color w:val="auto"/>
        </w:rPr>
      </w:pPr>
    </w:p>
    <w:p>
      <w:pPr>
        <w:spacing w:after="0" w:line="250" w:lineRule="exact"/>
        <w:rPr>
          <w:sz w:val="20"/>
          <w:szCs w:val="20"/>
          <w:color w:val="auto"/>
        </w:rPr>
      </w:pPr>
    </w:p>
    <w:p>
      <w:pPr>
        <w:jc w:val="both"/>
        <w:ind w:firstLine="351"/>
        <w:spacing w:after="0" w:line="255" w:lineRule="auto"/>
        <w:rPr>
          <w:sz w:val="20"/>
          <w:szCs w:val="20"/>
          <w:color w:val="auto"/>
        </w:rPr>
      </w:pPr>
      <w:r>
        <w:rPr>
          <w:rFonts w:ascii="Times New Roman" w:cs="Times New Roman" w:eastAsia="Times New Roman" w:hAnsi="Times New Roman"/>
          <w:sz w:val="18"/>
          <w:szCs w:val="18"/>
          <w:color w:val="auto"/>
        </w:rPr>
        <w:t>Due to the Company’s election to be treated as RIC, the associated previously accrued benefits from, and provisions for, taxes from prior periods were reversed for the year ended December 31, 2015. Typically for a taxable entity, a net investment loss would generate a benefit from taxes; however, as a result of our election to be treated as a RIC, we reversed the previously accrued benefits from taxes on net investment loss from prior periods. Typically for a taxable entity, net realized capital gains would generate a provision for taxes; however, as a result of our election to be treated as a RIC, we reversed the previously accrued provisions for taxes on net realized capital gains from prior periods. As a result of our election to be treated as a RIC, we reversed the previously accrued provisions for taxes on unrealized appreciation of investments from prior periods. This reversal resulted in a larger benefit for taxes on unrealized depreciation of investments than would have been accrued solely based on the unrealized depreciation of investments for the year ended December 31, 2015.</w:t>
      </w:r>
    </w:p>
    <w:p>
      <w:pPr>
        <w:spacing w:after="0" w:line="185"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As a result of the Company electing to be treated as a RIC for the taxable year ended December 31, 2014 in connection with the filing of its 2014 tax return, it may be required to pay a corporate-level U.S. federal income tax on the amount of the net built-in gains, if any, in its assets (the amount by which the net fair market value of the Company’s assets exceeds the net adjusted basis in its assets) as of the date of conversion to a RIC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beginning of the first taxable year that the Company qualifies as a RIC, which would be January 1, 2014) to the extent that such gains are recognized by the Company during the applicable recognition period, which is the five-year period beginning on the date of conversion.</w:t>
      </w:r>
    </w:p>
    <w:p>
      <w:pPr>
        <w:spacing w:after="0" w:line="184" w:lineRule="exact"/>
        <w:rPr>
          <w:sz w:val="20"/>
          <w:szCs w:val="20"/>
          <w:color w:val="auto"/>
        </w:rPr>
      </w:pPr>
    </w:p>
    <w:p>
      <w:pPr>
        <w:jc w:val="both"/>
        <w:ind w:firstLine="351"/>
        <w:spacing w:after="0" w:line="255" w:lineRule="auto"/>
        <w:rPr>
          <w:sz w:val="20"/>
          <w:szCs w:val="20"/>
          <w:color w:val="auto"/>
        </w:rPr>
      </w:pPr>
      <w:r>
        <w:rPr>
          <w:rFonts w:ascii="Times New Roman" w:cs="Times New Roman" w:eastAsia="Times New Roman" w:hAnsi="Times New Roman"/>
          <w:sz w:val="18"/>
          <w:szCs w:val="18"/>
          <w:color w:val="auto"/>
        </w:rPr>
        <w:t>Any corporate-level built-in-gains tax is payable at the time the built-in gains are recognized (which generally will be the years in which the assets with the built-in-gains are sold in a taxable transaction). The amount of this tax will vary depending on the assets that are actually sold by the Company in this five-year period, the actual amount of net built-in gain or loss present in those assets as of the date of conversion, and the effective tax rates at such times. The payment of any such corporate-level U.S. federal income tax on built-in gains will be a Company expense that will reduce the amount available for distribution to stockholders. The built-in-gains tax is calculated by determining the RIC’s net unrealized built-in gains, if any, by which the fair market value of the assets of the RIC at the beginning of its first RIC year exceeds the aggregate adjusted basis of such assets at that time. As of January 1, 2014, the Company had net unrealized built-in gains. It did not incur a built-in-gains tax for the 2014 tax year due to the fact that there were sufficient net capital loss carryforwards to completely offset recognized built-in gains as well as available net operating losses.</w:t>
      </w:r>
    </w:p>
    <w:p>
      <w:pPr>
        <w:spacing w:after="0" w:line="18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Company elected to be treated as a RIC for the taxable year ended December 31, 2014 in connection with the filing of its 2014 tax return. As a result, the Company was required to pay a corporate-level U.S. federal income tax on the amount of the net built-in gains in its assets (the amount by which the net fair market value of the Company’s assets exceeds the net adjusted basis in its assets) either (1) as of the date it converted to a RIC (i.e., the beginning of the first taxable year that the Company qualifies as a RIC, which would be January 1, 2014), or (2) to the extent that the Company recognized such net built-in gains during the five-year recognition period beginning on the date of conversion. As of January 1, 2014, the Company had net unrealized built-in gains, but did not incur a built-in-gains tax for the 2014 tax year due to the fact that there were sufficient net capital loss carryforwards to completely offset recognized built-in gains as well as available net operating losses. The five-year recognition period ended on December 31, 2018.</w:t>
      </w:r>
    </w:p>
    <w:p>
      <w:pPr>
        <w:spacing w:after="0" w:line="189"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As of June 30, 2019 and December 31, 2018, the Company recorded a deferred tax liability of approximately $0.0 million and $0.9 million, respectively, of which approximately $0.0 million and $0.9 million relate to the difference in the book and tax basis of certain equity investments and net tax operating losses held by the GSVC Holdings.</w:t>
      </w:r>
    </w:p>
    <w:p>
      <w:pPr>
        <w:spacing w:after="0" w:line="176"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For U.S. federal and state income tax purposes, a portion of the GSVC Holdings’ net operating loss carryforwards and basis differences may be subject to limitations on annual utilization in case of a change in ownership, as defined by federal and state law. The amount of such limitations, if any, has not been determined. Accordingly, the amount of such tax attributes available to offset future profits may be significantly less than the actual amounts of the tax attributes.</w:t>
      </w:r>
    </w:p>
    <w:p>
      <w:pPr>
        <w:spacing w:after="0" w:line="180"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The Company and the GSVC Holdings identified their major tax jurisdictions as U.S. federal and California and may be subject to the taxing authorities’ examination for the tax years 2015–2018 and 2014–2018, respectively. Further, the Company and the GSVC Holdings accrue all interest and penalties related to uncertain tax positions as incurred. As of June 30, 2019, there were no material interest or penalties incurred related to uncertain tax positions.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118" w:right="239" w:bottom="1440" w:gutter="0" w:footer="0" w:header="0"/>
        </w:sectPr>
      </w:pPr>
    </w:p>
    <w:bookmarkStart w:id="52" w:name="page53"/>
    <w:bookmarkEnd w:id="5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10—DEBT CAPITAL ACTIVITIES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5.25% Convertible Senior Notes due 2018</w:t>
      </w:r>
    </w:p>
    <w:p>
      <w:pPr>
        <w:spacing w:after="0" w:line="229" w:lineRule="exact"/>
        <w:rPr>
          <w:sz w:val="20"/>
          <w:szCs w:val="20"/>
          <w:color w:val="auto"/>
        </w:rPr>
      </w:pPr>
    </w:p>
    <w:p>
      <w:pPr>
        <w:jc w:val="both"/>
        <w:ind w:firstLine="351"/>
        <w:spacing w:after="0" w:line="256" w:lineRule="auto"/>
        <w:rPr>
          <w:sz w:val="20"/>
          <w:szCs w:val="20"/>
          <w:color w:val="auto"/>
        </w:rPr>
      </w:pPr>
      <w:r>
        <w:rPr>
          <w:rFonts w:ascii="Times New Roman" w:cs="Times New Roman" w:eastAsia="Times New Roman" w:hAnsi="Times New Roman"/>
          <w:sz w:val="18"/>
          <w:szCs w:val="18"/>
          <w:color w:val="auto"/>
        </w:rPr>
        <w:t>On September 17, 2013, the Company issued $69.0 million aggregate principal amount of convertible senior notes, which bear interest at a fixed rate of 5.25% per year, payable semi-annually in arrears on March 15 and September 15 of each year. The 5.25% Convertible Senior Notes matured on September 15, 2018 (the "5.25% Convertible Senior Notes due 2018"), unless previously repurchased or converted in accordance with their terms. The Company does not have the right to redeem the 5.25% Convertible Senior Notes due 2018 prior to maturity. The 5.25% Convertible Senior Notes due 2018 are convertible into shares of the Company’s common stock based on a conversion rate of 83.3596 shares of the Company’s common stock per $1,000 of principal amount of the 5.25% Convertible Senior Notes due 2018, which is equivalent to a conversion price of approximately $12.00 per share of common stock.</w:t>
      </w:r>
    </w:p>
    <w:p>
      <w:pPr>
        <w:spacing w:after="0" w:line="200" w:lineRule="exact"/>
        <w:rPr>
          <w:sz w:val="20"/>
          <w:szCs w:val="20"/>
          <w:color w:val="auto"/>
        </w:rPr>
      </w:pPr>
    </w:p>
    <w:p>
      <w:pPr>
        <w:spacing w:after="0" w:line="204" w:lineRule="exact"/>
        <w:rPr>
          <w:sz w:val="20"/>
          <w:szCs w:val="20"/>
          <w:color w:val="auto"/>
        </w:rPr>
      </w:pPr>
    </w:p>
    <w:p>
      <w:pPr>
        <w:jc w:val="both"/>
        <w:ind w:firstLine="351"/>
        <w:spacing w:after="0" w:line="256" w:lineRule="auto"/>
        <w:rPr>
          <w:sz w:val="20"/>
          <w:szCs w:val="20"/>
          <w:color w:val="auto"/>
        </w:rPr>
      </w:pPr>
      <w:r>
        <w:rPr>
          <w:rFonts w:ascii="Times New Roman" w:cs="Times New Roman" w:eastAsia="Times New Roman" w:hAnsi="Times New Roman"/>
          <w:sz w:val="18"/>
          <w:szCs w:val="18"/>
          <w:color w:val="auto"/>
        </w:rPr>
        <w:t>On December 15, 2017, the Company announced the commencement of a cash tender offer (the “Tender Offer”) to purchase any and all of its $69.0 million aggregate principal amount of outstanding 5.25% Convertible Senior Notes due 2018. As of the expiration of the Tender Offer on January 17, 2018, approximately $4.8 million aggregate principal amount of the 5.25% Convertible Senior Notes due 2018 were validly tendered and not validly withdrawn pursuant to the Tender Offer. On March 27, 2018, the Company repurchased an additional $14.2 million aggregate principal amount of the outstanding 5.25% Convertible Senior Notes due 2018. On September 15, 2018, we repaid the remaining outstanding aggregate principal amount of the 5.25% Convertible Senior Notes due 2018, including accrued but unpaid interest, and the 5.25% Convertible Senior Notes were no longer outstanding as of such date.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4.75% Convertible Senior Notes due 2023</w:t>
      </w:r>
    </w:p>
    <w:p>
      <w:pPr>
        <w:spacing w:after="0" w:line="229" w:lineRule="exact"/>
        <w:rPr>
          <w:sz w:val="20"/>
          <w:szCs w:val="20"/>
          <w:color w:val="auto"/>
        </w:rPr>
      </w:pPr>
    </w:p>
    <w:p>
      <w:pPr>
        <w:jc w:val="both"/>
        <w:ind w:firstLine="351"/>
        <w:spacing w:after="0" w:line="254" w:lineRule="auto"/>
        <w:rPr>
          <w:sz w:val="20"/>
          <w:szCs w:val="20"/>
          <w:color w:val="auto"/>
        </w:rPr>
      </w:pPr>
      <w:r>
        <w:rPr>
          <w:rFonts w:ascii="Times New Roman" w:cs="Times New Roman" w:eastAsia="Times New Roman" w:hAnsi="Times New Roman"/>
          <w:sz w:val="18"/>
          <w:szCs w:val="18"/>
          <w:color w:val="auto"/>
        </w:rPr>
        <w:t>On March 28, 2018, the Company issued $40.0 million aggregate principal amount of convertible senior notes, which bear interest at a fixed rate of 4.75% per year, payable semi-annually in arrears on March 31 and September 30 of each year, commencing on September 30, 2018. The 4.75% Convertible Senior Notes mature on March 28, 2023 (the "4.75% Convertible Senior Notes due 2023"), unless previously repurchased or converted in accordance with their terms. The Company does not have the right to redeem the 4.75% Convertible Senior Notes due 2023 prior to March 27, 2021. On or after March 27, 2021, the Company may redeem the 4.75% Convertible Senior Notes due 2023 for cash, in whole or from time to time in part, at the Company’s option if (i) the closing sale price of the Company’s common stock for at least 15 trading days (whether or not consecutive) during the period of any 20 consecutive trading days is greater than or equal to 150% of the conversion price on each applicable trading day, (ii) no public announcement of a pending, proposed or intended fundamental change has occurred which has not been abandoned, terminated or consummated, and (iii) no event of default under the indenture governing the 4.75% Convertible Senior Notes due 2023, and no event that with the passage of time or giving of notice would constitute an event of default under such indenture, has occurred or exists.</w:t>
      </w:r>
    </w:p>
    <w:p>
      <w:pPr>
        <w:spacing w:after="0" w:line="18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initial conversion rate for the 4.75% Convertible Senior Notes due 2023 is 93.2836 shares of the Company’s common stock for each $1,000 principal amount of 4.75% Convertible Senior Notes due 2023, which represents an initial conversion price of approximately $10.72 per share. Following certain corporate transactions that occur on or prior to the stated maturity date, the Company will, in certain circumstances, increase the conversion rate for a holder that elects to convert its 4.75% Convertible Senior Notes due 2023 in connection with such a corporate transaction. If a fundamental change, as defined in the indenture governing the 4.75% Convertible Senior Notes due 2023, occurs prior to the stated maturity date, holders may require the Company to purchase for cash all or any portion of their 4.75% Convertible Senior Notes due 2023 at a fundamental change purchase price equal to 100% of the principal amount of the Notes to be purchased, plus accrued and unpaid interest to, but excluding, the fundamental change purchase date</w:t>
      </w:r>
    </w:p>
    <w:p>
      <w:pPr>
        <w:spacing w:after="0" w:line="189" w:lineRule="exact"/>
        <w:rPr>
          <w:sz w:val="20"/>
          <w:szCs w:val="20"/>
          <w:color w:val="auto"/>
        </w:rPr>
      </w:pPr>
    </w:p>
    <w:p>
      <w:pPr>
        <w:jc w:val="both"/>
        <w:ind w:right="20" w:firstLine="351"/>
        <w:spacing w:after="0" w:line="266" w:lineRule="auto"/>
        <w:rPr>
          <w:sz w:val="20"/>
          <w:szCs w:val="20"/>
          <w:color w:val="auto"/>
        </w:rPr>
      </w:pPr>
      <w:r>
        <w:rPr>
          <w:rFonts w:ascii="Times New Roman" w:cs="Times New Roman" w:eastAsia="Times New Roman" w:hAnsi="Times New Roman"/>
          <w:sz w:val="18"/>
          <w:szCs w:val="18"/>
          <w:color w:val="auto"/>
        </w:rPr>
        <w:t>The indenture governing the 4.75% Convertible Senior Notes due 2023 contains customary financial reporting requirements and contains certain restrictions on mergers, consolidations, and asset sales. The indenture also contains certain events of default, the occurrence of which may lead to the 4.75% Convertible Senior Notes due 2023 being due and payable before their maturity or immediately.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18" w:right="239" w:bottom="1440" w:gutter="0" w:footer="0" w:header="0"/>
        </w:sectPr>
      </w:pPr>
    </w:p>
    <w:bookmarkStart w:id="53" w:name="page54"/>
    <w:bookmarkEnd w:id="5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234" w:lineRule="exact"/>
        <w:rPr>
          <w:sz w:val="20"/>
          <w:szCs w:val="20"/>
          <w:color w:val="auto"/>
        </w:rPr>
      </w:pPr>
    </w:p>
    <w:p>
      <w:pPr>
        <w:jc w:val="both"/>
        <w:ind w:firstLine="351"/>
        <w:spacing w:after="0" w:line="282" w:lineRule="auto"/>
        <w:rPr>
          <w:sz w:val="20"/>
          <w:szCs w:val="20"/>
          <w:color w:val="auto"/>
        </w:rPr>
      </w:pPr>
      <w:r>
        <w:rPr>
          <w:rFonts w:ascii="Times New Roman" w:cs="Times New Roman" w:eastAsia="Times New Roman" w:hAnsi="Times New Roman"/>
          <w:sz w:val="18"/>
          <w:szCs w:val="18"/>
          <w:color w:val="auto"/>
        </w:rPr>
        <w:t>The table below shows a reconciliation from the aggregate principal amount of 4.75% Convertible Senior Notes due 2023 to the balance shown on the Condensed Consolidated Statements of Assets and Liabilities.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28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3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Aggregate principal amount of 4.75% Convertible Senior Notes due 2023</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40,000,000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40,000,000</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 deduction of deferred debt issuance costs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(1,382,444)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(1,565,489)</w:t>
            </w:r>
          </w:p>
        </w:tc>
      </w:tr>
      <w:tr>
        <w:trPr>
          <w:trHeight w:val="27"/>
        </w:trPr>
        <w:tc>
          <w:tcPr>
            <w:tcW w:w="8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4.75% Convertible Senior Notes due 2023 Payable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38,617,556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38,434,511</w:t>
            </w:r>
          </w:p>
        </w:tc>
      </w:tr>
      <w:tr>
        <w:trPr>
          <w:trHeight w:val="20"/>
        </w:trPr>
        <w:tc>
          <w:tcPr>
            <w:tcW w:w="8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-539750</wp:posOffset>
            </wp:positionV>
            <wp:extent cx="528256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pacing w:after="0" w:line="178" w:lineRule="exact"/>
        <w:rPr>
          <w:sz w:val="20"/>
          <w:szCs w:val="20"/>
          <w:color w:val="auto"/>
        </w:rPr>
      </w:pPr>
    </w:p>
    <w:p>
      <w:pPr>
        <w:jc w:val="both"/>
        <w:ind w:firstLine="351"/>
        <w:spacing w:after="0" w:line="282" w:lineRule="auto"/>
        <w:rPr>
          <w:sz w:val="20"/>
          <w:szCs w:val="20"/>
          <w:color w:val="auto"/>
        </w:rPr>
      </w:pPr>
      <w:r>
        <w:rPr>
          <w:rFonts w:ascii="Times New Roman" w:cs="Times New Roman" w:eastAsia="Times New Roman" w:hAnsi="Times New Roman"/>
          <w:sz w:val="18"/>
          <w:szCs w:val="18"/>
          <w:color w:val="auto"/>
        </w:rPr>
        <w:t>As of June 30, 2019 the principal amount of the 4.75% Convertible Senior Notes due 2023 exceeded the value of the underlying shares multiplied by the per share closing price of the Company’s common stock.</w:t>
      </w:r>
    </w:p>
    <w:p>
      <w:pPr>
        <w:spacing w:after="0" w:line="162" w:lineRule="exact"/>
        <w:rPr>
          <w:sz w:val="20"/>
          <w:szCs w:val="20"/>
          <w:color w:val="auto"/>
        </w:rPr>
      </w:pPr>
    </w:p>
    <w:p>
      <w:pPr>
        <w:jc w:val="both"/>
        <w:ind w:firstLine="351"/>
        <w:spacing w:after="0" w:line="255" w:lineRule="auto"/>
        <w:rPr>
          <w:sz w:val="20"/>
          <w:szCs w:val="20"/>
          <w:color w:val="auto"/>
        </w:rPr>
      </w:pPr>
      <w:r>
        <w:rPr>
          <w:rFonts w:ascii="Times New Roman" w:cs="Times New Roman" w:eastAsia="Times New Roman" w:hAnsi="Times New Roman"/>
          <w:sz w:val="18"/>
          <w:szCs w:val="18"/>
          <w:color w:val="auto"/>
        </w:rPr>
        <w:t>The 4.75% Convertible Senior Notes due 2023 are the Company’s general, unsecured, senior obligations and rank senior in right of payment to any future indebtedness that is expressly subordinated in right of payment to the 4.75% Convertible Senior Notes due 2023, equal in right of payment to any existing and future unsecured indebtedness that is not so subordinated to the 4.75% Convertible Senior Notes due 2023, including, without limitation, the 5.25% Convertible Senior Notes due 2018, effectively junior to any future secured indebtedness to the extent of the value of the assets securing such indebtedness, including, without limitation, any borrowings under the Credit Facility (defined below), and structurally junior to all future indebtedness (including trade payables) incurred by the Company’s subsidiaries. For the period from the initial issuance of the 4.75% Convertible Senior Notes due 2023 to, and including, March 27, 2019, in accordance to the agreement, the Company did not to incur any indebtedness other than certain permitted debt, including, without limitation, up to $12.0 million in borrowings under the Credit Facility.</w:t>
      </w:r>
    </w:p>
    <w:p>
      <w:pPr>
        <w:spacing w:after="0" w:line="18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the issuance of the 4.75% Convertible Senior Notes due 2023, the Company is required under the terms of the Credit Facility to deposit any proceeds from the 4.75% Convertible Senior Notes due 2023 offering into an account at Western Alliance Bank and is required to maintain at least $65.0 million (or such lesser amount to the extent such funds are used to repay or repurchase a portion of the outstanding 5.25% Convertible Senior Notes due 2018 prior to their maturity and repayment in full) in an account at Western Alliance Bank until such time as the 5.25% Convertible Senior Notes due 2018 are repaid in full. The 5.25% Convertible Senior Notes due 2018 matured on September 15, 2018, at which time the Company repaid the remaining outstanding aggregate principal amount of the 5.25% Convertible Senior Notes due 2018, including accrued but unpaid interest.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Western Alliance Bank Credit Facility</w:t>
      </w:r>
    </w:p>
    <w:p>
      <w:pPr>
        <w:spacing w:after="0" w:line="229"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The Company entered into a Loan and Security Agreement, effective May 31, 2017 and amended on March 22, 2018 (the “Loan Agreement”), with Western Alliance Bank, pursuant to which Western Alliance Bank agreed to provide the Company with a $12.0 million senior secured revolving credit facility (the “Credit Facility”).</w:t>
      </w:r>
    </w:p>
    <w:p>
      <w:pPr>
        <w:spacing w:after="0" w:line="176"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The Credit Facility, among other things, matured on May 31, 2019 and bore interest at a per annum rate equal to the prime rate plus 3.50%. In addition, a facility fee of $60,000 was charged upon closing of the Credit Facility, and the Loan Agreement required payment of a fee for unused amounts during the revolving period in an amount equal to 0.50% per annum of the average unused portion of the Credit Facility payable quarterly in arrears.</w:t>
      </w:r>
    </w:p>
    <w:p>
      <w:pPr>
        <w:spacing w:after="0" w:line="176" w:lineRule="exact"/>
        <w:rPr>
          <w:sz w:val="20"/>
          <w:szCs w:val="20"/>
          <w:color w:val="auto"/>
        </w:rPr>
      </w:pPr>
    </w:p>
    <w:p>
      <w:pPr>
        <w:jc w:val="both"/>
        <w:ind w:firstLine="351"/>
        <w:spacing w:after="0" w:line="254" w:lineRule="auto"/>
        <w:rPr>
          <w:sz w:val="20"/>
          <w:szCs w:val="20"/>
          <w:color w:val="auto"/>
        </w:rPr>
      </w:pPr>
      <w:r>
        <w:rPr>
          <w:rFonts w:ascii="Times New Roman" w:cs="Times New Roman" w:eastAsia="Times New Roman" w:hAnsi="Times New Roman"/>
          <w:sz w:val="18"/>
          <w:szCs w:val="18"/>
          <w:color w:val="auto"/>
        </w:rPr>
        <w:t>Under the Loan Agreement, the Company made certain customary representations and warranties and was required to comply with various affirmative and negative covenants, reporting requirements, and other customary requirements for similar credit facilities, including, without limitation, restrictions on incurring additional indebtedness (with unsecured longer-term indebtedness limited to $111.0 million in the aggregate through maturity of the 5.25% Convertible Senior Notes due 2018 on September 15, 2018, and $70.0 million in the aggregate thereafter), compliance with the asset coverage requirements under the 1940 Act, a minimum net asset value requirement of at least the greater of $60.0 million or five times the amount of the Credit Facility, a limitation on the Company’s net asset value being reduced by more than 15% of its net asset value at December 31, 2016, and maintenance of RIC and BDC status. The Loan Agreement included usual and customary events of default for credit facilities of this nature, including, without limitation, nonpayment, misrepresentation of representations and warranties in a material respect, breach of covenant, cross-default to certain other indebtedness, bankruptcy, the cessation of the Investment Advisory Agreement, and the occurrence of a material adverse effect.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118" w:right="239" w:bottom="1440" w:gutter="0" w:footer="0" w:header="0"/>
        </w:sectPr>
      </w:pPr>
    </w:p>
    <w:bookmarkStart w:id="54" w:name="page55"/>
    <w:bookmarkEnd w:id="5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200" w:lineRule="exact"/>
        <w:rPr>
          <w:sz w:val="20"/>
          <w:szCs w:val="20"/>
          <w:color w:val="auto"/>
        </w:rPr>
      </w:pPr>
    </w:p>
    <w:p>
      <w:pPr>
        <w:spacing w:after="0" w:line="250" w:lineRule="exact"/>
        <w:rPr>
          <w:sz w:val="20"/>
          <w:szCs w:val="20"/>
          <w:color w:val="auto"/>
        </w:rPr>
      </w:pPr>
    </w:p>
    <w:p>
      <w:pPr>
        <w:ind w:right="20" w:firstLine="351"/>
        <w:spacing w:after="0" w:line="282" w:lineRule="auto"/>
        <w:rPr>
          <w:sz w:val="20"/>
          <w:szCs w:val="20"/>
          <w:color w:val="auto"/>
        </w:rPr>
      </w:pPr>
      <w:r>
        <w:rPr>
          <w:rFonts w:ascii="Times New Roman" w:cs="Times New Roman" w:eastAsia="Times New Roman" w:hAnsi="Times New Roman"/>
          <w:sz w:val="18"/>
          <w:szCs w:val="18"/>
          <w:color w:val="auto"/>
        </w:rPr>
        <w:t>The Credit Facility was secured by substantially all of the Company’s property and assets. As of June 30, 2019, the Company had no borrowings outstanding under the Credit Facility, as the Credit Facility matured on May 31, 2019.</w:t>
      </w:r>
    </w:p>
    <w:p>
      <w:pPr>
        <w:spacing w:after="0" w:line="162" w:lineRule="exact"/>
        <w:rPr>
          <w:sz w:val="20"/>
          <w:szCs w:val="20"/>
          <w:color w:val="auto"/>
        </w:rPr>
      </w:pPr>
    </w:p>
    <w:p>
      <w:pPr>
        <w:ind w:firstLine="351"/>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2019, the Company had average borrowings outstanding under the Credit Facility of $0. For the year ended December 31, 2018, the Company had average borrowings outstanding of $0.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Activity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From July 1, 2019 through August 8, 2019, the Company sold investments of $1,434,620, net of transaction costs, as shown in the following table: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20" w:type="dxa"/>
            <w:vAlign w:val="bottom"/>
            <w:vMerge w:val="restart"/>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Transaction Date</w:t>
            </w:r>
          </w:p>
        </w:tc>
        <w:tc>
          <w:tcPr>
            <w:tcW w:w="120" w:type="dxa"/>
            <w:vAlign w:val="bottom"/>
            <w:vMerge w:val="restart"/>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Sold</w:t>
            </w:r>
          </w:p>
        </w:tc>
        <w:tc>
          <w:tcPr>
            <w:tcW w:w="100" w:type="dxa"/>
            <w:vAlign w:val="bottom"/>
            <w:vMerge w:val="restart"/>
          </w:tcPr>
          <w:p>
            <w:pPr>
              <w:spacing w:after="0"/>
              <w:rPr>
                <w:sz w:val="14"/>
                <w:szCs w:val="14"/>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Average Net Share Price</w:t>
            </w: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 Proceeds</w:t>
            </w:r>
          </w:p>
        </w:tc>
        <w:tc>
          <w:tcPr>
            <w:tcW w:w="100" w:type="dxa"/>
            <w:vAlign w:val="bottom"/>
            <w:vMerge w:val="restart"/>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Realized Gain</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32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vMerge w:val="continue"/>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vMerge w:val="continue"/>
          </w:tcPr>
          <w:p>
            <w:pPr>
              <w:spacing w:after="0"/>
              <w:rPr>
                <w:sz w:val="12"/>
                <w:szCs w:val="12"/>
                <w:color w:val="auto"/>
              </w:rPr>
            </w:pPr>
          </w:p>
        </w:tc>
        <w:tc>
          <w:tcPr>
            <w:tcW w:w="16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160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9"/>
                <w:szCs w:val="9"/>
                <w:b w:val="1"/>
                <w:bCs w:val="1"/>
                <w:color w:val="auto"/>
              </w:rPr>
              <w:t>(1)</w:t>
            </w:r>
          </w:p>
        </w:tc>
        <w:tc>
          <w:tcPr>
            <w:tcW w:w="100" w:type="dxa"/>
            <w:vAlign w:val="bottom"/>
            <w:tcBorders>
              <w:bottom w:val="single" w:sz="8" w:color="CCEEFF"/>
            </w:tcBorders>
          </w:tcPr>
          <w:p>
            <w:pPr>
              <w:spacing w:after="0"/>
              <w:rPr>
                <w:sz w:val="12"/>
                <w:szCs w:val="12"/>
                <w:color w:val="auto"/>
              </w:rPr>
            </w:pPr>
          </w:p>
        </w:tc>
        <w:tc>
          <w:tcPr>
            <w:tcW w:w="16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16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440" w:type="dxa"/>
            <w:vAlign w:val="bottom"/>
            <w:tcBorders>
              <w:bottom w:val="single" w:sz="8" w:color="CCEEFF"/>
            </w:tcBorders>
            <w:gridSpan w:val="2"/>
            <w:shd w:val="clear" w:color="auto" w:fill="CCEEFF"/>
          </w:tcPr>
          <w:p>
            <w:pPr>
              <w:ind w:left="20"/>
              <w:spacing w:after="0" w:line="214" w:lineRule="exact"/>
              <w:rPr>
                <w:sz w:val="20"/>
                <w:szCs w:val="20"/>
                <w:color w:val="auto"/>
              </w:rPr>
            </w:pPr>
            <w:r>
              <w:rPr>
                <w:rFonts w:ascii="Times New Roman" w:cs="Times New Roman" w:eastAsia="Times New Roman" w:hAnsi="Times New Roman"/>
                <w:sz w:val="16"/>
                <w:szCs w:val="16"/>
                <w:color w:val="auto"/>
              </w:rPr>
              <w:t>Dropbox, Inc.</w:t>
            </w:r>
            <w:r>
              <w:rPr>
                <w:rFonts w:ascii="Times New Roman" w:cs="Times New Roman" w:eastAsia="Times New Roman" w:hAnsi="Times New Roman"/>
                <w:sz w:val="24"/>
                <w:szCs w:val="24"/>
                <w:color w:val="auto"/>
                <w:vertAlign w:val="superscript"/>
              </w:rPr>
              <w:t>(2)</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shd w:val="clear" w:color="auto" w:fill="CCEEFF"/>
              </w:rPr>
              <w:t>Various</w:t>
            </w: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503"/>
              <w:spacing w:after="0"/>
              <w:rPr>
                <w:sz w:val="20"/>
                <w:szCs w:val="20"/>
                <w:color w:val="auto"/>
              </w:rPr>
            </w:pPr>
            <w:r>
              <w:rPr>
                <w:rFonts w:ascii="Times New Roman" w:cs="Times New Roman" w:eastAsia="Times New Roman" w:hAnsi="Times New Roman"/>
                <w:sz w:val="16"/>
                <w:szCs w:val="16"/>
                <w:color w:val="auto"/>
              </w:rPr>
              <w:t>55,000</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514"/>
              <w:spacing w:after="0"/>
              <w:rPr>
                <w:sz w:val="20"/>
                <w:szCs w:val="20"/>
                <w:color w:val="auto"/>
              </w:rPr>
            </w:pPr>
            <w:r>
              <w:rPr>
                <w:rFonts w:ascii="Times New Roman" w:cs="Times New Roman" w:eastAsia="Times New Roman" w:hAnsi="Times New Roman"/>
                <w:sz w:val="16"/>
                <w:szCs w:val="16"/>
                <w:color w:val="auto"/>
              </w:rPr>
              <w:t>$26.08</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403"/>
              <w:spacing w:after="0"/>
              <w:rPr>
                <w:sz w:val="20"/>
                <w:szCs w:val="20"/>
                <w:color w:val="auto"/>
              </w:rPr>
            </w:pPr>
            <w:r>
              <w:rPr>
                <w:rFonts w:ascii="Times New Roman" w:cs="Times New Roman" w:eastAsia="Times New Roman" w:hAnsi="Times New Roman"/>
                <w:sz w:val="16"/>
                <w:szCs w:val="16"/>
                <w:color w:val="auto"/>
              </w:rPr>
              <w:t>1,434,620</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463"/>
              <w:spacing w:after="0"/>
              <w:rPr>
                <w:sz w:val="20"/>
                <w:szCs w:val="20"/>
                <w:color w:val="auto"/>
              </w:rPr>
            </w:pPr>
            <w:r>
              <w:rPr>
                <w:rFonts w:ascii="Times New Roman" w:cs="Times New Roman" w:eastAsia="Times New Roman" w:hAnsi="Times New Roman"/>
                <w:sz w:val="16"/>
                <w:szCs w:val="16"/>
                <w:color w:val="auto"/>
              </w:rPr>
              <w:t>496,967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320" w:type="dxa"/>
            <w:vAlign w:val="bottom"/>
          </w:tcPr>
          <w:p>
            <w:pPr>
              <w:jc w:val="right"/>
              <w:ind w:right="1803"/>
              <w:spacing w:after="0"/>
              <w:rPr>
                <w:sz w:val="20"/>
                <w:szCs w:val="20"/>
                <w:color w:val="auto"/>
              </w:rPr>
            </w:pPr>
            <w:r>
              <w:rPr>
                <w:rFonts w:ascii="Times New Roman" w:cs="Times New Roman" w:eastAsia="Times New Roman" w:hAnsi="Times New Roman"/>
                <w:sz w:val="16"/>
                <w:szCs w:val="16"/>
                <w:b w:val="1"/>
                <w:bCs w:val="1"/>
                <w:color w:val="auto"/>
                <w:w w:val="98"/>
              </w:rPr>
              <w:t>__________________</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500" w:hanging="492"/>
        <w:spacing w:after="0"/>
        <w:tabs>
          <w:tab w:leader="none" w:pos="5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average net share price is the net share price realized after deducting all commissions and fees on the sale(s), if applicable.</w:t>
      </w:r>
    </w:p>
    <w:p>
      <w:pPr>
        <w:spacing w:after="0" w:line="5"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August 8, 2019, we held 382,530 remaining shares of Dropbox, Inc..</w:t>
      </w:r>
    </w:p>
    <w:p>
      <w:pPr>
        <w:spacing w:after="0" w:line="1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From July 1, 2019 through August 8, 2019, the Company did not purchase any investments.</w:t>
      </w:r>
    </w:p>
    <w:p>
      <w:pPr>
        <w:spacing w:after="0" w:line="225"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The Company is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the Company. Equity investments made through the secondary market may involve making deposits in escrow accounts until the applicable closing conditions are satisfied, at which time the escrow accounts will close and such equity investments will be effectuated.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Rebranding to Sutter Rock Capital Corp.</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Articles of Amendment</w:t>
      </w:r>
    </w:p>
    <w:p>
      <w:pPr>
        <w:spacing w:after="0" w:line="229"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On and effective July 30, 2019, the Company changed its name to “Sutter Rock Capital Corp.” from “GSV Capital Corp” (the “Name Change”) by filing Articles of Amendment (the “Articles of Amendment”) to its Articles of Amendment and Restatement, as amended (the “Charter”), with the Department of Assessments and Taxation of the State of Maryland to effectuate the Name Change. In accordance with the Maryland General Corporation Law and the Charter, the Company’s Board of Directors approved the Name Change and the Articles of Amendment. Stockholder approval was not required.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Trading Symbol</w:t>
      </w:r>
    </w:p>
    <w:p>
      <w:pPr>
        <w:spacing w:after="0" w:line="229" w:lineRule="exact"/>
        <w:rPr>
          <w:sz w:val="20"/>
          <w:szCs w:val="20"/>
          <w:color w:val="auto"/>
        </w:rPr>
      </w:pPr>
    </w:p>
    <w:p>
      <w:pPr>
        <w:jc w:val="both"/>
        <w:ind w:firstLine="351"/>
        <w:spacing w:after="0" w:line="282" w:lineRule="auto"/>
        <w:rPr>
          <w:sz w:val="20"/>
          <w:szCs w:val="20"/>
          <w:color w:val="auto"/>
        </w:rPr>
      </w:pPr>
      <w:r>
        <w:rPr>
          <w:rFonts w:ascii="Times New Roman" w:cs="Times New Roman" w:eastAsia="Times New Roman" w:hAnsi="Times New Roman"/>
          <w:sz w:val="18"/>
          <w:szCs w:val="18"/>
          <w:color w:val="auto"/>
        </w:rPr>
        <w:t>In connection with the Name Change, the trading symbol for the Company’s shares of common stock on the Nasdaq Capital Market changed to “SSSS” from “GSVC” effective August 1, 2019.</w:t>
      </w:r>
    </w:p>
    <w:p>
      <w:pPr>
        <w:spacing w:after="0" w:line="1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Bylaws</w:t>
      </w:r>
    </w:p>
    <w:p>
      <w:pPr>
        <w:spacing w:after="0" w:line="229"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In connection with the Name Change, the Company’s Board of Directors also approved an amendment and restatement of the Company’s Bylaws (the “Amended and Restated Bylaws”) to reflect the Name Change. The Amended and Restated Bylaws became effective on July 30, 2019 and did not require stockholder approval.</w:t>
      </w:r>
    </w:p>
    <w:p>
      <w:pPr>
        <w:spacing w:after="0" w:line="1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For more information regarding the foregoing events, please refer to the Company’s current report on Form 8-K filed with the SEC on August 1, 2019.</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118" w:right="239" w:bottom="1440" w:gutter="0" w:footer="0" w:header="0"/>
        </w:sectPr>
      </w:pPr>
    </w:p>
    <w:bookmarkStart w:id="55" w:name="page56"/>
    <w:bookmarkEnd w:id="5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of New Director; Increased Number of Directors; Changes to Committee Composition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and effective July 17, 2019, the Company’s Board of Directors elected Lisa Westley as a director of the Company. Ms. Westley is not an “interested person” (as defined in Section 2(a)(19) of the 1940 Act) of the Company and will serve as one of the Company’s independent directors. She will serve as a director for a term expiring in 2020 and until her successor is duly elected and qualified.</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Ms. Westley will be entitled to the applicable annual fee and other compensation pursuant to the Company’s director compensation arrangements, under terms consistent with those previously disclosed by the Company. There are no arrangements or understandings between Ms. Westley and any other persons pursuant to which Ms. Westley was elected as a director of the Company.</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Ms. Westley’s election as a director, the Board of Directors increased the number of directors that constitutes the full Board of Directors to five directors from four directors, effective July 17, 2019, in accordance with the Company’s bylaws. The Company had previously reduced the number of directors that constitutes the full Board of Directors to four directors from five directors, effective July 1, 2019, in connection with David S. Pottruck’s departure from the Board of Directors. For more information regarding Mr. Pottruck’s departure and such reduction in the number of directors, please refer to the Company’s current report on Form 8-K filed with the SEC on June 10, 2019.</w:t>
      </w:r>
    </w:p>
    <w:p>
      <w:pPr>
        <w:spacing w:after="0" w:line="1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and effective July 31, 2019, the Company’s Board of Directors appointed Ms. Westley as Chair of the Board of Director’s Compensation Committee and as a member of the Audit Committee, the Nominating and Corporate Governance Committee, and the Valuation Committee. In connection with Ms. Westley’s appointment as Chair of the Compensation Committee, Ronald M. Lott, the former Chair of the Compensation Committee, was appointed as Chair of the Nominating and Corporate Governance Committee, effective July 31, 2019. As a result of the foregoing, the Board of Director’s committees are composed of the following individuals, each of whom is considered independent under the rules of the Nasdaq Capital Market and is not an “interested person” of the Company as that term is defined in Section 2(a)(19) of the 1940 Act.</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Audit Committee is comprised of Marc Mazur, Leonard A. Potter, Ronald M. Lott, and Lisa Westley. Mr. Mazur serves as Chair of the Audit Committee.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is comprised of Marc Mazur, Leonard A. Potter, Ronald M. Lott, and Lisa Westley. Mr. Lott was appointed Chair of the Nominating and Corporate Governance Committee on July 31, 2019.</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Valuation Committee is comprised of Marc Mazur, Leonard A. Potter, Ronald M. Lott, and Lisa Westley. Mr. Potter serves as Chair of the Valuation Committee.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Compensation Committee is comprised of Marc Mazur, Leonard A. Potter, Ronald M. Lott, and Lisa Westley. Ms. Westley serves as Chair of the Compensation Committee.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to Director Compensation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and effective July 31, 2019, the Company’s Board of Directors approved the following changes to director compensation: (i) the annual fee paid to independent directors increased to $100,000 from $80,000, (ii) the annual fee paid to the Chair of the Audit Committee increased to $15,000 from $10,000, and (iii) the annual fee paid to the chairs of the other committees of the Board of Directors increased to $10,000 from $5,000.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August 5, 2019, our Board of Directors authorized a $5.0 million increase in the amount of shares of our common stock that may be repurchased under the discretionary Share Repurchase Program until the earlier of (i) August 4, 2020 or (ii) the repurchase of $25.0 million in aggregate amount of our common stock. Under the Share Repurchase Program, we may repurchase our outstanding common stock in the open market provided that we comply with the prohibitions under our insider trading policies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118" w:right="239" w:bottom="1440" w:gutter="0" w:footer="0" w:header="0"/>
        </w:sectPr>
      </w:pPr>
    </w:p>
    <w:bookmarkStart w:id="56" w:name="page57"/>
    <w:bookmarkEnd w:id="5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23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and procedures and the applicable provisions of the 1940 Act and the Securities Exchange Act of 1934, as amended. Please refer to "Note 5—Share Repurchase Program, Equity Offerings and Related Expenses” for additional information on the Share Repurchase Program.</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From July 1, 2019 through August 8, 2019, the Company did not repurchase any additional shares under the Share Repurchase Program.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12—SUPPLEMENTAL FINANCIAL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Summarized Financial Information of Unconsolidated Subsidiaries</w:t>
      </w:r>
    </w:p>
    <w:p>
      <w:pPr>
        <w:spacing w:after="0" w:line="229" w:lineRule="exact"/>
        <w:rPr>
          <w:sz w:val="20"/>
          <w:szCs w:val="20"/>
          <w:color w:val="auto"/>
        </w:rPr>
      </w:pPr>
    </w:p>
    <w:p>
      <w:pPr>
        <w:jc w:val="both"/>
        <w:ind w:firstLine="351"/>
        <w:spacing w:after="0" w:line="256" w:lineRule="auto"/>
        <w:rPr>
          <w:sz w:val="20"/>
          <w:szCs w:val="20"/>
          <w:color w:val="auto"/>
        </w:rPr>
      </w:pPr>
      <w:r>
        <w:rPr>
          <w:rFonts w:ascii="Times New Roman" w:cs="Times New Roman" w:eastAsia="Times New Roman" w:hAnsi="Times New Roman"/>
          <w:sz w:val="18"/>
          <w:szCs w:val="18"/>
          <w:color w:val="auto"/>
        </w:rPr>
        <w:t>In accordance with the SEC’s Regulation S-X and GAAP, the Company is not permitted to consolidate any subsidiary or other entity that is not an investment company, including those in which the Company has a controlling interest; however, the Company must disclose certain financial information related to any subsidiaries or other entities that are considered to be “significant subsidiaries” under the applicable rules of Regulation S-X. As of June 30, 2019, the Company had investments in at least one portfolio company considered to be a significant subsidiary under SEC Regulation S-X Rule 10-01(b)(1) and Regulation S-X Rule 4-08(g). Below is summarized, unaudited, comparative financial information for the Company’s unconsolidated significant subsidiaries.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Income Statement Data for the Three Months Ended:</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20" w:type="dxa"/>
            <w:vAlign w:val="bottom"/>
            <w:tcBorders>
              <w:bottom w:val="single" w:sz="8" w:color="CCEEFF"/>
            </w:tcBorders>
            <w:gridSpan w:val="2"/>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 2018</w:t>
            </w:r>
          </w:p>
        </w:tc>
      </w:tr>
      <w:tr>
        <w:trPr>
          <w:trHeight w:val="235"/>
        </w:trPr>
        <w:tc>
          <w:tcPr>
            <w:tcW w:w="75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5,906,873</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5,245,964</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37"/>
        </w:trPr>
        <w:tc>
          <w:tcPr>
            <w:tcW w:w="7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Gross profit</w:t>
            </w:r>
          </w:p>
        </w:tc>
        <w:tc>
          <w:tcPr>
            <w:tcW w:w="3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3,618,370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3,907,598</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7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5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Loss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(1,663,892)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(1,266,805)</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37"/>
        </w:trPr>
        <w:tc>
          <w:tcPr>
            <w:tcW w:w="7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Total net loss including net loss attributable to non-controlling interest</w:t>
            </w:r>
          </w:p>
        </w:tc>
        <w:tc>
          <w:tcPr>
            <w:tcW w:w="3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(1,663,892)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(1,266,805)</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7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5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loss attributable to non-controlling interest</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616"/>
        </w:trPr>
        <w:tc>
          <w:tcPr>
            <w:tcW w:w="40" w:type="dxa"/>
            <w:vAlign w:val="bottom"/>
          </w:tcPr>
          <w:p>
            <w:pPr>
              <w:spacing w:after="0"/>
              <w:rPr>
                <w:sz w:val="24"/>
                <w:szCs w:val="24"/>
                <w:color w:val="auto"/>
              </w:rPr>
            </w:pPr>
          </w:p>
        </w:tc>
        <w:tc>
          <w:tcPr>
            <w:tcW w:w="7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Income Statement Data for the Six Months Ended:</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20" w:type="dxa"/>
            <w:vAlign w:val="bottom"/>
            <w:tcBorders>
              <w:bottom w:val="single" w:sz="8" w:color="CCEEFF"/>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June 30, 2018</w:t>
            </w:r>
          </w:p>
        </w:tc>
        <w:tc>
          <w:tcPr>
            <w:tcW w:w="20" w:type="dxa"/>
            <w:vAlign w:val="bottom"/>
          </w:tcPr>
          <w:p>
            <w:pPr>
              <w:spacing w:after="0"/>
              <w:rPr>
                <w:sz w:val="24"/>
                <w:szCs w:val="24"/>
                <w:color w:val="auto"/>
              </w:rPr>
            </w:pPr>
          </w:p>
        </w:tc>
      </w:tr>
      <w:tr>
        <w:trPr>
          <w:trHeight w:val="235"/>
        </w:trPr>
        <w:tc>
          <w:tcPr>
            <w:tcW w:w="40" w:type="dxa"/>
            <w:vAlign w:val="bottom"/>
          </w:tcPr>
          <w:p>
            <w:pPr>
              <w:spacing w:after="0"/>
              <w:rPr>
                <w:sz w:val="20"/>
                <w:szCs w:val="20"/>
                <w:color w:val="auto"/>
              </w:rPr>
            </w:pPr>
          </w:p>
        </w:tc>
        <w:tc>
          <w:tcPr>
            <w:tcW w:w="7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11,552,985</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10,525,124</w:t>
            </w:r>
          </w:p>
        </w:tc>
        <w:tc>
          <w:tcPr>
            <w:tcW w:w="20" w:type="dxa"/>
            <w:vAlign w:val="bottom"/>
          </w:tcPr>
          <w:p>
            <w:pPr>
              <w:spacing w:after="0"/>
              <w:rPr>
                <w:sz w:val="20"/>
                <w:szCs w:val="20"/>
                <w:color w:val="auto"/>
              </w:rPr>
            </w:pPr>
          </w:p>
        </w:tc>
      </w:tr>
      <w:tr>
        <w:trPr>
          <w:trHeight w:val="237"/>
        </w:trPr>
        <w:tc>
          <w:tcPr>
            <w:tcW w:w="40" w:type="dxa"/>
            <w:vAlign w:val="bottom"/>
          </w:tcPr>
          <w:p>
            <w:pPr>
              <w:spacing w:after="0"/>
              <w:rPr>
                <w:sz w:val="20"/>
                <w:szCs w:val="20"/>
                <w:color w:val="auto"/>
              </w:rPr>
            </w:pPr>
          </w:p>
        </w:tc>
        <w:tc>
          <w:tcPr>
            <w:tcW w:w="7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20" w:type="dxa"/>
            <w:vAlign w:val="bottom"/>
          </w:tcPr>
          <w:p>
            <w:pPr>
              <w:spacing w:after="0"/>
              <w:rPr>
                <w:sz w:val="20"/>
                <w:szCs w:val="20"/>
                <w:color w:val="auto"/>
              </w:rPr>
            </w:pPr>
          </w:p>
        </w:tc>
        <w:tc>
          <w:tcPr>
            <w:tcW w:w="16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7,280,802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8,185,315</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75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7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(3,423,181)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(3,055,708)</w:t>
            </w:r>
          </w:p>
        </w:tc>
        <w:tc>
          <w:tcPr>
            <w:tcW w:w="20" w:type="dxa"/>
            <w:vAlign w:val="bottom"/>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7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net loss including net loss attributable to non-controlling interest</w:t>
            </w:r>
          </w:p>
        </w:tc>
        <w:tc>
          <w:tcPr>
            <w:tcW w:w="3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(3,423,181)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(3,055,708)</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75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non-controlling interest</w:t>
            </w:r>
          </w:p>
        </w:tc>
        <w:tc>
          <w:tcPr>
            <w:tcW w:w="320" w:type="dxa"/>
            <w:vAlign w:val="bottom"/>
            <w:shd w:val="clear" w:color="auto" w:fill="CCEEFF"/>
          </w:tcPr>
          <w:p>
            <w:pPr>
              <w:spacing w:after="0"/>
              <w:rPr>
                <w:sz w:val="20"/>
                <w:szCs w:val="20"/>
                <w:color w:val="auto"/>
              </w:rPr>
            </w:pPr>
          </w:p>
        </w:tc>
        <w:tc>
          <w:tcPr>
            <w:tcW w:w="174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7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118" w:right="239" w:bottom="1440" w:gutter="0" w:footer="0" w:header="0"/>
        </w:sectPr>
      </w:pPr>
    </w:p>
    <w:bookmarkStart w:id="57" w:name="page58"/>
    <w:bookmarkEnd w:id="57"/>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184" w:lineRule="exact"/>
        <w:rPr>
          <w:sz w:val="20"/>
          <w:szCs w:val="20"/>
          <w:color w:val="auto"/>
        </w:rPr>
      </w:pPr>
    </w:p>
    <w:p>
      <w:pPr>
        <w:jc w:val="both"/>
        <w:ind w:firstLine="351"/>
        <w:spacing w:after="0" w:line="282"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on Form 10-Q involve risks and uncertainties, including, without limitation, statements as to:</w:t>
      </w:r>
    </w:p>
    <w:p>
      <w:pPr>
        <w:spacing w:after="0" w:line="162"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prospects and the prospects of our portfolio companies;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investments that we expect to make;</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arrangements and relationships with third parties;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of our future success on the general economy and its impact on the industries in which we invest;</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portfolio companies to achieve their objectives;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financings and investments;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resources and working capital; and</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cash flows, if any, from the operations of our portfolio companies.</w:t>
      </w:r>
    </w:p>
    <w:p>
      <w:pPr>
        <w:spacing w:after="0" w:line="266"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76" w:lineRule="exact"/>
        <w:rPr>
          <w:sz w:val="20"/>
          <w:szCs w:val="20"/>
          <w:color w:val="auto"/>
        </w:rPr>
      </w:pPr>
    </w:p>
    <w:p>
      <w:pPr>
        <w:ind w:left="660" w:right="2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could impair our portfolio companies’ ability to continue to operate, which could lead to the loss of some or all of our investments in such portfolio companies;</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could disproportionately impact the market sectors in which a significant portion of our portfolio is concentrated, causing us to suffer losses in our portfolio;</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contraction of available credit and/or an inability to access the equity markets could impair our investment activities;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volatility could adversely affect our results, particularly because we use leverage as part of our investment strategy; and</w:t>
      </w:r>
    </w:p>
    <w:p>
      <w:pPr>
        <w:spacing w:after="0" w:line="26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uncertainties and other factors we identify in the sections entitled “Risk Factors” in our quarterly reports on Form 10-Q, our annual report on Form 10-K, and in our other filings with the SEC.</w:t>
      </w:r>
    </w:p>
    <w:p>
      <w:pPr>
        <w:spacing w:after="0" w:line="202"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our quarterly reports on Form 10-Q and our</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118" w:right="239" w:bottom="1440" w:gutter="0" w:footer="0" w:header="0"/>
        </w:sectPr>
      </w:pPr>
    </w:p>
    <w:bookmarkStart w:id="58" w:name="page59"/>
    <w:bookmarkEnd w:id="58"/>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annual report on Form 10-K, in the “Risk Factors” sections. You should not place undue reliance on these forward-looking statements, which apply only as of the date of this quarterly report on Form 10-Q. The following analysis of our financial condition and results of operations should be read in conjunction with our consolidated financial statements and the related notes thereto contained elsewhere in this quarterly report on Form 10-Q.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51"/>
        <w:spacing w:after="0" w:line="253" w:lineRule="auto"/>
        <w:rPr>
          <w:sz w:val="20"/>
          <w:szCs w:val="20"/>
          <w:color w:val="auto"/>
        </w:rPr>
      </w:pPr>
      <w:r>
        <w:rPr>
          <w:rFonts w:ascii="Times New Roman" w:cs="Times New Roman" w:eastAsia="Times New Roman" w:hAnsi="Times New Roman"/>
          <w:sz w:val="18"/>
          <w:szCs w:val="18"/>
          <w:color w:val="auto"/>
        </w:rPr>
        <w:t>We are an internally-managed, non-diversified closed-end management investment company that has elected to be regulated as a business development company (or "BDC") under the 1940 Act. Our investment objective is to maximize our portfolio’s total return, principally by seeking capital gains on our equity and equity-related investments. We invest principally in the equity securities of what we believe to be rapidly growing venture-capital-backed emerging companies. We have also invested, on an opportunistic basis, in select publicly traded equity securities of rapidly growing companies that otherwise meet our investment criteria and may continue to do so in the future. In addition, while we invest primarily in U.S. companies, we may invest on an opportunistic basis in certain non-U.S. companies that otherwise meet our investment criteria. In regard to the regulatory requirements for BDCs under the 1940 Act, some of these investments may not qualify as investments in “eligible portfolio companies,” and thus may not be considered “qualifying assets.” “Eligible portfolio companies” generally include U.S. companies that are not investment companies and that do not have securities listed on a national exchange. If at any time less than 70% of our gross assets are comprised of qualifying assets, including as a result of an increase in the value of any on-qualifying assets or decrease in the value of any qualifying assets, we would generally not be permitted to acquire any additional non-qualifying assets until such time as 70% of our then-current gross assets were comprised of qualifying assets. We would not be required, however, to dispose of any non-qualifying assets in such circumstances.</w:t>
      </w:r>
    </w:p>
    <w:p>
      <w:pPr>
        <w:spacing w:after="0" w:line="191" w:lineRule="exact"/>
        <w:rPr>
          <w:sz w:val="20"/>
          <w:szCs w:val="20"/>
          <w:color w:val="auto"/>
        </w:rPr>
      </w:pPr>
    </w:p>
    <w:p>
      <w:pPr>
        <w:jc w:val="both"/>
        <w:ind w:right="20" w:firstLine="351"/>
        <w:spacing w:after="0" w:line="282" w:lineRule="auto"/>
        <w:rPr>
          <w:sz w:val="20"/>
          <w:szCs w:val="20"/>
          <w:color w:val="auto"/>
        </w:rPr>
      </w:pPr>
      <w:r>
        <w:rPr>
          <w:rFonts w:ascii="Times New Roman" w:cs="Times New Roman" w:eastAsia="Times New Roman" w:hAnsi="Times New Roman"/>
          <w:sz w:val="18"/>
          <w:szCs w:val="18"/>
          <w:color w:val="auto"/>
        </w:rPr>
        <w:t>We acquire our investments in portfolio companies through offerings of the prospective portfolio companies, transactions on secondary marketplaces for private companies and negotiations with selling stockholders.</w:t>
      </w:r>
    </w:p>
    <w:p>
      <w:pPr>
        <w:spacing w:after="0" w:line="162"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Our investment philosophy is premised on a disciplined approach of identifying high-growth emerging companies across several key industry themes that may include, among others, social mobile, cloud computing and big data, internet commerce, sustainability and education technology. Our investment decisions are based on a disciplined analysis of available information regarding each potential portfolio company’s business operations, focusing on the company’s growth potential, the quality of recurring revenues and cash flow and cost structures, as well as an understanding of key market fundamentals. Many of the companies that we evaluate have financial backing from top-tier venture capital funds or other financial or strategic sponsors.</w:t>
      </w:r>
    </w:p>
    <w:p>
      <w:pPr>
        <w:spacing w:after="0" w:line="184"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Typically, our preferred stock investments are non-income-producing, have different voting rights than common stock and are generally convertible into common stock at our discretion. Our investments generally do not produce current income and, therefore, we may be dependent on future capital raising to meet our operating needs if no other source of liquidity is available.</w:t>
      </w:r>
    </w:p>
    <w:p>
      <w:pPr>
        <w:spacing w:after="0" w:line="184"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Starting in 2017, we began to focus our investment strategy to increase the size of our investments in individual portfolio companies. While this will likely have the effect of reducing the number of companies in which we hold investments, we believe that the shift towards larger positions will better allow us to focus our investments in companies and industries that are more likely to result in beneficial returns to our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Internalization of Operating Structure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and effective March 12, 2019 (the "Effective Date"), our Board of Directors approved internalizing our operating structure and we began operating as an internally managed non-diversified closed-end management investment company that has elected to be regulated as a BDC under the 1940 Act. Prior to the Effective Date, we were externally managed by our former investment adviser, GSV Asset Management, LLC (“GSV Asset Management”), pursuant to an investment advisory agreement (the “Investment Advisory Agreement”), and our former administrator, GSV Capital Service Company, LLC (“GSV Capital Service Company”), provided the administrative services necessary for our operations pursuant to an administration agreement (the “Administration Agreement”).</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our Internalization, the Investment Advisory Agreement and the Administration Agreement were terminated as of the Effective Date, and as a result no fees or expenses will be due or payable under the Investment Advisory Agreement and the Administration Agreement going forward. As of such date, we entered into a Consulting Agreement with Michael T. Moe (the former Chairman of our Board of Directors and the Chief Executive Officer and Chief Investment Officer of GSV Asset Management), pursuant to which Mr. Moe provides certain services to us in connection with our transition to an internally managed</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118" w:right="239" w:bottom="1440" w:gutter="0" w:footer="0" w:header="0"/>
        </w:sectPr>
      </w:pPr>
    </w:p>
    <w:bookmarkStart w:id="59" w:name="page60"/>
    <w:bookmarkEnd w:id="59"/>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structure. We also entered into an Amended and Restated Trademark License Agreement (the "Amended and Restated Trademark License Agreement") with GSV Asset Management to continue to use the trade name “GSV”, and other state or unregistered “GSV” marks, including the trading symbol “GSVC.”</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Mr. Moe also resigned from our Board of Directors, and our Board of Directors reduced the number of directors that constitute our full Board of Directors to five directors from six directors in accordance with our bylaws.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Except as otherwise disclosed herein, this Form 10-Q discusses our business and operations as an internally-managed BDC during the period covered by this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and Investment Activity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value of our investment portfolio will change over time due to changes in the fair value of our underlying investments, as well as changes in the composition of our portfolio resulting from purchases of new and follow-on investments and the sales of existing investments. The fair value, as of June 30, 2019, of all of our portfolio investments, excluding U.S. Treasury bills, was $183,415,122.</w:t>
      </w:r>
    </w:p>
    <w:p>
      <w:pPr>
        <w:spacing w:after="0" w:line="176"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During six months ended June 30, 2019, we funded investments in an aggregate amount of $10,000,000 (not including capitalized transaction costs) as shown in the following table: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20" w:type="dxa"/>
            <w:vAlign w:val="bottom"/>
            <w:tcBorders>
              <w:bottom w:val="single" w:sz="8" w:color="CCEEFF"/>
            </w:tcBorders>
          </w:tcPr>
          <w:p>
            <w:pPr>
              <w:spacing w:after="0"/>
              <w:rPr>
                <w:sz w:val="16"/>
                <w:szCs w:val="16"/>
                <w:color w:val="auto"/>
              </w:rPr>
            </w:pPr>
          </w:p>
        </w:tc>
        <w:tc>
          <w:tcPr>
            <w:tcW w:w="5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Transaction Date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w w:val="99"/>
              </w:rPr>
              <w:t>Gross Payments</w:t>
            </w:r>
          </w:p>
        </w:tc>
      </w:tr>
      <w:tr>
        <w:trPr>
          <w:trHeight w:val="255"/>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Neutron Holdings, Inc. (d/b/a/ Lime)</w:t>
            </w:r>
          </w:p>
        </w:tc>
        <w:tc>
          <w:tcPr>
            <w:tcW w:w="5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Preferred shares, Series D</w:t>
            </w:r>
          </w:p>
        </w:tc>
        <w:tc>
          <w:tcPr>
            <w:tcW w:w="1120" w:type="dxa"/>
            <w:vAlign w:val="bottom"/>
            <w:tcBorders>
              <w:bottom w:val="single" w:sz="8" w:color="CCEEFF"/>
            </w:tcBorders>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rPr>
              <w:t>1/25/2019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10,000,000</w:t>
            </w:r>
          </w:p>
        </w:tc>
      </w:tr>
      <w:tr>
        <w:trPr>
          <w:trHeight w:val="244"/>
        </w:trPr>
        <w:tc>
          <w:tcPr>
            <w:tcW w:w="35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5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10,000,000</w:t>
            </w: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the six months ended June 30, 2019, we capitalized fees of $8,040.</w:t>
      </w:r>
    </w:p>
    <w:p>
      <w:pPr>
        <w:spacing w:after="0" w:line="22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2019, we sold investments in an amount of $43,119,593, net of transaction costs, and realized a net gain on investments of approximately $9,524,540 (including U.S. Treasury investments) as shown in following table: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Investment</w:t>
            </w:r>
          </w:p>
        </w:tc>
        <w:tc>
          <w:tcPr>
            <w:tcW w:w="120" w:type="dxa"/>
            <w:vAlign w:val="bottom"/>
            <w:vMerge w:val="restart"/>
          </w:tcPr>
          <w:p>
            <w:pPr>
              <w:spacing w:after="0"/>
              <w:rPr>
                <w:sz w:val="13"/>
                <w:szCs w:val="13"/>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280" w:type="dxa"/>
            <w:vAlign w:val="bottom"/>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Shares Sold</w:t>
            </w:r>
          </w:p>
        </w:tc>
        <w:tc>
          <w:tcPr>
            <w:tcW w:w="120" w:type="dxa"/>
            <w:vAlign w:val="bottom"/>
            <w:vMerge w:val="restart"/>
          </w:tcPr>
          <w:p>
            <w:pPr>
              <w:spacing w:after="0"/>
              <w:rPr>
                <w:sz w:val="13"/>
                <w:szCs w:val="13"/>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Average Net Share</w:t>
            </w:r>
          </w:p>
        </w:tc>
        <w:tc>
          <w:tcPr>
            <w:tcW w:w="140" w:type="dxa"/>
            <w:vAlign w:val="bottom"/>
          </w:tcPr>
          <w:p>
            <w:pPr>
              <w:spacing w:after="0"/>
              <w:rPr>
                <w:sz w:val="13"/>
                <w:szCs w:val="13"/>
                <w:color w:val="auto"/>
              </w:rPr>
            </w:pPr>
          </w:p>
        </w:tc>
        <w:tc>
          <w:tcPr>
            <w:tcW w:w="108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Net Proceeds</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 xml:space="preserve">Price </w:t>
            </w:r>
            <w:r>
              <w:rPr>
                <w:rFonts w:ascii="Times New Roman" w:cs="Times New Roman" w:eastAsia="Times New Roman" w:hAnsi="Times New Roman"/>
                <w:sz w:val="8"/>
                <w:szCs w:val="8"/>
                <w:b w:val="1"/>
                <w:bCs w:val="1"/>
                <w:color w:val="auto"/>
              </w:rPr>
              <w:t>(1)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Gain/(Loss)</w:t>
            </w:r>
            <w:r>
              <w:rPr>
                <w:rFonts w:ascii="Times New Roman" w:cs="Times New Roman" w:eastAsia="Times New Roman" w:hAnsi="Times New Roman"/>
                <w:sz w:val="8"/>
                <w:szCs w:val="8"/>
                <w:b w:val="1"/>
                <w:bCs w:val="1"/>
                <w:color w:val="auto"/>
              </w:rPr>
              <w:t>(2)</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680" w:type="dxa"/>
            <w:vAlign w:val="bottom"/>
            <w:gridSpan w:val="2"/>
            <w:shd w:val="clear" w:color="auto" w:fill="CCEEFF"/>
          </w:tcPr>
          <w:p>
            <w:pPr>
              <w:ind w:left="20"/>
              <w:spacing w:after="0" w:line="254" w:lineRule="exact"/>
              <w:rPr>
                <w:sz w:val="20"/>
                <w:szCs w:val="20"/>
                <w:color w:val="auto"/>
              </w:rPr>
            </w:pPr>
            <w:r>
              <w:rPr>
                <w:rFonts w:ascii="Times New Roman" w:cs="Times New Roman" w:eastAsia="Times New Roman" w:hAnsi="Times New Roman"/>
                <w:sz w:val="16"/>
                <w:szCs w:val="16"/>
                <w:color w:val="auto"/>
              </w:rPr>
              <w:t>Declara, Inc.</w:t>
            </w:r>
            <w:r>
              <w:rPr>
                <w:rFonts w:ascii="Times New Roman" w:cs="Times New Roman" w:eastAsia="Times New Roman" w:hAnsi="Times New Roman"/>
                <w:sz w:val="25"/>
                <w:szCs w:val="25"/>
                <w:color w:val="auto"/>
                <w:vertAlign w:val="superscript"/>
              </w:rPr>
              <w:t>(3)</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3/11/2019</w:t>
            </w:r>
          </w:p>
        </w:tc>
        <w:tc>
          <w:tcPr>
            <w:tcW w:w="12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(12,334,151)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80" w:type="dxa"/>
            <w:vAlign w:val="bottom"/>
            <w:gridSpan w:val="2"/>
          </w:tcPr>
          <w:p>
            <w:pPr>
              <w:ind w:left="20"/>
              <w:spacing w:after="0" w:line="270" w:lineRule="exact"/>
              <w:rPr>
                <w:sz w:val="20"/>
                <w:szCs w:val="20"/>
                <w:color w:val="auto"/>
              </w:rPr>
            </w:pPr>
            <w:r>
              <w:rPr>
                <w:rFonts w:ascii="Times New Roman" w:cs="Times New Roman" w:eastAsia="Times New Roman" w:hAnsi="Times New Roman"/>
                <w:sz w:val="16"/>
                <w:szCs w:val="16"/>
                <w:color w:val="auto"/>
              </w:rPr>
              <w:t>Spotify Technology S.A.</w:t>
            </w:r>
            <w:r>
              <w:rPr>
                <w:rFonts w:ascii="Times New Roman" w:cs="Times New Roman" w:eastAsia="Times New Roman" w:hAnsi="Times New Roman"/>
                <w:sz w:val="25"/>
                <w:szCs w:val="25"/>
                <w:color w:val="auto"/>
                <w:vertAlign w:val="superscript"/>
              </w:rPr>
              <w:t>(4)</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Various</w:t>
            </w:r>
          </w:p>
        </w:tc>
        <w:tc>
          <w:tcPr>
            <w:tcW w:w="12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235,360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138.29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32,547,633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22,545,550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80" w:type="dxa"/>
            <w:vAlign w:val="bottom"/>
            <w:gridSpan w:val="2"/>
            <w:shd w:val="clear" w:color="auto" w:fill="CCEEFF"/>
          </w:tcPr>
          <w:p>
            <w:pPr>
              <w:ind w:left="20"/>
              <w:spacing w:after="0" w:line="270" w:lineRule="exact"/>
              <w:rPr>
                <w:sz w:val="20"/>
                <w:szCs w:val="20"/>
                <w:color w:val="auto"/>
              </w:rPr>
            </w:pPr>
            <w:r>
              <w:rPr>
                <w:rFonts w:ascii="Times New Roman" w:cs="Times New Roman" w:eastAsia="Times New Roman" w:hAnsi="Times New Roman"/>
                <w:sz w:val="16"/>
                <w:szCs w:val="16"/>
                <w:color w:val="auto"/>
              </w:rPr>
              <w:t>Dropbox, Inc.</w:t>
            </w:r>
            <w:r>
              <w:rPr>
                <w:rFonts w:ascii="Times New Roman" w:cs="Times New Roman" w:eastAsia="Times New Roman" w:hAnsi="Times New Roman"/>
                <w:sz w:val="25"/>
                <w:szCs w:val="25"/>
                <w:color w:val="auto"/>
                <w:vertAlign w:val="superscript"/>
              </w:rPr>
              <w:t>(5)</w:t>
            </w:r>
          </w:p>
        </w:tc>
        <w:tc>
          <w:tcPr>
            <w:tcW w:w="13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8"/>
              </w:rPr>
              <w:t>Various</w:t>
            </w:r>
          </w:p>
        </w:tc>
        <w:tc>
          <w:tcPr>
            <w:tcW w:w="12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437,460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24.06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10,520,449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4,326,029</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80" w:type="dxa"/>
            <w:vAlign w:val="bottom"/>
            <w:tcBorders>
              <w:bottom w:val="single" w:sz="8" w:color="CCEEFF"/>
            </w:tcBorders>
            <w:gridSpan w:val="2"/>
          </w:tcPr>
          <w:p>
            <w:pPr>
              <w:ind w:left="20"/>
              <w:spacing w:after="0" w:line="270" w:lineRule="exact"/>
              <w:rPr>
                <w:sz w:val="20"/>
                <w:szCs w:val="20"/>
                <w:color w:val="auto"/>
              </w:rPr>
            </w:pPr>
            <w:r>
              <w:rPr>
                <w:rFonts w:ascii="Times New Roman" w:cs="Times New Roman" w:eastAsia="Times New Roman" w:hAnsi="Times New Roman"/>
                <w:sz w:val="16"/>
                <w:szCs w:val="16"/>
                <w:color w:val="auto"/>
              </w:rPr>
              <w:t>Knewton, Inc.</w:t>
            </w:r>
            <w:r>
              <w:rPr>
                <w:rFonts w:ascii="Times New Roman" w:cs="Times New Roman" w:eastAsia="Times New Roman" w:hAnsi="Times New Roman"/>
                <w:sz w:val="25"/>
                <w:szCs w:val="25"/>
                <w:color w:val="auto"/>
                <w:vertAlign w:val="superscript"/>
              </w:rPr>
              <w:t>(6)</w:t>
            </w:r>
          </w:p>
        </w:tc>
        <w:tc>
          <w:tcPr>
            <w:tcW w:w="12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5/31/2019</w:t>
            </w:r>
          </w:p>
        </w:tc>
        <w:tc>
          <w:tcPr>
            <w:tcW w:w="120" w:type="dxa"/>
            <w:vAlign w:val="bottom"/>
            <w:tcBorders>
              <w:bottom w:val="single" w:sz="8" w:color="CCEEFF"/>
            </w:tcBorders>
          </w:tcPr>
          <w:p>
            <w:pPr>
              <w:spacing w:after="0"/>
              <w:rPr>
                <w:sz w:val="23"/>
                <w:szCs w:val="23"/>
                <w:color w:val="auto"/>
              </w:rPr>
            </w:pPr>
          </w:p>
        </w:tc>
        <w:tc>
          <w:tcPr>
            <w:tcW w:w="1400" w:type="dxa"/>
            <w:vAlign w:val="bottom"/>
            <w:tcBorders>
              <w:bottom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51,511</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(5,083,701)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43,119,593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9,453,727</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jc w:val="right"/>
              <w:ind w:right="3040"/>
              <w:spacing w:after="0"/>
              <w:rPr>
                <w:sz w:val="20"/>
                <w:szCs w:val="20"/>
                <w:color w:val="auto"/>
              </w:rPr>
            </w:pPr>
            <w:r>
              <w:rPr>
                <w:rFonts w:ascii="Times New Roman" w:cs="Times New Roman" w:eastAsia="Times New Roman" w:hAnsi="Times New Roman"/>
                <w:sz w:val="16"/>
                <w:szCs w:val="16"/>
                <w:b w:val="1"/>
                <w:bCs w:val="1"/>
                <w:color w:val="auto"/>
                <w:w w:val="99"/>
              </w:rPr>
              <w:t>__________________</w:t>
            </w: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5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500" w:hanging="492"/>
        <w:spacing w:after="0"/>
        <w:tabs>
          <w:tab w:leader="none" w:pos="5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average net share price is the net share price realized after deducting all commissions and fees on the sale(s), if applicable.</w:t>
      </w:r>
    </w:p>
    <w:p>
      <w:pPr>
        <w:spacing w:after="0" w:line="5"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Realized gain/(loss) does not include amounts held in escrow or any realized gain/(loss) incurred on the maturity of our U.S. Treasury investments.</w:t>
      </w:r>
    </w:p>
    <w:p>
      <w:pPr>
        <w:spacing w:after="0" w:line="5" w:lineRule="exact"/>
        <w:rPr>
          <w:rFonts w:ascii="Times New Roman" w:cs="Times New Roman" w:eastAsia="Times New Roman" w:hAnsi="Times New Roman"/>
          <w:sz w:val="16"/>
          <w:szCs w:val="16"/>
          <w:color w:val="auto"/>
        </w:rPr>
      </w:pPr>
    </w:p>
    <w:p>
      <w:pPr>
        <w:jc w:val="both"/>
        <w:ind w:left="500" w:hanging="492"/>
        <w:spacing w:after="0" w:line="246" w:lineRule="auto"/>
        <w:tabs>
          <w:tab w:leader="none" w:pos="5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March 11, 2019, Declara, Inc. entered into a definitive agreement to be acquired by Declara Holdings, Inc., a subsidiary of Futuryng, Inc. Despite the existence of an earn-out provision, as a result of the transaction, the Company does not expect to receive any proceeds. The exit of Declara, Inc. included a 12% Convertible Promissory Note with a principal value of $2,334,152.</w:t>
      </w:r>
    </w:p>
    <w:p>
      <w:pPr>
        <w:spacing w:after="0" w:line="1"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June 30, 2019, we held 0 remaining shares of Spotify Technology S.A.</w:t>
      </w:r>
    </w:p>
    <w:p>
      <w:pPr>
        <w:spacing w:after="0" w:line="5"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June 30, 2019, we held 437,530 remaining shares of Dropbox, Inc.</w:t>
      </w:r>
    </w:p>
    <w:p>
      <w:pPr>
        <w:spacing w:after="0" w:line="5" w:lineRule="exact"/>
        <w:rPr>
          <w:rFonts w:ascii="Times New Roman" w:cs="Times New Roman" w:eastAsia="Times New Roman" w:hAnsi="Times New Roman"/>
          <w:sz w:val="16"/>
          <w:szCs w:val="16"/>
          <w:color w:val="auto"/>
        </w:rPr>
      </w:pPr>
    </w:p>
    <w:p>
      <w:pPr>
        <w:ind w:left="500" w:hanging="492"/>
        <w:spacing w:after="0" w:line="257" w:lineRule="auto"/>
        <w:tabs>
          <w:tab w:leader="none" w:pos="5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May 31, 2019, a sale of substantially all the assets of Knewton, Inc. to Wiley Education was completed. As a result of the transaction, the Company expects to receive $51,511 with approximately $26,000 currently being held in escrow.</w:t>
      </w:r>
    </w:p>
    <w:p>
      <w:pPr>
        <w:spacing w:after="0" w:line="1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the six months ended June 30, 2019, we did not write-off any investments.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118" w:right="239" w:bottom="1440" w:gutter="0" w:footer="0" w:header="0"/>
        </w:sectPr>
      </w:pPr>
    </w:p>
    <w:bookmarkStart w:id="60" w:name="page61"/>
    <w:bookmarkEnd w:id="60"/>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2018, we funded investments in an aggregate amount of $200,221 (not including capitalized transaction costs) as shown in the following table: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20" w:type="dxa"/>
            <w:vAlign w:val="bottom"/>
            <w:tcBorders>
              <w:bottom w:val="single" w:sz="8" w:color="CCEEFF"/>
            </w:tcBorders>
          </w:tcPr>
          <w:p>
            <w:pPr>
              <w:spacing w:after="0"/>
              <w:rPr>
                <w:sz w:val="16"/>
                <w:szCs w:val="16"/>
                <w:color w:val="auto"/>
              </w:rPr>
            </w:pPr>
          </w:p>
        </w:tc>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Transaction Date</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Gross Payments</w:t>
            </w:r>
          </w:p>
        </w:tc>
        <w:tc>
          <w:tcPr>
            <w:tcW w:w="0" w:type="dxa"/>
            <w:vAlign w:val="bottom"/>
          </w:tcPr>
          <w:p>
            <w:pPr>
              <w:spacing w:after="0"/>
              <w:rPr>
                <w:sz w:val="1"/>
                <w:szCs w:val="1"/>
                <w:color w:val="auto"/>
              </w:rPr>
            </w:pPr>
          </w:p>
        </w:tc>
      </w:tr>
      <w:tr>
        <w:trPr>
          <w:trHeight w:val="255"/>
        </w:trPr>
        <w:tc>
          <w:tcPr>
            <w:tcW w:w="3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Ozy Media, Inc.</w:t>
            </w:r>
            <w:r>
              <w:rPr>
                <w:rFonts w:ascii="Times New Roman" w:cs="Times New Roman" w:eastAsia="Times New Roman" w:hAnsi="Times New Roman"/>
                <w:sz w:val="21"/>
                <w:szCs w:val="21"/>
                <w:color w:val="auto"/>
                <w:vertAlign w:val="superscript"/>
              </w:rPr>
              <w:t>(1)</w:t>
            </w:r>
          </w:p>
        </w:tc>
        <w:tc>
          <w:tcPr>
            <w:tcW w:w="41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Promissory Note 10% Due 2/12/2018</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1/12/2018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r>
        <w:trPr>
          <w:trHeight w:val="270"/>
        </w:trPr>
        <w:tc>
          <w:tcPr>
            <w:tcW w:w="390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6"/>
                <w:szCs w:val="16"/>
                <w:color w:val="auto"/>
              </w:rPr>
              <w:t>SharesPost, Inc.</w:t>
            </w:r>
            <w:r>
              <w:rPr>
                <w:rFonts w:ascii="Times New Roman" w:cs="Times New Roman" w:eastAsia="Times New Roman" w:hAnsi="Times New Roman"/>
                <w:sz w:val="21"/>
                <w:szCs w:val="21"/>
                <w:color w:val="auto"/>
                <w:vertAlign w:val="superscript"/>
              </w:rPr>
              <w:t>(2)</w:t>
            </w:r>
          </w:p>
        </w:tc>
        <w:tc>
          <w:tcPr>
            <w:tcW w:w="412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Common shares</w:t>
            </w:r>
          </w:p>
        </w:tc>
        <w:tc>
          <w:tcPr>
            <w:tcW w:w="16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8"/>
              </w:rPr>
              <w:t>6/15/2018</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100,221</w:t>
            </w: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4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200,221</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__________________</w:t>
            </w:r>
          </w:p>
        </w:tc>
        <w:tc>
          <w:tcPr>
            <w:tcW w:w="1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jc w:val="both"/>
        <w:ind w:left="500" w:hanging="492"/>
        <w:spacing w:after="0" w:line="246" w:lineRule="auto"/>
        <w:tabs>
          <w:tab w:leader="none" w:pos="50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period, Ozy Media, Inc.’s obligations under its financing arrangements with us became past due. Effective April 9, 2018, the term of Ozy Media Inc.'s notes were extended through the issuance of a new convertible promissory note, which extended the maturity date of the existing notes to October 31, 2018, or December 31, 2018 if certain conditions are satisfied. In consideration for amending and restating the existing notes, we were issued warrants exercisable for 34,483 shares of Ozy Media Inc.'s common stock.</w:t>
      </w:r>
    </w:p>
    <w:p>
      <w:pPr>
        <w:spacing w:after="0" w:line="1"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June 15, 2018 we exercised our 770,934 warrants to purchase shares of SharePost, Inc.'s common stock, with a $0.13 strike price.</w:t>
      </w:r>
    </w:p>
    <w:p>
      <w:pPr>
        <w:spacing w:after="0" w:line="1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the six months ended June 30, 2018, we capitalized fees of $9,435.</w:t>
      </w:r>
    </w:p>
    <w:p>
      <w:pPr>
        <w:spacing w:after="0" w:line="22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2018, we sold investments or received repayments from portfolio companies in an amount of $23,782,430, net of transaction costs, and realized a net gain on investments of approximately $2,586,608 (including U.S. Treasury investments) as shown in following table: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Portfolio Investment</w:t>
            </w:r>
          </w:p>
        </w:tc>
        <w:tc>
          <w:tcPr>
            <w:tcW w:w="120" w:type="dxa"/>
            <w:vAlign w:val="bottom"/>
            <w:vMerge w:val="restart"/>
          </w:tcPr>
          <w:p>
            <w:pPr>
              <w:spacing w:after="0"/>
              <w:rPr>
                <w:sz w:val="13"/>
                <w:szCs w:val="13"/>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280" w:type="dxa"/>
            <w:vAlign w:val="bottom"/>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Shares Sold</w:t>
            </w:r>
          </w:p>
        </w:tc>
        <w:tc>
          <w:tcPr>
            <w:tcW w:w="120" w:type="dxa"/>
            <w:vAlign w:val="bottom"/>
            <w:vMerge w:val="restart"/>
          </w:tcPr>
          <w:p>
            <w:pPr>
              <w:spacing w:after="0"/>
              <w:rPr>
                <w:sz w:val="13"/>
                <w:szCs w:val="13"/>
                <w:color w:val="auto"/>
              </w:rPr>
            </w:pPr>
          </w:p>
        </w:tc>
        <w:tc>
          <w:tcPr>
            <w:tcW w:w="152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Average Net Share</w:t>
            </w:r>
          </w:p>
        </w:tc>
        <w:tc>
          <w:tcPr>
            <w:tcW w:w="106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Net Proceeds</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0" w:type="dxa"/>
            <w:vAlign w:val="bottom"/>
          </w:tcPr>
          <w:p>
            <w:pPr>
              <w:spacing w:after="0"/>
              <w:rPr>
                <w:sz w:val="1"/>
                <w:szCs w:val="1"/>
                <w:color w:val="auto"/>
              </w:rPr>
            </w:pPr>
          </w:p>
        </w:tc>
      </w:tr>
      <w:tr>
        <w:trPr>
          <w:trHeight w:val="195"/>
        </w:trPr>
        <w:tc>
          <w:tcPr>
            <w:tcW w:w="45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4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 xml:space="preserve">Price </w:t>
            </w:r>
            <w:r>
              <w:rPr>
                <w:rFonts w:ascii="Times New Roman" w:cs="Times New Roman" w:eastAsia="Times New Roman" w:hAnsi="Times New Roman"/>
                <w:sz w:val="8"/>
                <w:szCs w:val="8"/>
                <w:b w:val="1"/>
                <w:bCs w:val="1"/>
                <w:color w:val="auto"/>
              </w:rPr>
              <w:t>(1)</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Gain/(Loss)</w:t>
            </w:r>
            <w:r>
              <w:rPr>
                <w:rFonts w:ascii="Times New Roman" w:cs="Times New Roman" w:eastAsia="Times New Roman" w:hAnsi="Times New Roman"/>
                <w:sz w:val="8"/>
                <w:szCs w:val="8"/>
                <w:b w:val="1"/>
                <w:bCs w:val="1"/>
                <w:color w:val="auto"/>
              </w:rPr>
              <w:t>(4)</w:t>
            </w:r>
          </w:p>
        </w:tc>
        <w:tc>
          <w:tcPr>
            <w:tcW w:w="0" w:type="dxa"/>
            <w:vAlign w:val="bottom"/>
          </w:tcPr>
          <w:p>
            <w:pPr>
              <w:spacing w:after="0"/>
              <w:rPr>
                <w:sz w:val="1"/>
                <w:szCs w:val="1"/>
                <w:color w:val="auto"/>
              </w:rPr>
            </w:pPr>
          </w:p>
        </w:tc>
      </w:tr>
      <w:tr>
        <w:trPr>
          <w:trHeight w:val="255"/>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Chegg, Inc.</w:t>
            </w:r>
            <w:r>
              <w:rPr>
                <w:rFonts w:ascii="Times New Roman" w:cs="Times New Roman" w:eastAsia="Times New Roman" w:hAnsi="Times New Roman"/>
                <w:sz w:val="21"/>
                <w:szCs w:val="21"/>
                <w:color w:val="auto"/>
                <w:vertAlign w:val="superscript"/>
              </w:rPr>
              <w:t>(2)</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Various</w:t>
            </w:r>
          </w:p>
        </w:tc>
        <w:tc>
          <w:tcPr>
            <w:tcW w:w="12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tcPr>
          <w:p>
            <w:pPr>
              <w:spacing w:after="0"/>
              <w:rPr>
                <w:sz w:val="22"/>
                <w:szCs w:val="22"/>
                <w:color w:val="auto"/>
              </w:rPr>
            </w:pPr>
          </w:p>
        </w:tc>
        <w:tc>
          <w:tcPr>
            <w:tcW w:w="12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18.89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9,446,315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3,437,847</w:t>
            </w:r>
          </w:p>
        </w:tc>
        <w:tc>
          <w:tcPr>
            <w:tcW w:w="0" w:type="dxa"/>
            <w:vAlign w:val="bottom"/>
          </w:tcPr>
          <w:p>
            <w:pPr>
              <w:spacing w:after="0"/>
              <w:rPr>
                <w:sz w:val="1"/>
                <w:szCs w:val="1"/>
                <w:color w:val="auto"/>
              </w:rPr>
            </w:pPr>
          </w:p>
        </w:tc>
      </w:tr>
      <w:tr>
        <w:trPr>
          <w:trHeight w:val="270"/>
        </w:trPr>
        <w:tc>
          <w:tcPr>
            <w:tcW w:w="4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NestGSV, Inc. (d/b/a GSV Labs, Inc.)</w:t>
            </w:r>
            <w:r>
              <w:rPr>
                <w:rFonts w:ascii="Times New Roman" w:cs="Times New Roman" w:eastAsia="Times New Roman" w:hAnsi="Times New Roman"/>
                <w:sz w:val="21"/>
                <w:szCs w:val="21"/>
                <w:color w:val="auto"/>
                <w:vertAlign w:val="superscript"/>
              </w:rPr>
              <w:t>(3)</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1/12/2018</w:t>
            </w:r>
          </w:p>
        </w:tc>
        <w:tc>
          <w:tcPr>
            <w:tcW w:w="12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N/A</w:t>
            </w:r>
          </w:p>
        </w:tc>
        <w:tc>
          <w:tcPr>
            <w:tcW w:w="15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N/A</w:t>
            </w:r>
          </w:p>
        </w:tc>
        <w:tc>
          <w:tcPr>
            <w:tcW w:w="10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592,129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Avenues Global Holdings, LLC</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1/22/2018</w:t>
            </w:r>
          </w:p>
        </w:tc>
        <w:tc>
          <w:tcPr>
            <w:tcW w:w="120" w:type="dxa"/>
            <w:vAlign w:val="bottom"/>
          </w:tcPr>
          <w:p>
            <w:pPr>
              <w:spacing w:after="0"/>
              <w:rPr>
                <w:sz w:val="20"/>
                <w:szCs w:val="20"/>
                <w:color w:val="auto"/>
              </w:rPr>
            </w:pPr>
          </w:p>
        </w:tc>
        <w:tc>
          <w:tcPr>
            <w:tcW w:w="12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10,014,270</w:t>
            </w:r>
          </w:p>
        </w:tc>
        <w:tc>
          <w:tcPr>
            <w:tcW w:w="120" w:type="dxa"/>
            <w:vAlign w:val="bottom"/>
          </w:tcPr>
          <w:p>
            <w:pPr>
              <w:spacing w:after="0"/>
              <w:rPr>
                <w:sz w:val="20"/>
                <w:szCs w:val="20"/>
                <w:color w:val="auto"/>
              </w:rPr>
            </w:pPr>
          </w:p>
        </w:tc>
        <w:tc>
          <w:tcPr>
            <w:tcW w:w="12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0.59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5,923,795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(4,228,059)</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General Assembly Space, Inc.</w:t>
            </w:r>
            <w:r>
              <w:rPr>
                <w:rFonts w:ascii="Times New Roman" w:cs="Times New Roman" w:eastAsia="Times New Roman" w:hAnsi="Times New Roman"/>
                <w:sz w:val="21"/>
                <w:szCs w:val="21"/>
                <w:color w:val="auto"/>
                <w:vertAlign w:val="superscript"/>
              </w:rPr>
              <w:t>(5)</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6/12/2018</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259,765</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35.92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7,820,191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3,330,660</w:t>
            </w:r>
          </w:p>
        </w:tc>
        <w:tc>
          <w:tcPr>
            <w:tcW w:w="0" w:type="dxa"/>
            <w:vAlign w:val="bottom"/>
          </w:tcPr>
          <w:p>
            <w:pPr>
              <w:spacing w:after="0"/>
              <w:rPr>
                <w:sz w:val="1"/>
                <w:szCs w:val="1"/>
                <w:color w:val="auto"/>
              </w:rPr>
            </w:pPr>
          </w:p>
        </w:tc>
      </w:tr>
      <w:tr>
        <w:trPr>
          <w:trHeight w:val="244"/>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23,782,430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2,539,768</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__________________</w:t>
            </w: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-499110</wp:posOffset>
            </wp:positionV>
            <wp:extent cx="553148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ind w:left="500" w:hanging="492"/>
        <w:spacing w:after="0"/>
        <w:tabs>
          <w:tab w:leader="none" w:pos="5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average net share price is the net share price realized after deducting all commissions and fees on the sale(s), if applicable.</w:t>
      </w:r>
    </w:p>
    <w:p>
      <w:pPr>
        <w:spacing w:after="0" w:line="5"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February 22, 2018, all remaining shares of Chegg, Inc. held by us had been sold.</w:t>
      </w:r>
    </w:p>
    <w:p>
      <w:pPr>
        <w:spacing w:after="0" w:line="5"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repayment of the 12% Unsecured Promissory Note Due 1/15/2018.</w:t>
      </w:r>
    </w:p>
    <w:p>
      <w:pPr>
        <w:spacing w:after="0" w:line="5"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Realized gain/(loss) exclude any realized gain/(loss) incurred on the maturity of our U.S. Treasury investments.</w:t>
      </w:r>
    </w:p>
    <w:p>
      <w:pPr>
        <w:spacing w:after="0" w:line="5" w:lineRule="exact"/>
        <w:rPr>
          <w:rFonts w:ascii="Times New Roman" w:cs="Times New Roman" w:eastAsia="Times New Roman" w:hAnsi="Times New Roman"/>
          <w:sz w:val="16"/>
          <w:szCs w:val="16"/>
          <w:color w:val="auto"/>
        </w:rPr>
      </w:pPr>
    </w:p>
    <w:p>
      <w:pPr>
        <w:jc w:val="both"/>
        <w:ind w:left="500" w:hanging="492"/>
        <w:spacing w:after="0" w:line="252" w:lineRule="auto"/>
        <w:tabs>
          <w:tab w:leader="none" w:pos="5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April 16, 2018, Adecco Group, a Swiss staffing company, announced that it was acquiring technology education provider General Assembly Space, Inc. for $412.5 million, including debt financing. We received approximately $7.8 million in net proceeds as a result of the transaction, with approximately $1.5 million of additional proceeds currently being held in escrow. We expect to receive the escrow in 2019.</w:t>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During the six months ended June 30, 2018, we did not write-off any investments.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118" w:right="239" w:bottom="1440" w:gutter="0" w:footer="0" w:header="0"/>
        </w:sectPr>
      </w:pPr>
    </w:p>
    <w:bookmarkStart w:id="61" w:name="page62"/>
    <w:bookmarkEnd w:id="61"/>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Results of Operations - </w:t>
      </w:r>
      <w:r>
        <w:rPr>
          <w:rFonts w:ascii="Times New Roman" w:cs="Times New Roman" w:eastAsia="Times New Roman" w:hAnsi="Times New Roman"/>
          <w:sz w:val="18"/>
          <w:szCs w:val="18"/>
          <w:b w:val="1"/>
          <w:bCs w:val="1"/>
          <w:i w:val="1"/>
          <w:iCs w:val="1"/>
          <w:color w:val="auto"/>
        </w:rPr>
        <w:t>Comparison of the three and six months ended June 30, 2019 and 2018</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Operating results for the three and six months ended June 30, 2019 and 2018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260" w:type="dxa"/>
            <w:vAlign w:val="bottom"/>
          </w:tcPr>
          <w:p>
            <w:pPr>
              <w:spacing w:after="0"/>
              <w:rPr>
                <w:sz w:val="18"/>
                <w:szCs w:val="18"/>
                <w:color w:val="auto"/>
              </w:rPr>
            </w:pPr>
          </w:p>
        </w:tc>
        <w:tc>
          <w:tcPr>
            <w:tcW w:w="3000" w:type="dxa"/>
            <w:vAlign w:val="bottom"/>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r>
      <w:tr>
        <w:trPr>
          <w:trHeight w:val="33"/>
        </w:trPr>
        <w:tc>
          <w:tcPr>
            <w:tcW w:w="4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4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Investment Income</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487,952</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592,073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715,202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841,408</w:t>
            </w:r>
          </w:p>
        </w:tc>
      </w:tr>
      <w:tr>
        <w:trPr>
          <w:trHeight w:val="237"/>
        </w:trPr>
        <w:tc>
          <w:tcPr>
            <w:tcW w:w="4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income</w:t>
            </w:r>
          </w:p>
        </w:tc>
        <w:tc>
          <w:tcPr>
            <w:tcW w:w="30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287,952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242,073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515,202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491,408</w:t>
            </w:r>
          </w:p>
        </w:tc>
      </w:tr>
      <w:tr>
        <w:trPr>
          <w:trHeight w:val="33"/>
        </w:trPr>
        <w:tc>
          <w:tcPr>
            <w:tcW w:w="4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Dividend income</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200,000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350,000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200,000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350,000</w:t>
            </w:r>
          </w:p>
        </w:tc>
      </w:tr>
      <w:tr>
        <w:trPr>
          <w:trHeight w:val="237"/>
        </w:trPr>
        <w:tc>
          <w:tcPr>
            <w:tcW w:w="4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income</w:t>
            </w:r>
          </w:p>
        </w:tc>
        <w:tc>
          <w:tcPr>
            <w:tcW w:w="300" w:type="dxa"/>
            <w:vAlign w:val="bottom"/>
          </w:tcPr>
          <w:p>
            <w:pPr>
              <w:spacing w:after="0"/>
              <w:rPr>
                <w:sz w:val="20"/>
                <w:szCs w:val="20"/>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Gross Operating Expenses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3,293,183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6,344,272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2,900,731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11,741,078</w:t>
            </w:r>
          </w:p>
        </w:tc>
      </w:tr>
      <w:tr>
        <w:trPr>
          <w:trHeight w:val="237"/>
        </w:trPr>
        <w:tc>
          <w:tcPr>
            <w:tcW w:w="4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Incentive fee waiver</w:t>
            </w:r>
          </w:p>
        </w:tc>
        <w:tc>
          <w:tcPr>
            <w:tcW w:w="300" w:type="dxa"/>
            <w:vAlign w:val="bottom"/>
          </w:tcPr>
          <w:p>
            <w:pPr>
              <w:spacing w:after="0"/>
              <w:rPr>
                <w:sz w:val="20"/>
                <w:szCs w:val="20"/>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(5,000,000)</w:t>
            </w:r>
          </w:p>
        </w:tc>
      </w:tr>
      <w:tr>
        <w:trPr>
          <w:trHeight w:val="33"/>
        </w:trPr>
        <w:tc>
          <w:tcPr>
            <w:tcW w:w="4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Management fee waiver</w:t>
            </w:r>
          </w:p>
        </w:tc>
        <w:tc>
          <w:tcPr>
            <w:tcW w:w="3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(335,403)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(490,347)</w:t>
            </w:r>
          </w:p>
        </w:tc>
      </w:tr>
      <w:tr>
        <w:trPr>
          <w:trHeight w:val="237"/>
        </w:trPr>
        <w:tc>
          <w:tcPr>
            <w:tcW w:w="44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Net Operating Expenses</w:t>
            </w: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w:t>
            </w: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3,293,183</w:t>
            </w:r>
          </w:p>
        </w:tc>
        <w:tc>
          <w:tcPr>
            <w:tcW w:w="12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6,008,869</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2,900,731</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6,250,731</w:t>
            </w:r>
          </w:p>
        </w:tc>
      </w:tr>
      <w:tr>
        <w:trPr>
          <w:trHeight w:val="33"/>
        </w:trPr>
        <w:tc>
          <w:tcPr>
            <w:tcW w:w="4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Management fees</w:t>
            </w:r>
          </w:p>
        </w:tc>
        <w:tc>
          <w:tcPr>
            <w:tcW w:w="3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1,286,066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848,723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2,609,642</w:t>
            </w:r>
          </w:p>
        </w:tc>
      </w:tr>
      <w:tr>
        <w:trPr>
          <w:trHeight w:val="237"/>
        </w:trPr>
        <w:tc>
          <w:tcPr>
            <w:tcW w:w="4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Incentive fees/(Reversal of Incentive fee accrual)</w:t>
            </w:r>
          </w:p>
        </w:tc>
        <w:tc>
          <w:tcPr>
            <w:tcW w:w="300" w:type="dxa"/>
            <w:vAlign w:val="bottom"/>
          </w:tcPr>
          <w:p>
            <w:pPr>
              <w:spacing w:after="0"/>
              <w:rPr>
                <w:sz w:val="20"/>
                <w:szCs w:val="20"/>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2,588,085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(4,660,472)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4,059,419</w:t>
            </w:r>
          </w:p>
        </w:tc>
      </w:tr>
      <w:tr>
        <w:trPr>
          <w:trHeight w:val="33"/>
        </w:trPr>
        <w:tc>
          <w:tcPr>
            <w:tcW w:w="4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Costs incurred under Administration Agreement</w:t>
            </w:r>
          </w:p>
        </w:tc>
        <w:tc>
          <w:tcPr>
            <w:tcW w:w="3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397,113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306,084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821,258</w:t>
            </w:r>
          </w:p>
        </w:tc>
      </w:tr>
      <w:tr>
        <w:trPr>
          <w:trHeight w:val="237"/>
        </w:trPr>
        <w:tc>
          <w:tcPr>
            <w:tcW w:w="4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Directors’ fees</w:t>
            </w:r>
          </w:p>
        </w:tc>
        <w:tc>
          <w:tcPr>
            <w:tcW w:w="30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86,250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86,250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172,500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172,500</w:t>
            </w:r>
          </w:p>
        </w:tc>
      </w:tr>
      <w:tr>
        <w:trPr>
          <w:trHeight w:val="33"/>
        </w:trPr>
        <w:tc>
          <w:tcPr>
            <w:tcW w:w="4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Professional fees</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1,310,028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326,798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3,371,950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666,696</w:t>
            </w:r>
          </w:p>
        </w:tc>
      </w:tr>
      <w:tr>
        <w:trPr>
          <w:trHeight w:val="237"/>
        </w:trPr>
        <w:tc>
          <w:tcPr>
            <w:tcW w:w="4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Compensation expense</w:t>
            </w:r>
          </w:p>
        </w:tc>
        <w:tc>
          <w:tcPr>
            <w:tcW w:w="30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469,944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632,108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600,205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1,473,695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1,204,373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2,613,758</w:t>
            </w:r>
          </w:p>
        </w:tc>
      </w:tr>
      <w:tr>
        <w:trPr>
          <w:trHeight w:val="237"/>
        </w:trPr>
        <w:tc>
          <w:tcPr>
            <w:tcW w:w="4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tax expense</w:t>
            </w:r>
          </w:p>
        </w:tc>
        <w:tc>
          <w:tcPr>
            <w:tcW w:w="30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29,949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26,229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33,712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148,499</w:t>
            </w:r>
          </w:p>
        </w:tc>
      </w:tr>
      <w:tr>
        <w:trPr>
          <w:trHeight w:val="33"/>
        </w:trPr>
        <w:tc>
          <w:tcPr>
            <w:tcW w:w="4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expenses</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796,807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160,036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991,753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649,306</w:t>
            </w:r>
          </w:p>
        </w:tc>
      </w:tr>
      <w:tr>
        <w:trPr>
          <w:trHeight w:val="237"/>
        </w:trPr>
        <w:tc>
          <w:tcPr>
            <w:tcW w:w="44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Net Investment Income/(Loss)</w:t>
            </w: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(2,805,231)</w:t>
            </w:r>
          </w:p>
        </w:tc>
        <w:tc>
          <w:tcPr>
            <w:tcW w:w="12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(5,416,796)</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(2,185,529)</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(5,409,323)</w:t>
            </w:r>
          </w:p>
        </w:tc>
      </w:tr>
      <w:tr>
        <w:trPr>
          <w:trHeight w:val="33"/>
        </w:trPr>
        <w:tc>
          <w:tcPr>
            <w:tcW w:w="4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realized gain/(loss) on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13,590,233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3,363,333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9,524,540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2,586,608</w:t>
            </w:r>
          </w:p>
        </w:tc>
      </w:tr>
      <w:tr>
        <w:trPr>
          <w:trHeight w:val="216"/>
        </w:trPr>
        <w:tc>
          <w:tcPr>
            <w:tcW w:w="4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Realized loss on partial repurchase of 5.25% Convertible Senior</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0"/>
        </w:trPr>
        <w:tc>
          <w:tcPr>
            <w:tcW w:w="44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Notes due 2018</w:t>
            </w:r>
          </w:p>
        </w:tc>
        <w:tc>
          <w:tcPr>
            <w:tcW w:w="30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(397,846)</w:t>
            </w:r>
          </w:p>
        </w:tc>
      </w:tr>
      <w:tr>
        <w:trPr>
          <w:trHeight w:val="33"/>
        </w:trPr>
        <w:tc>
          <w:tcPr>
            <w:tcW w:w="4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6"/>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change in unrealized appreciation/(depreciation) of</w:t>
            </w: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3"/>
        </w:trPr>
        <w:tc>
          <w:tcPr>
            <w:tcW w:w="44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investments</w:t>
            </w:r>
          </w:p>
        </w:tc>
        <w:tc>
          <w:tcPr>
            <w:tcW w:w="3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(12,440,320)</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9,872,595</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8,259,431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18,005,989</w:t>
            </w:r>
          </w:p>
        </w:tc>
      </w:tr>
      <w:tr>
        <w:trPr>
          <w:trHeight w:val="237"/>
        </w:trPr>
        <w:tc>
          <w:tcPr>
            <w:tcW w:w="4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Benefit from taxes on unrealized depreciation of investments</w:t>
            </w: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979,713</w:t>
            </w:r>
          </w:p>
        </w:tc>
        <w:tc>
          <w:tcPr>
            <w:tcW w:w="12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1,010,871</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885,566</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1,010,871</w:t>
            </w:r>
          </w:p>
        </w:tc>
      </w:tr>
      <w:tr>
        <w:trPr>
          <w:trHeight w:val="33"/>
        </w:trPr>
        <w:tc>
          <w:tcPr>
            <w:tcW w:w="4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4"/>
        </w:trPr>
        <w:tc>
          <w:tcPr>
            <w:tcW w:w="4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Increase/(Decrease) in Net Assets Resulting from</w:t>
            </w: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2"/>
        </w:trPr>
        <w:tc>
          <w:tcPr>
            <w:tcW w:w="4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Operations</w:t>
            </w:r>
          </w:p>
        </w:tc>
        <w:tc>
          <w:tcPr>
            <w:tcW w:w="3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(675,605)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8,830,003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16,484,008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15,796,299</w:t>
            </w:r>
          </w:p>
        </w:tc>
      </w:tr>
      <w:tr>
        <w:trPr>
          <w:trHeight w:val="33"/>
        </w:trPr>
        <w:tc>
          <w:tcPr>
            <w:tcW w:w="4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-4304665</wp:posOffset>
            </wp:positionV>
            <wp:extent cx="283019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w:t>
      </w:r>
    </w:p>
    <w:p>
      <w:pPr>
        <w:spacing w:after="0" w:line="229"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Investment income decreased to $487,952 for the three months ended June 30, 2019 from $592,073 for the three months ended June 30, 2018. The decrease was primarily due to decreased dividend income which was partially offset by increased interest income. The increase in interest income resulted from a higher cash balance deposited in the money market bank accounts to earn interest income during the three months ended June 30, 2019, relative to the three months ended June 30, 2018.</w:t>
      </w:r>
    </w:p>
    <w:p>
      <w:pPr>
        <w:spacing w:after="0" w:line="180"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Investment income decreased to $715,202 for the six months ended June 30, 2019 from $841,408 for the six months ended June 30, 2018. The decrease was primarily due to decreased dividend income which was partially offset by increased interest income. The increase in interest income resulted from a higher cash balance deposited in the money market bank accounts to earn interest income during the six months ended June 30, 2019, relative to the six months ended June 30, 2018.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351"/>
        <w:spacing w:after="0" w:line="256" w:lineRule="auto"/>
        <w:rPr>
          <w:sz w:val="20"/>
          <w:szCs w:val="20"/>
          <w:color w:val="auto"/>
        </w:rPr>
      </w:pPr>
      <w:r>
        <w:rPr>
          <w:rFonts w:ascii="Times New Roman" w:cs="Times New Roman" w:eastAsia="Times New Roman" w:hAnsi="Times New Roman"/>
          <w:sz w:val="18"/>
          <w:szCs w:val="18"/>
          <w:color w:val="auto"/>
        </w:rPr>
        <w:t>Total operating expenses, net of waiver of management and incentive fees, decreased to $3,293,183 for the three months ended June 30, 2019, from $6,008,869 for the three months ended June 30, 2018. The decrease was primarily due to no management fees, incentive fees, and costs under the administration agreement incurred in the three months ended June 30, 2019, as a result of our Internalization, as compared to the three months ended June 30, 2018. Our interest and credit facility expense for the three months ended June 30, 2019 declined as a result of the extinguishment of the Convertible Senior Notes due September 15, 2018 in the third quarter of 2018. These decreases were partially offset by an increase in legal fees incurred in relation to our Internalization.</w:t>
      </w:r>
    </w:p>
    <w:p>
      <w:pPr>
        <w:sectPr>
          <w:pgSz w:w="11900" w:h="16838" w:orient="portrait"/>
          <w:cols w:equalWidth="0" w:num="1">
            <w:col w:w="11420"/>
          </w:cols>
          <w:pgMar w:left="240" w:top="118"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118" w:right="239" w:bottom="1440" w:gutter="0" w:footer="0" w:header="0"/>
          <w:type w:val="continuous"/>
        </w:sectPr>
      </w:pPr>
    </w:p>
    <w:bookmarkStart w:id="62" w:name="page63"/>
    <w:bookmarkEnd w:id="62"/>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351"/>
        <w:spacing w:after="0" w:line="256" w:lineRule="auto"/>
        <w:rPr>
          <w:sz w:val="20"/>
          <w:szCs w:val="20"/>
          <w:color w:val="auto"/>
        </w:rPr>
      </w:pPr>
      <w:r>
        <w:rPr>
          <w:rFonts w:ascii="Times New Roman" w:cs="Times New Roman" w:eastAsia="Times New Roman" w:hAnsi="Times New Roman"/>
          <w:sz w:val="18"/>
          <w:szCs w:val="18"/>
          <w:color w:val="auto"/>
        </w:rPr>
        <w:t>Total operating expenses, net of waiver of management and incentive fees, decreased to $2,900,731 for the six months ended June 30, 2019, from $6,250,731 for the six months ended June 30, 2018. The decrease was primarily due to the reversal of approximately $4,660,472 of previously accrued incentive fees for the six months ended June 30, 2019 in relation to our Internalization and the term of the Investment Advisory Agreement, as compared to the six months ended June 30, 2018. Our interest and credit facility expense for the six months ended June 30, 2019 declined as a result of the extinguishment of the Convertible Senior Notes due September 15, 2018 in the third quarter of 2018. These decreases were partially offset by an increase in legal fees incurred in relation to our Internalization.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Loss</w:t>
      </w:r>
    </w:p>
    <w:p>
      <w:pPr>
        <w:spacing w:after="0" w:line="229"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2019, we recognized net investment loss of $2,805,231, compared to net investment loss of $5,416,796 for the three months ended June 30, 2018. The increase in net investment income resulted primarily from no management fees, incentive fees, and costs under the administration agreement during the three months ended June 30, 2019, and to a lesser extent lower interest expense partially offset by the increase in professional fees related to our Internalization, as discussed above.</w:t>
      </w:r>
    </w:p>
    <w:p>
      <w:pPr>
        <w:spacing w:after="0" w:line="180"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2019, we recognized net investment loss of $2,185,529, compared to net investment loss of $5,409,323 for the six months ended June 30, 2018. The increase in net investment income resulted primarily from the reversal of incentive fees during the six months ended June 30, 2019, and to a lesser extent lower management fees and interest expense partially offset by the increase in professional fees related to our Internalization, as discussed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Realized Gain on Investments</w:t>
      </w:r>
    </w:p>
    <w:p>
      <w:pPr>
        <w:spacing w:after="0" w:line="229"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2019, we recognized net realized gain on our investments of $13,590,233, compared to net realized gain of $3,363,333 for the three months ended June 30, 2018. The components of our net realized losses on portfolio investments for the three months ended June 30, 2019 and 2018, excluding U.S. Treasury investments, are reflected in the tables above, under “—Portfolio and Investment Activity.”</w:t>
      </w:r>
    </w:p>
    <w:p>
      <w:pPr>
        <w:spacing w:after="0" w:line="176"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2019, we recognized net realized gain on our investments of $9,524,540, compared to net realized gain of $2,586,608 for the six months ended June 30, 2018. The components of our net realized gain on portfolio investments for the six months ended June 30, 2019 and 2018, excluding U.S. Treasury investments, are reflected in the tables above, under “—Portfolio and Investment Activity.”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118" w:right="239" w:bottom="1440" w:gutter="0" w:footer="0" w:header="0"/>
        </w:sectPr>
      </w:pPr>
    </w:p>
    <w:bookmarkStart w:id="63" w:name="page64"/>
    <w:bookmarkEnd w:id="63"/>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Change in Unrealized Appreciation/(Depreciation) of Investments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2019, we had a net change in unrealized depreciation of $12,440,320. For the three months ended June 30, 2018, we had a net change in unrealized appreciation of $9,872,595. The following tables summarize, by portfolio company, the significant changes in unrealized appreciation and/or depreciation of our investment portfolio for the three months ended June 30, 2019 and 2018.</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Net Change in Unrealized</w:t>
            </w:r>
          </w:p>
        </w:tc>
        <w:tc>
          <w:tcPr>
            <w:tcW w:w="1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Net Change in Unrealized</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Appreciation/(Depreciation)</w:t>
            </w:r>
          </w:p>
        </w:tc>
        <w:tc>
          <w:tcPr>
            <w:tcW w:w="1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Appreciation/(Depreciation)</w:t>
            </w:r>
          </w:p>
        </w:tc>
        <w:tc>
          <w:tcPr>
            <w:tcW w:w="0" w:type="dxa"/>
            <w:vAlign w:val="bottom"/>
          </w:tcPr>
          <w:p>
            <w:pPr>
              <w:spacing w:after="0"/>
              <w:rPr>
                <w:sz w:val="1"/>
                <w:szCs w:val="1"/>
                <w:color w:val="auto"/>
              </w:rPr>
            </w:pPr>
          </w:p>
        </w:tc>
      </w:tr>
      <w:tr>
        <w:trPr>
          <w:trHeight w:val="149"/>
        </w:trPr>
        <w:tc>
          <w:tcPr>
            <w:tcW w:w="37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20" w:type="dxa"/>
            <w:vAlign w:val="bottom"/>
            <w:vMerge w:val="restart"/>
          </w:tcPr>
          <w:p>
            <w:pPr>
              <w:spacing w:after="0"/>
              <w:rPr>
                <w:sz w:val="12"/>
                <w:szCs w:val="12"/>
                <w:color w:val="auto"/>
              </w:rPr>
            </w:pPr>
          </w:p>
        </w:tc>
        <w:tc>
          <w:tcPr>
            <w:tcW w:w="1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20" w:type="dxa"/>
            <w:vAlign w:val="bottom"/>
          </w:tcPr>
          <w:p>
            <w:pPr>
              <w:spacing w:after="0"/>
              <w:rPr>
                <w:sz w:val="12"/>
                <w:szCs w:val="12"/>
                <w:color w:val="auto"/>
              </w:rPr>
            </w:pPr>
          </w:p>
        </w:tc>
        <w:tc>
          <w:tcPr>
            <w:tcW w:w="3520" w:type="dxa"/>
            <w:vAlign w:val="bottom"/>
            <w:vMerge w:val="restart"/>
          </w:tcPr>
          <w:p>
            <w:pPr>
              <w:ind w:left="118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For the Three Months</w:t>
            </w:r>
          </w:p>
        </w:tc>
        <w:tc>
          <w:tcPr>
            <w:tcW w:w="0" w:type="dxa"/>
            <w:vAlign w:val="bottom"/>
          </w:tcPr>
          <w:p>
            <w:pPr>
              <w:spacing w:after="0"/>
              <w:rPr>
                <w:sz w:val="1"/>
                <w:szCs w:val="1"/>
                <w:color w:val="auto"/>
              </w:rPr>
            </w:pPr>
          </w:p>
        </w:tc>
      </w:tr>
      <w:tr>
        <w:trPr>
          <w:trHeight w:val="195"/>
        </w:trPr>
        <w:tc>
          <w:tcPr>
            <w:tcW w:w="3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20" w:type="dxa"/>
            <w:vAlign w:val="bottom"/>
            <w:tcBorders>
              <w:bottom w:val="single" w:sz="8" w:color="CCEEFF"/>
            </w:tcBorders>
          </w:tcPr>
          <w:p>
            <w:pPr>
              <w:spacing w:after="0"/>
              <w:rPr>
                <w:sz w:val="16"/>
                <w:szCs w:val="16"/>
                <w:color w:val="auto"/>
              </w:rPr>
            </w:pPr>
          </w:p>
        </w:tc>
        <w:tc>
          <w:tcPr>
            <w:tcW w:w="3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Ended June 30, 2018</w:t>
            </w:r>
          </w:p>
        </w:tc>
        <w:tc>
          <w:tcPr>
            <w:tcW w:w="0" w:type="dxa"/>
            <w:vAlign w:val="bottom"/>
          </w:tcPr>
          <w:p>
            <w:pPr>
              <w:spacing w:after="0"/>
              <w:rPr>
                <w:sz w:val="1"/>
                <w:szCs w:val="1"/>
                <w:color w:val="auto"/>
              </w:rPr>
            </w:pPr>
          </w:p>
        </w:tc>
      </w:tr>
      <w:tr>
        <w:trPr>
          <w:trHeight w:val="255"/>
        </w:trPr>
        <w:tc>
          <w:tcPr>
            <w:tcW w:w="3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Knewton, Inc.</w:t>
            </w:r>
            <w:r>
              <w:rPr>
                <w:rFonts w:ascii="Times New Roman" w:cs="Times New Roman" w:eastAsia="Times New Roman" w:hAnsi="Times New Roman"/>
                <w:sz w:val="21"/>
                <w:szCs w:val="21"/>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5,101,610</w:t>
            </w:r>
          </w:p>
        </w:tc>
        <w:tc>
          <w:tcPr>
            <w:tcW w:w="120" w:type="dxa"/>
            <w:vAlign w:val="bottom"/>
            <w:shd w:val="clear" w:color="auto" w:fill="CCEEFF"/>
          </w:tcPr>
          <w:p>
            <w:pPr>
              <w:spacing w:after="0"/>
              <w:rPr>
                <w:sz w:val="22"/>
                <w:szCs w:val="22"/>
                <w:color w:val="auto"/>
              </w:rPr>
            </w:pPr>
          </w:p>
        </w:tc>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Spotify Technology S.A.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8,529,446</w:t>
            </w:r>
          </w:p>
        </w:tc>
        <w:tc>
          <w:tcPr>
            <w:tcW w:w="0" w:type="dxa"/>
            <w:vAlign w:val="bottom"/>
          </w:tcPr>
          <w:p>
            <w:pPr>
              <w:spacing w:after="0"/>
              <w:rPr>
                <w:sz w:val="1"/>
                <w:szCs w:val="1"/>
                <w:color w:val="auto"/>
              </w:rPr>
            </w:pPr>
          </w:p>
        </w:tc>
      </w:tr>
      <w:tr>
        <w:trPr>
          <w:trHeight w:val="237"/>
        </w:trPr>
        <w:tc>
          <w:tcPr>
            <w:tcW w:w="39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Aspiration Partners, Inc.</w:t>
            </w:r>
          </w:p>
        </w:tc>
        <w:tc>
          <w:tcPr>
            <w:tcW w:w="100" w:type="dxa"/>
            <w:vAlign w:val="bottom"/>
          </w:tcPr>
          <w:p>
            <w:pPr>
              <w:spacing w:after="0"/>
              <w:rPr>
                <w:sz w:val="20"/>
                <w:szCs w:val="20"/>
                <w:color w:val="auto"/>
              </w:rPr>
            </w:pPr>
          </w:p>
        </w:tc>
        <w:tc>
          <w:tcPr>
            <w:tcW w:w="18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4,330,592</w:t>
            </w:r>
          </w:p>
        </w:tc>
        <w:tc>
          <w:tcPr>
            <w:tcW w:w="120" w:type="dxa"/>
            <w:vAlign w:val="bottom"/>
          </w:tcPr>
          <w:p>
            <w:pPr>
              <w:spacing w:after="0"/>
              <w:rPr>
                <w:sz w:val="20"/>
                <w:szCs w:val="20"/>
                <w:color w:val="auto"/>
              </w:rPr>
            </w:pPr>
          </w:p>
        </w:tc>
        <w:tc>
          <w:tcPr>
            <w:tcW w:w="3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DreamBox Learning, Inc.</w:t>
            </w:r>
          </w:p>
        </w:tc>
        <w:tc>
          <w:tcPr>
            <w:tcW w:w="100" w:type="dxa"/>
            <w:vAlign w:val="bottom"/>
          </w:tcPr>
          <w:p>
            <w:pPr>
              <w:spacing w:after="0"/>
              <w:rPr>
                <w:sz w:val="20"/>
                <w:szCs w:val="20"/>
                <w:color w:val="auto"/>
              </w:rPr>
            </w:pPr>
          </w:p>
        </w:tc>
        <w:tc>
          <w:tcPr>
            <w:tcW w:w="17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3,419,118</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Parchment, Inc.</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2,079,822</w:t>
            </w:r>
          </w:p>
        </w:tc>
        <w:tc>
          <w:tcPr>
            <w:tcW w:w="1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StormWind, LLC</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1,810,773</w:t>
            </w:r>
          </w:p>
        </w:tc>
        <w:tc>
          <w:tcPr>
            <w:tcW w:w="0" w:type="dxa"/>
            <w:vAlign w:val="bottom"/>
          </w:tcPr>
          <w:p>
            <w:pPr>
              <w:spacing w:after="0"/>
              <w:rPr>
                <w:sz w:val="1"/>
                <w:szCs w:val="1"/>
                <w:color w:val="auto"/>
              </w:rPr>
            </w:pPr>
          </w:p>
        </w:tc>
      </w:tr>
      <w:tr>
        <w:trPr>
          <w:trHeight w:val="237"/>
        </w:trPr>
        <w:tc>
          <w:tcPr>
            <w:tcW w:w="39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Coursera, Inc.</w:t>
            </w:r>
          </w:p>
        </w:tc>
        <w:tc>
          <w:tcPr>
            <w:tcW w:w="100" w:type="dxa"/>
            <w:vAlign w:val="bottom"/>
          </w:tcPr>
          <w:p>
            <w:pPr>
              <w:spacing w:after="0"/>
              <w:rPr>
                <w:sz w:val="20"/>
                <w:szCs w:val="20"/>
                <w:color w:val="auto"/>
              </w:rPr>
            </w:pPr>
          </w:p>
        </w:tc>
        <w:tc>
          <w:tcPr>
            <w:tcW w:w="18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1,948,734</w:t>
            </w:r>
          </w:p>
        </w:tc>
        <w:tc>
          <w:tcPr>
            <w:tcW w:w="120" w:type="dxa"/>
            <w:vAlign w:val="bottom"/>
          </w:tcPr>
          <w:p>
            <w:pPr>
              <w:spacing w:after="0"/>
              <w:rPr>
                <w:sz w:val="20"/>
                <w:szCs w:val="20"/>
                <w:color w:val="auto"/>
              </w:rPr>
            </w:pPr>
          </w:p>
        </w:tc>
        <w:tc>
          <w:tcPr>
            <w:tcW w:w="3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 Place for Rover Inc. (f/k/a DogVacay, Inc.)</w:t>
            </w:r>
          </w:p>
        </w:tc>
        <w:tc>
          <w:tcPr>
            <w:tcW w:w="100" w:type="dxa"/>
            <w:vAlign w:val="bottom"/>
          </w:tcPr>
          <w:p>
            <w:pPr>
              <w:spacing w:after="0"/>
              <w:rPr>
                <w:sz w:val="20"/>
                <w:szCs w:val="20"/>
                <w:color w:val="auto"/>
              </w:rPr>
            </w:pPr>
          </w:p>
        </w:tc>
        <w:tc>
          <w:tcPr>
            <w:tcW w:w="17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1,523,225</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Nextdoor.com, Inc.</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1,348,648</w:t>
            </w:r>
          </w:p>
        </w:tc>
        <w:tc>
          <w:tcPr>
            <w:tcW w:w="1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Dropbox, Inc.</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1,468,215</w:t>
            </w:r>
          </w:p>
        </w:tc>
        <w:tc>
          <w:tcPr>
            <w:tcW w:w="0" w:type="dxa"/>
            <w:vAlign w:val="bottom"/>
          </w:tcPr>
          <w:p>
            <w:pPr>
              <w:spacing w:after="0"/>
              <w:rPr>
                <w:sz w:val="1"/>
                <w:szCs w:val="1"/>
                <w:color w:val="auto"/>
              </w:rPr>
            </w:pPr>
          </w:p>
        </w:tc>
      </w:tr>
      <w:tr>
        <w:trPr>
          <w:trHeight w:val="237"/>
        </w:trPr>
        <w:tc>
          <w:tcPr>
            <w:tcW w:w="39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Course Hero, Inc.</w:t>
            </w:r>
          </w:p>
        </w:tc>
        <w:tc>
          <w:tcPr>
            <w:tcW w:w="100" w:type="dxa"/>
            <w:vAlign w:val="bottom"/>
          </w:tcPr>
          <w:p>
            <w:pPr>
              <w:spacing w:after="0"/>
              <w:rPr>
                <w:sz w:val="20"/>
                <w:szCs w:val="20"/>
                <w:color w:val="auto"/>
              </w:rPr>
            </w:pPr>
          </w:p>
        </w:tc>
        <w:tc>
          <w:tcPr>
            <w:tcW w:w="1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(1,802,608)</w:t>
            </w:r>
          </w:p>
        </w:tc>
        <w:tc>
          <w:tcPr>
            <w:tcW w:w="120" w:type="dxa"/>
            <w:vAlign w:val="bottom"/>
          </w:tcPr>
          <w:p>
            <w:pPr>
              <w:spacing w:after="0"/>
              <w:rPr>
                <w:sz w:val="20"/>
                <w:szCs w:val="20"/>
                <w:color w:val="auto"/>
              </w:rPr>
            </w:pPr>
          </w:p>
        </w:tc>
        <w:tc>
          <w:tcPr>
            <w:tcW w:w="3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Lyft, Inc.</w:t>
            </w:r>
          </w:p>
        </w:tc>
        <w:tc>
          <w:tcPr>
            <w:tcW w:w="100" w:type="dxa"/>
            <w:vAlign w:val="bottom"/>
          </w:tcPr>
          <w:p>
            <w:pPr>
              <w:spacing w:after="0"/>
              <w:rPr>
                <w:sz w:val="20"/>
                <w:szCs w:val="20"/>
                <w:color w:val="auto"/>
              </w:rPr>
            </w:pPr>
          </w:p>
        </w:tc>
        <w:tc>
          <w:tcPr>
            <w:tcW w:w="17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1,266,018</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Dropbox, Inc.</w:t>
            </w:r>
            <w:r>
              <w:rPr>
                <w:rFonts w:ascii="Times New Roman" w:cs="Times New Roman" w:eastAsia="Times New Roman" w:hAnsi="Times New Roman"/>
                <w:sz w:val="21"/>
                <w:szCs w:val="21"/>
                <w:color w:val="auto"/>
                <w:vertAlign w:val="superscript"/>
              </w:rPr>
              <w:t>(1)</w:t>
            </w:r>
          </w:p>
        </w:tc>
        <w:tc>
          <w:tcPr>
            <w:tcW w:w="10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(1,920,235)</w:t>
            </w:r>
          </w:p>
        </w:tc>
        <w:tc>
          <w:tcPr>
            <w:tcW w:w="120" w:type="dxa"/>
            <w:vAlign w:val="bottom"/>
            <w:shd w:val="clear" w:color="auto" w:fill="CCEEFF"/>
          </w:tcPr>
          <w:p>
            <w:pPr>
              <w:spacing w:after="0"/>
              <w:rPr>
                <w:sz w:val="23"/>
                <w:szCs w:val="23"/>
                <w:color w:val="auto"/>
              </w:rPr>
            </w:pPr>
          </w:p>
        </w:tc>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Aspiration Partners, Inc.</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(1,087,750)</w:t>
            </w:r>
          </w:p>
        </w:tc>
        <w:tc>
          <w:tcPr>
            <w:tcW w:w="0" w:type="dxa"/>
            <w:vAlign w:val="bottom"/>
          </w:tcPr>
          <w:p>
            <w:pPr>
              <w:spacing w:after="0"/>
              <w:rPr>
                <w:sz w:val="1"/>
                <w:szCs w:val="1"/>
                <w:color w:val="auto"/>
              </w:rPr>
            </w:pPr>
          </w:p>
        </w:tc>
      </w:tr>
      <w:tr>
        <w:trPr>
          <w:trHeight w:val="237"/>
        </w:trPr>
        <w:tc>
          <w:tcPr>
            <w:tcW w:w="39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Lyft, Inc.</w:t>
            </w:r>
          </w:p>
        </w:tc>
        <w:tc>
          <w:tcPr>
            <w:tcW w:w="100" w:type="dxa"/>
            <w:vAlign w:val="bottom"/>
          </w:tcPr>
          <w:p>
            <w:pPr>
              <w:spacing w:after="0"/>
              <w:rPr>
                <w:sz w:val="20"/>
                <w:szCs w:val="20"/>
                <w:color w:val="auto"/>
              </w:rPr>
            </w:pPr>
          </w:p>
        </w:tc>
        <w:tc>
          <w:tcPr>
            <w:tcW w:w="1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(3,046,918)</w:t>
            </w:r>
          </w:p>
        </w:tc>
        <w:tc>
          <w:tcPr>
            <w:tcW w:w="120" w:type="dxa"/>
            <w:vAlign w:val="bottom"/>
          </w:tcPr>
          <w:p>
            <w:pPr>
              <w:spacing w:after="0"/>
              <w:rPr>
                <w:sz w:val="20"/>
                <w:szCs w:val="20"/>
                <w:color w:val="auto"/>
              </w:rPr>
            </w:pPr>
          </w:p>
        </w:tc>
        <w:tc>
          <w:tcPr>
            <w:tcW w:w="3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NestGSV, Inc. (d.b.a. GSV Labs, Inc.)</w:t>
            </w:r>
          </w:p>
        </w:tc>
        <w:tc>
          <w:tcPr>
            <w:tcW w:w="1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(1,132,333)</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StormWind, LLC</w:t>
            </w:r>
          </w:p>
        </w:tc>
        <w:tc>
          <w:tcPr>
            <w:tcW w:w="10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(5,013,143)</w:t>
            </w:r>
          </w:p>
        </w:tc>
        <w:tc>
          <w:tcPr>
            <w:tcW w:w="120" w:type="dxa"/>
            <w:vAlign w:val="bottom"/>
            <w:shd w:val="clear" w:color="auto" w:fill="CCEEFF"/>
          </w:tcPr>
          <w:p>
            <w:pPr>
              <w:spacing w:after="0"/>
              <w:rPr>
                <w:sz w:val="23"/>
                <w:szCs w:val="23"/>
                <w:color w:val="auto"/>
              </w:rPr>
            </w:pPr>
          </w:p>
        </w:tc>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Assembly Space, Inc.</w:t>
            </w:r>
            <w:r>
              <w:rPr>
                <w:rFonts w:ascii="Times New Roman" w:cs="Times New Roman" w:eastAsia="Times New Roman" w:hAnsi="Times New Roman"/>
                <w:sz w:val="21"/>
                <w:szCs w:val="21"/>
                <w:color w:val="auto"/>
                <w:vertAlign w:val="superscript"/>
              </w:rPr>
              <w:t>(1)</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(3,587,965)</w:t>
            </w:r>
          </w:p>
        </w:tc>
        <w:tc>
          <w:tcPr>
            <w:tcW w:w="0" w:type="dxa"/>
            <w:vAlign w:val="bottom"/>
          </w:tcPr>
          <w:p>
            <w:pPr>
              <w:spacing w:after="0"/>
              <w:rPr>
                <w:sz w:val="1"/>
                <w:szCs w:val="1"/>
                <w:color w:val="auto"/>
              </w:rPr>
            </w:pPr>
          </w:p>
        </w:tc>
      </w:tr>
      <w:tr>
        <w:trPr>
          <w:trHeight w:val="270"/>
        </w:trPr>
        <w:tc>
          <w:tcPr>
            <w:tcW w:w="39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Spotify Technology S.A.</w:t>
            </w:r>
            <w:r>
              <w:rPr>
                <w:rFonts w:ascii="Times New Roman" w:cs="Times New Roman" w:eastAsia="Times New Roman" w:hAnsi="Times New Roman"/>
                <w:sz w:val="21"/>
                <w:szCs w:val="21"/>
                <w:color w:val="auto"/>
                <w:vertAlign w:val="superscript"/>
              </w:rPr>
              <w:t>(1)</w:t>
            </w:r>
          </w:p>
        </w:tc>
        <w:tc>
          <w:tcPr>
            <w:tcW w:w="100" w:type="dxa"/>
            <w:vAlign w:val="bottom"/>
          </w:tcPr>
          <w:p>
            <w:pPr>
              <w:spacing w:after="0"/>
              <w:rPr>
                <w:sz w:val="23"/>
                <w:szCs w:val="23"/>
                <w:color w:val="auto"/>
              </w:rPr>
            </w:pPr>
          </w:p>
        </w:tc>
        <w:tc>
          <w:tcPr>
            <w:tcW w:w="1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(14,479,668)</w:t>
            </w:r>
          </w:p>
        </w:tc>
        <w:tc>
          <w:tcPr>
            <w:tcW w:w="12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1"/>
                <w:szCs w:val="21"/>
                <w:color w:val="auto"/>
                <w:vertAlign w:val="superscript"/>
              </w:rPr>
              <w:t>(2)</w:t>
            </w:r>
          </w:p>
        </w:tc>
        <w:tc>
          <w:tcPr>
            <w:tcW w:w="1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(987,154)</w:t>
            </w:r>
          </w:p>
        </w:tc>
        <w:tc>
          <w:tcPr>
            <w:tcW w:w="120" w:type="dxa"/>
            <w:vAlign w:val="bottom"/>
            <w:shd w:val="clear" w:color="auto" w:fill="CCEEFF"/>
          </w:tcPr>
          <w:p>
            <w:pPr>
              <w:spacing w:after="0"/>
              <w:rPr>
                <w:sz w:val="23"/>
                <w:szCs w:val="23"/>
                <w:color w:val="auto"/>
              </w:rPr>
            </w:pPr>
          </w:p>
        </w:tc>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1"/>
                <w:szCs w:val="21"/>
                <w:color w:val="auto"/>
                <w:vertAlign w:val="superscript"/>
              </w:rPr>
              <w:t>(2)</w:t>
            </w:r>
          </w:p>
        </w:tc>
        <w:tc>
          <w:tcPr>
            <w:tcW w:w="10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(2,336,152)</w:t>
            </w:r>
          </w:p>
        </w:tc>
        <w:tc>
          <w:tcPr>
            <w:tcW w:w="0" w:type="dxa"/>
            <w:vAlign w:val="bottom"/>
          </w:tcPr>
          <w:p>
            <w:pPr>
              <w:spacing w:after="0"/>
              <w:rPr>
                <w:sz w:val="1"/>
                <w:szCs w:val="1"/>
                <w:color w:val="auto"/>
              </w:rPr>
            </w:pPr>
          </w:p>
        </w:tc>
      </w:tr>
      <w:tr>
        <w:trPr>
          <w:trHeight w:val="244"/>
        </w:trPr>
        <w:tc>
          <w:tcPr>
            <w:tcW w:w="39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(12,440,320)</w:t>
            </w:r>
          </w:p>
        </w:tc>
        <w:tc>
          <w:tcPr>
            <w:tcW w:w="120" w:type="dxa"/>
            <w:vAlign w:val="bottom"/>
          </w:tcPr>
          <w:p>
            <w:pPr>
              <w:spacing w:after="0"/>
              <w:rPr>
                <w:sz w:val="21"/>
                <w:szCs w:val="21"/>
                <w:color w:val="auto"/>
              </w:rPr>
            </w:pPr>
          </w:p>
        </w:tc>
        <w:tc>
          <w:tcPr>
            <w:tcW w:w="3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9,872,595</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w:t>
            </w:r>
          </w:p>
        </w:tc>
        <w:tc>
          <w:tcPr>
            <w:tcW w:w="1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00" w:hanging="492"/>
        <w:spacing w:after="0" w:line="249" w:lineRule="auto"/>
        <w:tabs>
          <w:tab w:leader="none" w:pos="5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change in unrealized appreciation/(depreciation) reflected for these investments resulted from the full or partial sale of the relevant investment, which resulted in the reversal of previously accrued unrealized appreciation/(depreciation), as applicable.</w:t>
      </w:r>
    </w:p>
    <w:p>
      <w:pPr>
        <w:ind w:left="500" w:hanging="492"/>
        <w:spacing w:after="0" w:line="257" w:lineRule="auto"/>
        <w:tabs>
          <w:tab w:leader="none" w:pos="5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represents investments (including U.S. Treasury bills) for which individual change in unrealized appreciation/(depreciation) was less than $1.0 million for the three months ended June 30, 2019 and 2018.</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118" w:right="239" w:bottom="1440" w:gutter="0" w:footer="0" w:header="0"/>
        </w:sectPr>
      </w:pPr>
    </w:p>
    <w:bookmarkStart w:id="64" w:name="page65"/>
    <w:bookmarkEnd w:id="64"/>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2019, we had a net change in unrealized appreciation of $8,259,431. For the six months ended June 30, 2018, we had a net change in unrealized appreciation of $18,005,989. The following tables summarize, by portfolio company, the significant changes in unrealized appreciation and/or depreciation of our investment portfolio for the six months ended June 30, 2019 and 2018.</w:t>
      </w: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Net Change in Unrealized</w:t>
            </w:r>
          </w:p>
        </w:tc>
        <w:tc>
          <w:tcPr>
            <w:tcW w:w="3740" w:type="dxa"/>
            <w:vAlign w:val="bottom"/>
          </w:tcPr>
          <w:p>
            <w:pPr>
              <w:spacing w:after="0"/>
              <w:rPr>
                <w:sz w:val="13"/>
                <w:szCs w:val="13"/>
                <w:color w:val="auto"/>
              </w:rPr>
            </w:pP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Net Change in Unrealized</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Appreciation/(Depreciation)</w:t>
            </w:r>
          </w:p>
        </w:tc>
        <w:tc>
          <w:tcPr>
            <w:tcW w:w="3740" w:type="dxa"/>
            <w:vAlign w:val="bottom"/>
          </w:tcPr>
          <w:p>
            <w:pPr>
              <w:spacing w:after="0"/>
              <w:rPr>
                <w:sz w:val="12"/>
                <w:szCs w:val="12"/>
                <w:color w:val="auto"/>
              </w:rPr>
            </w:pPr>
          </w:p>
        </w:tc>
        <w:tc>
          <w:tcPr>
            <w:tcW w:w="1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Appreciation/(Depreciation)</w:t>
            </w:r>
          </w:p>
        </w:tc>
        <w:tc>
          <w:tcPr>
            <w:tcW w:w="0" w:type="dxa"/>
            <w:vAlign w:val="bottom"/>
          </w:tcPr>
          <w:p>
            <w:pPr>
              <w:spacing w:after="0"/>
              <w:rPr>
                <w:sz w:val="1"/>
                <w:szCs w:val="1"/>
                <w:color w:val="auto"/>
              </w:rPr>
            </w:pPr>
          </w:p>
        </w:tc>
      </w:tr>
      <w:tr>
        <w:trPr>
          <w:trHeight w:val="149"/>
        </w:trPr>
        <w:tc>
          <w:tcPr>
            <w:tcW w:w="3860" w:type="dxa"/>
            <w:vAlign w:val="bottom"/>
            <w:vMerge w:val="restart"/>
          </w:tcPr>
          <w:p>
            <w:pPr>
              <w:ind w:left="134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3740" w:type="dxa"/>
            <w:vAlign w:val="bottom"/>
            <w:vMerge w:val="restart"/>
          </w:tcPr>
          <w:p>
            <w:pPr>
              <w:ind w:left="128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rPr>
                <w:sz w:val="1"/>
                <w:szCs w:val="1"/>
                <w:color w:val="auto"/>
              </w:rPr>
            </w:pPr>
          </w:p>
        </w:tc>
      </w:tr>
      <w:tr>
        <w:trPr>
          <w:trHeight w:val="195"/>
        </w:trPr>
        <w:tc>
          <w:tcPr>
            <w:tcW w:w="3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37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June 30, 2018</w:t>
            </w:r>
          </w:p>
        </w:tc>
        <w:tc>
          <w:tcPr>
            <w:tcW w:w="0" w:type="dxa"/>
            <w:vAlign w:val="bottom"/>
          </w:tcPr>
          <w:p>
            <w:pPr>
              <w:spacing w:after="0"/>
              <w:rPr>
                <w:sz w:val="1"/>
                <w:szCs w:val="1"/>
                <w:color w:val="auto"/>
              </w:rPr>
            </w:pPr>
          </w:p>
        </w:tc>
      </w:tr>
      <w:tr>
        <w:trPr>
          <w:trHeight w:val="269"/>
        </w:trPr>
        <w:tc>
          <w:tcPr>
            <w:tcW w:w="3980" w:type="dxa"/>
            <w:vAlign w:val="bottom"/>
            <w:gridSpan w:val="2"/>
            <w:shd w:val="clear" w:color="auto" w:fill="CCEEFF"/>
          </w:tcPr>
          <w:p>
            <w:pPr>
              <w:ind w:left="20"/>
              <w:spacing w:after="0" w:line="269" w:lineRule="exact"/>
              <w:rPr>
                <w:sz w:val="20"/>
                <w:szCs w:val="20"/>
                <w:color w:val="auto"/>
              </w:rPr>
            </w:pPr>
            <w:r>
              <w:rPr>
                <w:rFonts w:ascii="Times New Roman" w:cs="Times New Roman" w:eastAsia="Times New Roman" w:hAnsi="Times New Roman"/>
                <w:sz w:val="16"/>
                <w:szCs w:val="16"/>
                <w:color w:val="auto"/>
              </w:rPr>
              <w:t>Declara Inc.</w:t>
            </w:r>
            <w:r>
              <w:rPr>
                <w:rFonts w:ascii="Times New Roman" w:cs="Times New Roman" w:eastAsia="Times New Roman" w:hAnsi="Times New Roman"/>
                <w:sz w:val="25"/>
                <w:szCs w:val="25"/>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12,334,151</w:t>
            </w:r>
          </w:p>
        </w:tc>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Spotify Technology S.A.</w:t>
            </w:r>
          </w:p>
        </w:tc>
        <w:tc>
          <w:tcPr>
            <w:tcW w:w="3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8,867,899</w:t>
            </w:r>
          </w:p>
        </w:tc>
        <w:tc>
          <w:tcPr>
            <w:tcW w:w="0" w:type="dxa"/>
            <w:vAlign w:val="bottom"/>
          </w:tcPr>
          <w:p>
            <w:pPr>
              <w:spacing w:after="0"/>
              <w:rPr>
                <w:sz w:val="1"/>
                <w:szCs w:val="1"/>
                <w:color w:val="auto"/>
              </w:rPr>
            </w:pPr>
          </w:p>
        </w:tc>
      </w:tr>
      <w:tr>
        <w:trPr>
          <w:trHeight w:val="237"/>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Coursera, Inc.</w:t>
            </w:r>
          </w:p>
        </w:tc>
        <w:tc>
          <w:tcPr>
            <w:tcW w:w="100" w:type="dxa"/>
            <w:vAlign w:val="bottom"/>
          </w:tcPr>
          <w:p>
            <w:pPr>
              <w:spacing w:after="0"/>
              <w:rPr>
                <w:sz w:val="20"/>
                <w:szCs w:val="20"/>
                <w:color w:val="auto"/>
              </w:rPr>
            </w:pPr>
          </w:p>
        </w:tc>
        <w:tc>
          <w:tcPr>
            <w:tcW w:w="1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7,522,226</w:t>
            </w:r>
          </w:p>
        </w:tc>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Dropbox, Inc.</w:t>
            </w:r>
          </w:p>
        </w:tc>
        <w:tc>
          <w:tcPr>
            <w:tcW w:w="300" w:type="dxa"/>
            <w:vAlign w:val="bottom"/>
          </w:tcPr>
          <w:p>
            <w:pPr>
              <w:spacing w:after="0"/>
              <w:rPr>
                <w:sz w:val="20"/>
                <w:szCs w:val="20"/>
                <w:color w:val="auto"/>
              </w:rPr>
            </w:pPr>
          </w:p>
        </w:tc>
        <w:tc>
          <w:tcPr>
            <w:tcW w:w="15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7,654,762</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Aspiration Partners, Inc.</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5,032,824</w:t>
            </w:r>
          </w:p>
        </w:tc>
        <w:tc>
          <w:tcPr>
            <w:tcW w:w="3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NestGSV, Inc. (d.b.a. GSV Labs, Inc.)</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4,617,495</w:t>
            </w:r>
          </w:p>
        </w:tc>
        <w:tc>
          <w:tcPr>
            <w:tcW w:w="0" w:type="dxa"/>
            <w:vAlign w:val="bottom"/>
          </w:tcPr>
          <w:p>
            <w:pPr>
              <w:spacing w:after="0"/>
              <w:rPr>
                <w:sz w:val="1"/>
                <w:szCs w:val="1"/>
                <w:color w:val="auto"/>
              </w:rPr>
            </w:pPr>
          </w:p>
        </w:tc>
      </w:tr>
      <w:tr>
        <w:trPr>
          <w:trHeight w:val="270"/>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Course Hero, Inc.</w:t>
            </w:r>
          </w:p>
        </w:tc>
        <w:tc>
          <w:tcPr>
            <w:tcW w:w="100" w:type="dxa"/>
            <w:vAlign w:val="bottom"/>
          </w:tcPr>
          <w:p>
            <w:pPr>
              <w:spacing w:after="0"/>
              <w:rPr>
                <w:sz w:val="23"/>
                <w:szCs w:val="23"/>
                <w:color w:val="auto"/>
              </w:rPr>
            </w:pPr>
          </w:p>
        </w:tc>
        <w:tc>
          <w:tcPr>
            <w:tcW w:w="1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4,662,974</w:t>
            </w:r>
          </w:p>
        </w:tc>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Avenues Global Holdings, LLC</w:t>
            </w:r>
            <w:r>
              <w:rPr>
                <w:rFonts w:ascii="Times New Roman" w:cs="Times New Roman" w:eastAsia="Times New Roman" w:hAnsi="Times New Roman"/>
                <w:sz w:val="21"/>
                <w:szCs w:val="21"/>
                <w:color w:val="auto"/>
                <w:vertAlign w:val="superscript"/>
              </w:rPr>
              <w:t>(2)</w:t>
            </w:r>
          </w:p>
        </w:tc>
        <w:tc>
          <w:tcPr>
            <w:tcW w:w="300" w:type="dxa"/>
            <w:vAlign w:val="bottom"/>
          </w:tcPr>
          <w:p>
            <w:pPr>
              <w:spacing w:after="0"/>
              <w:rPr>
                <w:sz w:val="23"/>
                <w:szCs w:val="23"/>
                <w:color w:val="auto"/>
              </w:rPr>
            </w:pPr>
          </w:p>
        </w:tc>
        <w:tc>
          <w:tcPr>
            <w:tcW w:w="15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4,243,435</w:t>
            </w:r>
          </w:p>
        </w:tc>
        <w:tc>
          <w:tcPr>
            <w:tcW w:w="0" w:type="dxa"/>
            <w:vAlign w:val="bottom"/>
          </w:tcPr>
          <w:p>
            <w:pPr>
              <w:spacing w:after="0"/>
              <w:rPr>
                <w:sz w:val="1"/>
                <w:szCs w:val="1"/>
                <w:color w:val="auto"/>
              </w:rPr>
            </w:pPr>
          </w:p>
        </w:tc>
      </w:tr>
      <w:tr>
        <w:trPr>
          <w:trHeight w:val="250"/>
        </w:trPr>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Enjoy Technology, Inc.</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3,624,952</w:t>
            </w:r>
          </w:p>
        </w:tc>
        <w:tc>
          <w:tcPr>
            <w:tcW w:w="3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DreamBox Learning, Inc.</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3,407,604</w:t>
            </w:r>
          </w:p>
        </w:tc>
        <w:tc>
          <w:tcPr>
            <w:tcW w:w="0" w:type="dxa"/>
            <w:vAlign w:val="bottom"/>
          </w:tcPr>
          <w:p>
            <w:pPr>
              <w:spacing w:after="0"/>
              <w:rPr>
                <w:sz w:val="1"/>
                <w:szCs w:val="1"/>
                <w:color w:val="auto"/>
              </w:rPr>
            </w:pPr>
          </w:p>
        </w:tc>
      </w:tr>
      <w:tr>
        <w:trPr>
          <w:trHeight w:val="237"/>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Lyft, Inc.</w:t>
            </w:r>
          </w:p>
        </w:tc>
        <w:tc>
          <w:tcPr>
            <w:tcW w:w="100" w:type="dxa"/>
            <w:vAlign w:val="bottom"/>
          </w:tcPr>
          <w:p>
            <w:pPr>
              <w:spacing w:after="0"/>
              <w:rPr>
                <w:sz w:val="20"/>
                <w:szCs w:val="20"/>
                <w:color w:val="auto"/>
              </w:rPr>
            </w:pPr>
          </w:p>
        </w:tc>
        <w:tc>
          <w:tcPr>
            <w:tcW w:w="1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3,418,486</w:t>
            </w:r>
          </w:p>
        </w:tc>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Lyft, Inc.</w:t>
            </w:r>
          </w:p>
        </w:tc>
        <w:tc>
          <w:tcPr>
            <w:tcW w:w="300" w:type="dxa"/>
            <w:vAlign w:val="bottom"/>
          </w:tcPr>
          <w:p>
            <w:pPr>
              <w:spacing w:after="0"/>
              <w:rPr>
                <w:sz w:val="20"/>
                <w:szCs w:val="20"/>
                <w:color w:val="auto"/>
              </w:rPr>
            </w:pPr>
          </w:p>
        </w:tc>
        <w:tc>
          <w:tcPr>
            <w:tcW w:w="15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3,379,480</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80" w:type="dxa"/>
            <w:vAlign w:val="bottom"/>
            <w:gridSpan w:val="2"/>
            <w:shd w:val="clear" w:color="auto" w:fill="CCEEFF"/>
          </w:tcPr>
          <w:p>
            <w:pPr>
              <w:ind w:left="20"/>
              <w:spacing w:after="0" w:line="270" w:lineRule="exact"/>
              <w:rPr>
                <w:sz w:val="20"/>
                <w:szCs w:val="20"/>
                <w:color w:val="auto"/>
              </w:rPr>
            </w:pPr>
            <w:r>
              <w:rPr>
                <w:rFonts w:ascii="Times New Roman" w:cs="Times New Roman" w:eastAsia="Times New Roman" w:hAnsi="Times New Roman"/>
                <w:sz w:val="16"/>
                <w:szCs w:val="16"/>
                <w:color w:val="auto"/>
              </w:rPr>
              <w:t>Knewton, Inc.</w:t>
            </w:r>
            <w:r>
              <w:rPr>
                <w:rFonts w:ascii="Times New Roman" w:cs="Times New Roman" w:eastAsia="Times New Roman" w:hAnsi="Times New Roman"/>
                <w:sz w:val="25"/>
                <w:szCs w:val="25"/>
                <w:color w:val="auto"/>
                <w:vertAlign w:val="superscript"/>
              </w:rPr>
              <w:t>(2)</w:t>
            </w:r>
          </w:p>
        </w:tc>
        <w:tc>
          <w:tcPr>
            <w:tcW w:w="100" w:type="dxa"/>
            <w:vAlign w:val="bottom"/>
            <w:shd w:val="clear" w:color="auto" w:fill="CCEEFF"/>
          </w:tcPr>
          <w:p>
            <w:pPr>
              <w:spacing w:after="0"/>
              <w:rPr>
                <w:sz w:val="23"/>
                <w:szCs w:val="23"/>
                <w:color w:val="auto"/>
              </w:rPr>
            </w:pPr>
          </w:p>
        </w:tc>
        <w:tc>
          <w:tcPr>
            <w:tcW w:w="17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2,979,116</w:t>
            </w:r>
          </w:p>
        </w:tc>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StormWind, LLC</w:t>
            </w:r>
          </w:p>
        </w:tc>
        <w:tc>
          <w:tcPr>
            <w:tcW w:w="30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1,895,438</w:t>
            </w:r>
          </w:p>
        </w:tc>
        <w:tc>
          <w:tcPr>
            <w:tcW w:w="0" w:type="dxa"/>
            <w:vAlign w:val="bottom"/>
          </w:tcPr>
          <w:p>
            <w:pPr>
              <w:spacing w:after="0"/>
              <w:rPr>
                <w:sz w:val="1"/>
                <w:szCs w:val="1"/>
                <w:color w:val="auto"/>
              </w:rPr>
            </w:pPr>
          </w:p>
        </w:tc>
      </w:tr>
      <w:tr>
        <w:trPr>
          <w:trHeight w:val="237"/>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Parchment, Inc.</w:t>
            </w:r>
          </w:p>
        </w:tc>
        <w:tc>
          <w:tcPr>
            <w:tcW w:w="100" w:type="dxa"/>
            <w:vAlign w:val="bottom"/>
          </w:tcPr>
          <w:p>
            <w:pPr>
              <w:spacing w:after="0"/>
              <w:rPr>
                <w:sz w:val="20"/>
                <w:szCs w:val="20"/>
                <w:color w:val="auto"/>
              </w:rPr>
            </w:pPr>
          </w:p>
        </w:tc>
        <w:tc>
          <w:tcPr>
            <w:tcW w:w="1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2,753,731</w:t>
            </w:r>
          </w:p>
        </w:tc>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 Place for Rover Inc. (f/k/a DogVacay, Inc.)</w:t>
            </w:r>
          </w:p>
        </w:tc>
        <w:tc>
          <w:tcPr>
            <w:tcW w:w="300" w:type="dxa"/>
            <w:vAlign w:val="bottom"/>
          </w:tcPr>
          <w:p>
            <w:pPr>
              <w:spacing w:after="0"/>
              <w:rPr>
                <w:sz w:val="20"/>
                <w:szCs w:val="20"/>
                <w:color w:val="auto"/>
              </w:rPr>
            </w:pPr>
          </w:p>
        </w:tc>
        <w:tc>
          <w:tcPr>
            <w:tcW w:w="15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1,669,824</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SharesPost, Inc.</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1,007,656</w:t>
            </w:r>
          </w:p>
        </w:tc>
        <w:tc>
          <w:tcPr>
            <w:tcW w:w="3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Course Hero, Inc.</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1,257,428</w:t>
            </w:r>
          </w:p>
        </w:tc>
        <w:tc>
          <w:tcPr>
            <w:tcW w:w="0" w:type="dxa"/>
            <w:vAlign w:val="bottom"/>
          </w:tcPr>
          <w:p>
            <w:pPr>
              <w:spacing w:after="0"/>
              <w:rPr>
                <w:sz w:val="1"/>
                <w:szCs w:val="1"/>
                <w:color w:val="auto"/>
              </w:rPr>
            </w:pPr>
          </w:p>
        </w:tc>
      </w:tr>
      <w:tr>
        <w:trPr>
          <w:trHeight w:val="237"/>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 Place for Rover Inc. (f/k/a DogVacay, Inc.)</w:t>
            </w:r>
          </w:p>
        </w:tc>
        <w:tc>
          <w:tcPr>
            <w:tcW w:w="1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(1,038,166)</w:t>
            </w:r>
          </w:p>
        </w:tc>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Lytro, Inc.</w:t>
            </w:r>
          </w:p>
        </w:tc>
        <w:tc>
          <w:tcPr>
            <w:tcW w:w="3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(1,140,570)</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CUX, Inc. (d/b/a CorpU)</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(2,008,440)</w:t>
            </w:r>
          </w:p>
        </w:tc>
        <w:tc>
          <w:tcPr>
            <w:tcW w:w="3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Declara Inc.</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(1,715,261)</w:t>
            </w:r>
          </w:p>
        </w:tc>
        <w:tc>
          <w:tcPr>
            <w:tcW w:w="0" w:type="dxa"/>
            <w:vAlign w:val="bottom"/>
          </w:tcPr>
          <w:p>
            <w:pPr>
              <w:spacing w:after="0"/>
              <w:rPr>
                <w:sz w:val="1"/>
                <w:szCs w:val="1"/>
                <w:color w:val="auto"/>
              </w:rPr>
            </w:pPr>
          </w:p>
        </w:tc>
      </w:tr>
      <w:tr>
        <w:trPr>
          <w:trHeight w:val="270"/>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Ozy Media, Inc.</w:t>
            </w:r>
          </w:p>
        </w:tc>
        <w:tc>
          <w:tcPr>
            <w:tcW w:w="10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(2,522,860)</w:t>
            </w:r>
          </w:p>
        </w:tc>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Chegg, Inc.</w:t>
            </w:r>
            <w:r>
              <w:rPr>
                <w:rFonts w:ascii="Times New Roman" w:cs="Times New Roman" w:eastAsia="Times New Roman" w:hAnsi="Times New Roman"/>
                <w:sz w:val="21"/>
                <w:szCs w:val="21"/>
                <w:color w:val="auto"/>
                <w:vertAlign w:val="superscript"/>
              </w:rPr>
              <w:t>(2)</w:t>
            </w:r>
          </w:p>
        </w:tc>
        <w:tc>
          <w:tcPr>
            <w:tcW w:w="3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(2,151,532)</w:t>
            </w:r>
          </w:p>
        </w:tc>
        <w:tc>
          <w:tcPr>
            <w:tcW w:w="0" w:type="dxa"/>
            <w:vAlign w:val="bottom"/>
          </w:tcPr>
          <w:p>
            <w:pPr>
              <w:spacing w:after="0"/>
              <w:rPr>
                <w:sz w:val="1"/>
                <w:szCs w:val="1"/>
                <w:color w:val="auto"/>
              </w:rPr>
            </w:pPr>
          </w:p>
        </w:tc>
      </w:tr>
      <w:tr>
        <w:trPr>
          <w:trHeight w:val="270"/>
        </w:trPr>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Palantir Technologies, Inc.</w:t>
            </w:r>
          </w:p>
        </w:tc>
        <w:tc>
          <w:tcPr>
            <w:tcW w:w="100" w:type="dxa"/>
            <w:vAlign w:val="bottom"/>
            <w:shd w:val="clear" w:color="auto" w:fill="CCEEFF"/>
          </w:tcPr>
          <w:p>
            <w:pPr>
              <w:spacing w:after="0"/>
              <w:rPr>
                <w:sz w:val="23"/>
                <w:szCs w:val="23"/>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(3,395,100)</w:t>
            </w:r>
          </w:p>
        </w:tc>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Assembly Space, Inc.</w:t>
            </w:r>
            <w:r>
              <w:rPr>
                <w:rFonts w:ascii="Times New Roman" w:cs="Times New Roman" w:eastAsia="Times New Roman" w:hAnsi="Times New Roman"/>
                <w:sz w:val="21"/>
                <w:szCs w:val="21"/>
                <w:color w:val="auto"/>
                <w:vertAlign w:val="superscript"/>
              </w:rPr>
              <w:t>(2)</w:t>
            </w:r>
          </w:p>
        </w:tc>
        <w:tc>
          <w:tcPr>
            <w:tcW w:w="30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(4,840,905)</w:t>
            </w:r>
          </w:p>
        </w:tc>
        <w:tc>
          <w:tcPr>
            <w:tcW w:w="0" w:type="dxa"/>
            <w:vAlign w:val="bottom"/>
          </w:tcPr>
          <w:p>
            <w:pPr>
              <w:spacing w:after="0"/>
              <w:rPr>
                <w:sz w:val="1"/>
                <w:szCs w:val="1"/>
                <w:color w:val="auto"/>
              </w:rPr>
            </w:pPr>
          </w:p>
        </w:tc>
      </w:tr>
      <w:tr>
        <w:trPr>
          <w:trHeight w:val="237"/>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NestGSV, Inc. (d/b/a GSV Labs, Inc.)</w:t>
            </w:r>
          </w:p>
        </w:tc>
        <w:tc>
          <w:tcPr>
            <w:tcW w:w="1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(3,870,964)</w:t>
            </w:r>
          </w:p>
        </w:tc>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Curious.com Inc.</w:t>
            </w:r>
          </w:p>
        </w:tc>
        <w:tc>
          <w:tcPr>
            <w:tcW w:w="3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(5,514,077)</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StormWind, LLC</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(6,015,388)</w:t>
            </w:r>
          </w:p>
        </w:tc>
        <w:tc>
          <w:tcPr>
            <w:tcW w:w="3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980" w:type="dxa"/>
            <w:vAlign w:val="bottom"/>
            <w:gridSpan w:val="2"/>
          </w:tcPr>
          <w:p>
            <w:pPr>
              <w:ind w:left="20"/>
              <w:spacing w:after="0" w:line="270" w:lineRule="exact"/>
              <w:rPr>
                <w:sz w:val="20"/>
                <w:szCs w:val="20"/>
                <w:color w:val="auto"/>
              </w:rPr>
            </w:pPr>
            <w:r>
              <w:rPr>
                <w:rFonts w:ascii="Times New Roman" w:cs="Times New Roman" w:eastAsia="Times New Roman" w:hAnsi="Times New Roman"/>
                <w:sz w:val="16"/>
                <w:szCs w:val="16"/>
                <w:color w:val="auto"/>
              </w:rPr>
              <w:t>Spotify Technology S.A.</w:t>
            </w:r>
            <w:r>
              <w:rPr>
                <w:rFonts w:ascii="Times New Roman" w:cs="Times New Roman" w:eastAsia="Times New Roman" w:hAnsi="Times New Roman"/>
                <w:sz w:val="25"/>
                <w:szCs w:val="25"/>
                <w:color w:val="auto"/>
                <w:vertAlign w:val="superscript"/>
              </w:rPr>
              <w:t>(2)</w:t>
            </w:r>
          </w:p>
        </w:tc>
        <w:tc>
          <w:tcPr>
            <w:tcW w:w="10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(16,711,276)</w:t>
            </w:r>
          </w:p>
        </w:tc>
        <w:tc>
          <w:tcPr>
            <w:tcW w:w="3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80" w:type="dxa"/>
            <w:vAlign w:val="bottom"/>
            <w:gridSpan w:val="2"/>
            <w:shd w:val="clear" w:color="auto" w:fill="CCEEFF"/>
          </w:tcPr>
          <w:p>
            <w:pPr>
              <w:ind w:left="20"/>
              <w:spacing w:after="0" w:line="270"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5"/>
                <w:szCs w:val="25"/>
                <w:color w:val="auto"/>
                <w:vertAlign w:val="superscript"/>
              </w:rPr>
              <w:t>(3)</w:t>
            </w:r>
          </w:p>
        </w:tc>
        <w:tc>
          <w:tcPr>
            <w:tcW w:w="10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485,509</w:t>
            </w:r>
          </w:p>
        </w:tc>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1"/>
                <w:szCs w:val="21"/>
                <w:color w:val="auto"/>
                <w:vertAlign w:val="superscript"/>
              </w:rPr>
              <w:t>(3)</w:t>
            </w:r>
          </w:p>
        </w:tc>
        <w:tc>
          <w:tcPr>
            <w:tcW w:w="3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(3,625,031)</w:t>
            </w:r>
          </w:p>
        </w:tc>
        <w:tc>
          <w:tcPr>
            <w:tcW w:w="0" w:type="dxa"/>
            <w:vAlign w:val="bottom"/>
          </w:tcPr>
          <w:p>
            <w:pPr>
              <w:spacing w:after="0"/>
              <w:rPr>
                <w:sz w:val="1"/>
                <w:szCs w:val="1"/>
                <w:color w:val="auto"/>
              </w:rPr>
            </w:pPr>
          </w:p>
        </w:tc>
      </w:tr>
      <w:tr>
        <w:trPr>
          <w:trHeight w:val="217"/>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8,259,431</w:t>
            </w:r>
          </w:p>
        </w:tc>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18,005,989</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00" w:hanging="492"/>
        <w:spacing w:after="0"/>
        <w:tabs>
          <w:tab w:leader="none" w:pos="5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change in unrealized appreciation for these investments resulted from writing off an investment that was previously reduced in value to zero.</w:t>
      </w:r>
    </w:p>
    <w:p>
      <w:pPr>
        <w:spacing w:after="0" w:line="23" w:lineRule="exact"/>
        <w:rPr>
          <w:rFonts w:ascii="Times New Roman" w:cs="Times New Roman" w:eastAsia="Times New Roman" w:hAnsi="Times New Roman"/>
          <w:sz w:val="16"/>
          <w:szCs w:val="16"/>
          <w:color w:val="auto"/>
        </w:rPr>
      </w:pPr>
    </w:p>
    <w:p>
      <w:pPr>
        <w:ind w:left="500" w:hanging="492"/>
        <w:spacing w:after="0" w:line="246" w:lineRule="auto"/>
        <w:tabs>
          <w:tab w:leader="none" w:pos="5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change in unrealized appreciation/(depreciation) reflected for these investments resulted from the full or partial sale of the relevant investment, which resulted in the reversal of previously accrued unrealized appreciation/(depreciation), as applicable.</w:t>
      </w:r>
    </w:p>
    <w:p>
      <w:pPr>
        <w:ind w:left="500" w:hanging="492"/>
        <w:spacing w:after="0" w:line="257" w:lineRule="auto"/>
        <w:tabs>
          <w:tab w:leader="none" w:pos="5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represents investments (including U.S. Treasury bills) for which individual change in unrealized appreciation/(depreciation) was less than $1.0 million for the six months ended June 30, 2019 and 2018.</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Activity</w:t>
      </w:r>
    </w:p>
    <w:p>
      <w:pPr>
        <w:spacing w:after="0" w:line="229" w:lineRule="exact"/>
        <w:rPr>
          <w:sz w:val="20"/>
          <w:szCs w:val="20"/>
          <w:color w:val="auto"/>
        </w:rPr>
      </w:pPr>
    </w:p>
    <w:p>
      <w:pPr>
        <w:jc w:val="both"/>
        <w:ind w:firstLine="351"/>
        <w:spacing w:after="0" w:line="282" w:lineRule="auto"/>
        <w:rPr>
          <w:sz w:val="20"/>
          <w:szCs w:val="20"/>
          <w:color w:val="auto"/>
        </w:rPr>
      </w:pPr>
      <w:r>
        <w:rPr>
          <w:rFonts w:ascii="Times New Roman" w:cs="Times New Roman" w:eastAsia="Times New Roman" w:hAnsi="Times New Roman"/>
          <w:sz w:val="18"/>
          <w:szCs w:val="18"/>
          <w:color w:val="auto"/>
        </w:rPr>
        <w:t>Please refer to “Note 11—Subsequent Events” to our condensed consolidated financial statements as of June 30, 2019 for details regarding activity in our investment portfolio from July 1, 2019 through August 8, 2019.</w:t>
      </w:r>
    </w:p>
    <w:p>
      <w:pPr>
        <w:spacing w:after="0" w:line="162"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We are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us. Equity investments made through the secondary market may involve making deposits in escrow accounts until the applicable closing conditions are satisfied, at which time the escrow accounts will close and such equity investments will be effectuated.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118" w:right="239" w:bottom="1440" w:gutter="0" w:footer="0" w:header="0"/>
        </w:sectPr>
      </w:pPr>
    </w:p>
    <w:bookmarkStart w:id="65" w:name="page66"/>
    <w:bookmarkEnd w:id="65"/>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Rebranding to Sutter Rock Capital Corp.</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Articles of Amendment</w:t>
      </w:r>
    </w:p>
    <w:p>
      <w:pPr>
        <w:spacing w:after="0" w:line="227"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On and effective July 30, 2019, the Company changed its name to “Sutter Rock Capital Corp.” from “GSV Capital Corp” (the “Name Change”) by filing Articles of Amendment (the “Articles of Amendment”) to its Articles of Amendment and Restatement, as amended (the “Charter”), with the Department of Assessments and Taxation of the State of Maryland to effect the Name Change. In accordance with the Maryland General Corporation Law and the Charter, the Company’s board of directors approved the Name Change and the Articles of Amendment. Stockholder approval was not required.</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Trading Symbol</w:t>
      </w:r>
    </w:p>
    <w:p>
      <w:pPr>
        <w:spacing w:after="0" w:line="227" w:lineRule="exact"/>
        <w:rPr>
          <w:sz w:val="20"/>
          <w:szCs w:val="20"/>
          <w:color w:val="auto"/>
        </w:rPr>
      </w:pPr>
    </w:p>
    <w:p>
      <w:pPr>
        <w:jc w:val="both"/>
        <w:ind w:firstLine="351"/>
        <w:spacing w:after="0" w:line="282" w:lineRule="auto"/>
        <w:rPr>
          <w:sz w:val="20"/>
          <w:szCs w:val="20"/>
          <w:color w:val="auto"/>
        </w:rPr>
      </w:pPr>
      <w:r>
        <w:rPr>
          <w:rFonts w:ascii="Times New Roman" w:cs="Times New Roman" w:eastAsia="Times New Roman" w:hAnsi="Times New Roman"/>
          <w:sz w:val="18"/>
          <w:szCs w:val="18"/>
          <w:color w:val="auto"/>
        </w:rPr>
        <w:t>In connection with the Name Change, the trading symbol for the Company’s shares of common stock on the Nasdaq Capital Market changed to “SSSS” from “GSVC” effective August 1, 2019.</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Amended and Restated Bylaws</w:t>
      </w:r>
    </w:p>
    <w:p>
      <w:pPr>
        <w:spacing w:after="0" w:line="227"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In connection with the Name Change, the Company’s board of directors also approved an amendment and restatement of the Company’s Bylaws (the “Amended and Restated Bylaws”) to reflect the Name Change. The Amended and Restated Bylaws became effective on July 30, 2019 and did not require stockholder approval.</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For more information regarding the foregoing events, please refer to the Company’s current report on Form 8-K filed with the SEC on August 1,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of New Director; Increased Number of Directors; Changes to Committee Composition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and effective July 17, 2019, the Company’s Board of Directors elected Lisa Westley as a director of the Company. Ms. Westley is not an “interested person” (as defined in Section 2(a)(19) of the 1940 Act) of the Company and will serve as one of the Company’s independent directors. She will serve as a director for a term expiring in 2020 and until her successor is duly elected and qualified.</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Ms. Westley will be entitled to the applicable annual fee and other compensation pursuant to the Company’s director compensation arrangements, under terms consistent with those previously disclosed by the Company. There are no arrangements or understandings between Ms. Westley and any other persons pursuant to which Ms. Westley was elected as a director of the Company.</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Ms. Westley’s election as a director, the Board of Directors increased the number of directors that constitutes the full Board of Directors to five directors from four directors, effective July 17, 2019, in accordance with the Company’s bylaws. The Company had previously reduced the number of directors that constitutes the full Board of Directors to four directors from five directors, effective July 1, 2019, in connection with David S. Pottruck’s departure from the Board of Directors. For more information regarding Mr. Pottruck’s departure and such reduction in the number of directors, please refer to the Company’s current report on Form 8-K filed with the SEC on June 10, 2019.</w:t>
      </w:r>
    </w:p>
    <w:p>
      <w:pPr>
        <w:spacing w:after="0" w:line="1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and effective July 31, 2019, the Company’s Board of Directors appointed Ms. Westley as Chair of the Board of Director’s Compensation Committee and as a member of the Audit Committee, the Nominating and Corporate Governance Committee, and the Valuation Committee. In connection with Ms. Westley’s appointment as Chair of the Compensation Committee, Ronald M. Lott, the former Chair of the Compensation Committee, was appointed as Chair of the Nominating and Corporate Governance Committee, effective July 31, 2019. As a result of the foregoing, the Board of Director’s committees are composed of the following individuals, each of whom is considered independent under the rules of the Nasdaq Capital Market and is not an “interested person” of the Company as that term is defined in Section 2(a)(19) of the 1940 Act.</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Audit Committee is comprised of Marc Mazur, Leonard A. Potter, Ronald M. Lott, and Lisa Westley. Mr. Mazur serves as Chair of the Audit Committee.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is comprised of Marc Mazur, Leonard A. Potter, Ronald M. Lott, and Lisa Westley. Mr. Lott was appointed Chair of the Nominating and Corporate Governance Committee on July 31, 2019.</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Valuation Committee is comprised of Marc Mazur, Leonard A. Potter, Ronald M. Lott, and Lisa Westley. Mr. Potter serves as Chair of the Valuation Committee.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118" w:right="239" w:bottom="1440" w:gutter="0" w:footer="0" w:header="0"/>
        </w:sectPr>
      </w:pPr>
    </w:p>
    <w:bookmarkStart w:id="66" w:name="page67"/>
    <w:bookmarkEnd w:id="66"/>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Compensation Committee is comprised of Marc Mazur, Leonard A. Potter, Ronald M. Lott, and Lisa Westley. Ms. Westley serves as Chair of the Compensation Committee.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to Director Compensation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and effective July 31, 2019, the Company’s Board of Directors approved the following changes to director compensation: (i) the annual fee paid to independent directors increased to $100,000 from $80,000, (ii) the annual fee paid to the Chair of the Audit Committee increased to $15,000 from $10,000, and (iii) the annual fee paid to the chairs of the other committees of the Board of Directors increased to $10,000 from $5,000.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August 5, 2019, our Board of Directors authorized a $5.0 million increase in the amount of shares of our common stock that may be repurchased under the discretionary Share Repurchase Program until the earlier of (i) August 4, 2020 or (ii) the repurchase of $25.0 million in aggregate amount of our common stock. Under the Share Repurchase Program, we may repurchase our outstanding common stock in the open market provided that we comply with the prohibitions under our insider trading policies and procedures and the applicable provisions of the 1940 Act and the Securities Exchange Act of 1934, as amended. Please refer to "Note 5—Share Repurchase Program, Equity Offerings and Related Expenses” for additional information on the Share Repurchase Program.</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From July 1, 2019 through August 8, 2019, the Company did not repurchase any additional shares under the Share Repurchase Program.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Our liquidity and capital resources are generated primarily from the sales of our investments and advances from our $12.0 million Credit Facility. In addition, on March 28, 2018, we issued $40.0 million aggregate principal amount of 4.75% Convertible Senior Notes due 2023, as discussed further below and in “Note 10—Debt Capital Activities” to our condensed consolidated financial statements as of June 30, 2019.</w:t>
      </w:r>
    </w:p>
    <w:p>
      <w:pPr>
        <w:spacing w:after="0" w:line="176"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Our primary uses of cash are to make investments, pay our operating expenses, and make distributions to our stockholders. For the six months ended June 30, 2019, our operating expenses were $2,900,731. For the six months ended June 30, 2018, our operating expenses, net of any fee waivers, were $6,250,731.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Cash Reserves and Liquid Securities</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54,418,254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28,184,163</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3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Borrowing availability under the Credit Facility</w:t>
            </w:r>
            <w:r>
              <w:rPr>
                <w:rFonts w:ascii="Times New Roman" w:cs="Times New Roman" w:eastAsia="Times New Roman" w:hAnsi="Times New Roman"/>
                <w:sz w:val="21"/>
                <w:szCs w:val="21"/>
                <w:color w:val="auto"/>
                <w:vertAlign w:val="superscript"/>
              </w:rPr>
              <w:t>(1)</w:t>
            </w:r>
          </w:p>
        </w:tc>
        <w:tc>
          <w:tcPr>
            <w:tcW w:w="340" w:type="dxa"/>
            <w:vAlign w:val="bottom"/>
          </w:tcPr>
          <w:p>
            <w:pPr>
              <w:spacing w:after="0"/>
              <w:rPr>
                <w:sz w:val="23"/>
                <w:szCs w:val="23"/>
                <w:color w:val="auto"/>
              </w:rPr>
            </w:pP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3"/>
                <w:szCs w:val="23"/>
                <w:color w:val="auto"/>
              </w:rPr>
            </w:pPr>
          </w:p>
        </w:tc>
        <w:tc>
          <w:tcPr>
            <w:tcW w:w="16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12,000,000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Securities of publicly traded portfolio companies:</w:t>
            </w:r>
          </w:p>
        </w:tc>
        <w:tc>
          <w:tcPr>
            <w:tcW w:w="3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3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Unrestricted securities</w:t>
            </w:r>
            <w:r>
              <w:rPr>
                <w:rFonts w:ascii="Times New Roman" w:cs="Times New Roman" w:eastAsia="Times New Roman" w:hAnsi="Times New Roman"/>
                <w:sz w:val="21"/>
                <w:szCs w:val="21"/>
                <w:color w:val="auto"/>
                <w:vertAlign w:val="superscript"/>
              </w:rPr>
              <w:t>(2)</w:t>
            </w:r>
          </w:p>
        </w:tc>
        <w:tc>
          <w:tcPr>
            <w:tcW w:w="340" w:type="dxa"/>
            <w:vAlign w:val="bottom"/>
          </w:tcPr>
          <w:p>
            <w:pPr>
              <w:spacing w:after="0"/>
              <w:rPr>
                <w:sz w:val="23"/>
                <w:szCs w:val="23"/>
                <w:color w:val="auto"/>
              </w:rPr>
            </w:pPr>
          </w:p>
        </w:tc>
        <w:tc>
          <w:tcPr>
            <w:tcW w:w="16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10,960,127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44,589,406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Subject to other sales restrictions</w:t>
            </w:r>
            <w:r>
              <w:rPr>
                <w:rFonts w:ascii="Times New Roman" w:cs="Times New Roman" w:eastAsia="Times New Roman" w:hAnsi="Times New Roman"/>
                <w:sz w:val="21"/>
                <w:szCs w:val="21"/>
                <w:color w:val="auto"/>
                <w:vertAlign w:val="superscript"/>
              </w:rPr>
              <w:t>(3)</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19,028,798</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73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 securities of publicly traded portfolio companies</w:t>
            </w:r>
          </w:p>
        </w:tc>
        <w:tc>
          <w:tcPr>
            <w:tcW w:w="340" w:type="dxa"/>
            <w:vAlign w:val="bottom"/>
          </w:tcPr>
          <w:p>
            <w:pPr>
              <w:spacing w:after="0"/>
              <w:rPr>
                <w:sz w:val="18"/>
                <w:szCs w:val="18"/>
                <w:color w:val="auto"/>
              </w:rPr>
            </w:pPr>
          </w:p>
        </w:tc>
        <w:tc>
          <w:tcPr>
            <w:tcW w:w="16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29,988,925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44,589,406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Cash Reserves and Liquid Securities</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84,407,179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84,773,569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_______________________</w:t>
            </w: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457073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570730" cy="8890"/>
                    </a:xfrm>
                    <a:prstGeom prst="rect">
                      <a:avLst/>
                    </a:prstGeom>
                    <a:noFill/>
                  </pic:spPr>
                </pic:pic>
              </a:graphicData>
            </a:graphic>
          </wp:anchor>
        </w:drawing>
      </w:r>
    </w:p>
    <w:p>
      <w:pPr>
        <w:ind w:left="500" w:right="20" w:hanging="492"/>
        <w:spacing w:after="0" w:line="246" w:lineRule="auto"/>
        <w:tabs>
          <w:tab w:leader="none" w:pos="5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leverage and borrowing base restrictions and other requirements under the Credit Facility as of June 30, 2019 and December 31, 2018. The Credit Facility matured on May 31, 2019. Refer to “Note 10—Debt Capital Activities” to our condensed consolidated financial statements as of June 30, 2019 for details.</w:t>
      </w:r>
    </w:p>
    <w:p>
      <w:pPr>
        <w:ind w:left="500" w:hanging="492"/>
        <w:spacing w:after="0" w:line="246" w:lineRule="auto"/>
        <w:tabs>
          <w:tab w:leader="none" w:pos="5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“Unrestricted securities” represents common stock of our publicly traded companies that are not subject to any restrictions upon sale. We may incur losses if we liquidate these positions to pay operating expenses or fund new investments. As of June 30, 2019, this balance represents our shares of common stock in Dropbox, Inc.</w:t>
      </w:r>
    </w:p>
    <w:p>
      <w:pPr>
        <w:ind w:left="500" w:hanging="492"/>
        <w:spacing w:after="0" w:line="257" w:lineRule="auto"/>
        <w:tabs>
          <w:tab w:leader="none" w:pos="5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other sales restrictions” represents common stock of our publicly traded companies that are subject to restrictions upon sale. As of June 30, 2019, this balance represents our shares of common stock of Lyft, Inc.</w:t>
      </w:r>
    </w:p>
    <w:p>
      <w:pPr>
        <w:spacing w:after="0" w:line="178"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2019, cash increased to $54,418,254 from $28,184,163 at the beginning of the year. The increase in cash was primarily due to proceeds from the sale of our Spotify Technology S.A. shares and a portion of our DropBox, Inc. shares offset by our investment in Neutron Holdings, Inc. (d/b/a Lime), interest payment related to our 4.75% Convertible Senior Notes due 2023, and the payments to GSV Asset Management prior and post to our Internalization.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118" w:right="239" w:bottom="1440" w:gutter="0" w:footer="0" w:header="0"/>
        </w:sectPr>
      </w:pPr>
    </w:p>
    <w:bookmarkStart w:id="67" w:name="page68"/>
    <w:bookmarkEnd w:id="67"/>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520" w:type="dxa"/>
            <w:vAlign w:val="bottom"/>
            <w:tcBorders>
              <w:bottom w:val="single" w:sz="8" w:color="auto"/>
            </w:tcBorders>
            <w:gridSpan w:val="8"/>
          </w:tcPr>
          <w:p>
            <w:pPr>
              <w:ind w:left="680"/>
              <w:spacing w:after="0"/>
              <w:rPr>
                <w:sz w:val="20"/>
                <w:szCs w:val="20"/>
                <w:color w:val="auto"/>
              </w:rPr>
            </w:pPr>
            <w:r>
              <w:rPr>
                <w:rFonts w:ascii="Times New Roman" w:cs="Times New Roman" w:eastAsia="Times New Roman" w:hAnsi="Times New Roman"/>
                <w:sz w:val="14"/>
                <w:szCs w:val="14"/>
                <w:b w:val="1"/>
                <w:bCs w:val="1"/>
                <w:color w:val="auto"/>
              </w:rPr>
              <w:t>Payments Due By Period (dollars in millions)</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300" w:type="dxa"/>
            <w:vAlign w:val="bottom"/>
          </w:tcPr>
          <w:p>
            <w:pPr>
              <w:spacing w:after="0"/>
              <w:rPr>
                <w:sz w:val="12"/>
                <w:szCs w:val="12"/>
                <w:color w:val="auto"/>
              </w:rPr>
            </w:pPr>
          </w:p>
        </w:tc>
        <w:tc>
          <w:tcPr>
            <w:tcW w:w="1200" w:type="dxa"/>
            <w:vAlign w:val="bottom"/>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0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right"/>
              <w:ind w:right="322"/>
              <w:spacing w:after="0" w:line="149"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95"/>
        </w:trPr>
        <w:tc>
          <w:tcPr>
            <w:tcW w:w="35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55"/>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Payable for securities purchased</w:t>
            </w:r>
            <w:r>
              <w:rPr>
                <w:rFonts w:ascii="Times New Roman" w:cs="Times New Roman" w:eastAsia="Times New Roman" w:hAnsi="Times New Roman"/>
                <w:sz w:val="21"/>
                <w:szCs w:val="21"/>
                <w:color w:val="auto"/>
                <w:vertAlign w:val="superscript"/>
              </w:rPr>
              <w:t>(1)</w:t>
            </w:r>
          </w:p>
        </w:tc>
        <w:tc>
          <w:tcPr>
            <w:tcW w:w="960" w:type="dxa"/>
            <w:vAlign w:val="bottom"/>
            <w:shd w:val="clear" w:color="auto" w:fill="CCEEFF"/>
          </w:tcPr>
          <w:p>
            <w:pPr>
              <w:jc w:val="right"/>
              <w:ind w:right="761"/>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89.5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89.5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Credit Facility payable</w:t>
            </w:r>
            <w:r>
              <w:rPr>
                <w:rFonts w:ascii="Times New Roman" w:cs="Times New Roman" w:eastAsia="Times New Roman" w:hAnsi="Times New Roman"/>
                <w:sz w:val="21"/>
                <w:szCs w:val="21"/>
                <w:color w:val="auto"/>
                <w:vertAlign w:val="superscript"/>
              </w:rPr>
              <w:t>(2)(3)</w:t>
            </w:r>
          </w:p>
        </w:tc>
        <w:tc>
          <w:tcPr>
            <w:tcW w:w="96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3"/>
                <w:szCs w:val="23"/>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3"/>
                <w:szCs w:val="23"/>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3"/>
                <w:szCs w:val="23"/>
                <w:color w:val="auto"/>
              </w:rPr>
            </w:pPr>
          </w:p>
        </w:tc>
        <w:tc>
          <w:tcPr>
            <w:tcW w:w="1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Convertible Senior Notes</w:t>
            </w:r>
            <w:r>
              <w:rPr>
                <w:rFonts w:ascii="Times New Roman" w:cs="Times New Roman" w:eastAsia="Times New Roman" w:hAnsi="Times New Roman"/>
                <w:sz w:val="21"/>
                <w:szCs w:val="21"/>
                <w:color w:val="auto"/>
                <w:vertAlign w:val="superscript"/>
              </w:rPr>
              <w:t>(4)</w:t>
            </w:r>
          </w:p>
        </w:tc>
        <w:tc>
          <w:tcPr>
            <w:tcW w:w="96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90"/>
        </w:trPr>
        <w:tc>
          <w:tcPr>
            <w:tcW w:w="35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960" w:type="dxa"/>
            <w:vAlign w:val="bottom"/>
            <w:tcBorders>
              <w:bottom w:val="single" w:sz="8" w:color="auto"/>
            </w:tcBorders>
          </w:tcPr>
          <w:p>
            <w:pPr>
              <w:jc w:val="right"/>
              <w:ind w:right="761"/>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60" w:type="dxa"/>
            <w:vAlign w:val="bottom"/>
            <w:tcBorders>
              <w:bottom w:val="single" w:sz="8" w:color="auto"/>
            </w:tcBorders>
            <w:shd w:val="clear" w:color="auto" w:fill="CCEEFF"/>
          </w:tcPr>
          <w:p>
            <w:pPr>
              <w:jc w:val="right"/>
              <w:ind w:right="761"/>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130.4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89.6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40.4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_______________________</w:t>
            </w: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540" w:type="dxa"/>
            <w:vAlign w:val="bottom"/>
            <w:vMerge w:val="continue"/>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500" w:hanging="492"/>
        <w:spacing w:after="0" w:line="246" w:lineRule="auto"/>
        <w:tabs>
          <w:tab w:leader="none" w:pos="5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“Payable for securities purchased” relates to the purchase of the U.S. Treasury bill on margin. This balance was subsequently repaid on July 2, 2019, when the $100.0 million United States Treasury bill matured and the $10.5 million margin deposit that we posted as collateral was returned.</w:t>
      </w:r>
    </w:p>
    <w:p>
      <w:pPr>
        <w:ind w:left="500" w:hanging="492"/>
        <w:spacing w:after="0"/>
        <w:tabs>
          <w:tab w:leader="none" w:pos="5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Credit Facility matured on May 31, 2019.</w:t>
      </w:r>
    </w:p>
    <w:p>
      <w:pPr>
        <w:spacing w:after="0" w:line="5"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weighted-average interest rate incurred under the Credit Facility was 0.00% for the three and six months ended June 30, 2019.</w:t>
      </w:r>
    </w:p>
    <w:p>
      <w:pPr>
        <w:spacing w:after="0" w:line="5" w:lineRule="exact"/>
        <w:rPr>
          <w:rFonts w:ascii="Times New Roman" w:cs="Times New Roman" w:eastAsia="Times New Roman" w:hAnsi="Times New Roman"/>
          <w:sz w:val="16"/>
          <w:szCs w:val="16"/>
          <w:color w:val="auto"/>
        </w:rPr>
      </w:pPr>
    </w:p>
    <w:p>
      <w:pPr>
        <w:ind w:left="500" w:right="20" w:hanging="492"/>
        <w:spacing w:after="0" w:line="257" w:lineRule="auto"/>
        <w:tabs>
          <w:tab w:leader="none" w:pos="5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shown for the "Convertible Senior Notes" reflects the principal balance payable to investors for the 4.75% Convertible Senior Notes due 2023 as of June 30, 2019. Refer to “Note 10—Debt Capital Activities” to our condensed consolidated financial statements as of June 30, 2019 for more information.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jc w:val="both"/>
        <w:ind w:firstLine="351"/>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2019, we repurchased 115,801 shares of our common stock pursuant to the Share Repurchase Program. As of June 30, 2019, the dollar value of shares that remained available to be purchased under the Share Repurchase Program was approximately $4.1 million.</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On August 5, 2019, our Board of Directors authorized a $5.0 million increase in the amount of shares of our common</w:t>
      </w:r>
    </w:p>
    <w:p>
      <w:pPr>
        <w:spacing w:after="0" w:line="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stock that may be repurchased under the discretionary Share Repurchase Program until the earlier of (i) August 4, 2020 or (ii) the repurchase of $25.0 million in aggregate amount of our common stock. Under the Share Repurchase Program, we may</w:t>
      </w:r>
    </w:p>
    <w:p>
      <w:pPr>
        <w:spacing w:after="0" w:line="1" w:lineRule="exact"/>
        <w:rPr>
          <w:sz w:val="20"/>
          <w:szCs w:val="20"/>
          <w:color w:val="auto"/>
        </w:rPr>
      </w:pPr>
    </w:p>
    <w:p>
      <w:pPr>
        <w:ind w:right="1880"/>
        <w:spacing w:after="0" w:line="261" w:lineRule="auto"/>
        <w:rPr>
          <w:sz w:val="20"/>
          <w:szCs w:val="20"/>
          <w:color w:val="auto"/>
        </w:rPr>
      </w:pPr>
      <w:r>
        <w:rPr>
          <w:rFonts w:ascii="Times New Roman" w:cs="Times New Roman" w:eastAsia="Times New Roman" w:hAnsi="Times New Roman"/>
          <w:sz w:val="18"/>
          <w:szCs w:val="18"/>
          <w:color w:val="auto"/>
        </w:rPr>
        <w:t>repurchase our outstanding common stock in the open market provided that we comply with the prohibitions under our insider trading policies and procedures and the applicable provisions of the 1940 Act and the Securities Exchange Act of 1934, as amended.</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For more information on the Share Repurchase Program, see "Part II. Item 2. Unregistered Sales of Equity Securities and Use of Proceeds".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As of June 30, 2019, we had no off-balance sheet arrangements, including any risk management of commodity pricing or other hedging practices.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we may employ hedging and other risk management techniques in the future.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Pursuant to the Loan Agreement, Western Alliance Bank had agreed to provide us with the $12.0 million Credit Facility, which, among other things, matured on May 31, 2019 and bore interest at a per annum rate equal to the prime rate plus 3.50%. In addition, the Loan Agreement required payment of a fee for unused amounts during the revolving period. Refer to “Note 10—Debt Capital Activities” to our condensed consolidated financial statements as of June 30, 2019 for more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Issuances &amp; Debt Capital Activities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made no sales of our equity securities during the six months ended June 30, 2019 or the year ended December 31, 2018.</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5.25% Convertible Senior Notes due 2018 - Tender Offer, Repurchase, and Repayment</w:t>
      </w:r>
    </w:p>
    <w:p>
      <w:pPr>
        <w:spacing w:after="0" w:line="229"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On December 15, 2017, we announced the commencement of a cash tender offer (the "Tender Offer") to purchase any and all of the $69.0 million aggregate principal amount of outstanding 5.25% Convertible Senior Notes due 2018. As of the expiration of the Tender Offer on January 17, 2018, approximately $4.8 million aggregate principal amount of the 5.25% Convertible Senior Notes due 2018 representing approximately 7.0% of the outstanding 5.25% Convertible Senior Notes due 2018, were validly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118" w:right="239" w:bottom="1440" w:gutter="0" w:footer="0" w:header="0"/>
        </w:sectPr>
      </w:pPr>
    </w:p>
    <w:bookmarkStart w:id="68" w:name="page69"/>
    <w:bookmarkEnd w:id="68"/>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tendered and not validly withdrawn pursuant to the Tender Offer. On March 27, 2018, we repurchased an additional $14.2 million aggregate principal amount of the outstanding 5.25% Convertible Senior Notes due 2018.</w:t>
      </w:r>
    </w:p>
    <w:p>
      <w:pPr>
        <w:spacing w:after="0" w:line="162"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The 5.25% Convertible Senior Notes due 2018 matured on September 15, 2018 (the “Maturity Date”). Pursuant to the terms of the 5.25% Convertible Senior Notes due 2018 and the indenture related thereto, we repaid the remaining outstanding aggregate principal amount of the 5.25% Convertible Senior Notes due 2018, including accrued but unpaid interest, on the Maturity Date and the 5.25% Convertible Senior Notes were no longer outstanding as of such date. Refer to “Note 10—Debt Capital Activities” to our condensed consolidated financial statements as of June 30, 2019 for more information regarding the 5.25% Convertible Senior Notes due 2018.</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4.75% Convertible Senior Notes due 2023</w:t>
      </w:r>
    </w:p>
    <w:p>
      <w:pPr>
        <w:spacing w:after="0" w:line="229"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On March 28, 2018, we issued $40.0 million aggregate principal amount of 4.75% Convertible Senior Notes due 2023, which bear interest at a fixed rate of 4.75% per year, payable semi-annually in arrears on March 31 and September 30 of each year, commencing on September 30, 2018. We received $38.6 million in proceeds from the offering, net of underwriting discounts and commissions and other offering expenses. The 4.75% Convertible Senior Notes due 2023 mature on March 28, 2023, unless previously repurchased or converted in accordance with their terms. We do not have the right to redeem the 4.75% Convertible Senior Notes due 2023 prior to March 27, 2021.</w:t>
      </w:r>
    </w:p>
    <w:p>
      <w:pPr>
        <w:spacing w:after="0" w:line="1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the issuance of the 4.75% Convertible Senior Notes due 2023, we are required under the terms of the Credit Facility to deposit the proceeds from the 4.75% Convertible Senior Notes due 2023 offering into an account at Western Alliance Bank and are required to maintain at least $65.0 million (or such lesser amount to the extent such funds are used to repay or repurchase a portion of the outstanding 5.25% Convertible Senior Notes due 2018 prior to their maturity and repayment in full) in an account at Western Alliance Bank until such time as the 5.25% Convertible Senior Notes due 2018 are repaid in full. Refer to “Note 10—Debt Capital Activities” to our condensed consolidated financial statements as of June 30, 2019 for more information regarding the 4.75% Convertible Senior Notes due 2023.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timing and amount of our distributions, if any, will be determined by our Board of Directors and will be declared out of assets legally available for distribution. The following table lists the distributions, including dividends and returns of capital, if any, per share that we have declared since our formation through June 30, 2019. The table is divided by fiscal year according to record date: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22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2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Amount per Share</w:t>
            </w:r>
          </w:p>
        </w:tc>
      </w:tr>
      <w:tr>
        <w:trPr>
          <w:trHeight w:val="249"/>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Fiscal Year 2015:</w:t>
            </w: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473"/>
        </w:trPr>
        <w:tc>
          <w:tcPr>
            <w:tcW w:w="58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November 4, 2015</w:t>
            </w:r>
            <w:r>
              <w:rPr>
                <w:rFonts w:ascii="Times New Roman" w:cs="Times New Roman" w:eastAsia="Times New Roman" w:hAnsi="Times New Roman"/>
                <w:sz w:val="21"/>
                <w:szCs w:val="21"/>
                <w:color w:val="auto"/>
                <w:vertAlign w:val="superscript"/>
              </w:rPr>
              <w:t>(1)</w:t>
            </w:r>
          </w:p>
        </w:tc>
        <w:tc>
          <w:tcPr>
            <w:tcW w:w="2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November 16, 2015</w:t>
            </w:r>
          </w:p>
        </w:tc>
        <w:tc>
          <w:tcPr>
            <w:tcW w:w="2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December 31, 2015</w:t>
            </w:r>
          </w:p>
        </w:tc>
        <w:tc>
          <w:tcPr>
            <w:tcW w:w="68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Fiscal Year 2016:</w:t>
            </w: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473"/>
        </w:trPr>
        <w:tc>
          <w:tcPr>
            <w:tcW w:w="584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August 3, 2016</w:t>
            </w:r>
            <w:r>
              <w:rPr>
                <w:rFonts w:ascii="Times New Roman" w:cs="Times New Roman" w:eastAsia="Times New Roman" w:hAnsi="Times New Roman"/>
                <w:sz w:val="21"/>
                <w:szCs w:val="21"/>
                <w:color w:val="auto"/>
                <w:vertAlign w:val="superscript"/>
              </w:rPr>
              <w:t>(2)</w:t>
            </w:r>
          </w:p>
        </w:tc>
        <w:tc>
          <w:tcPr>
            <w:tcW w:w="218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August 16, 2016</w:t>
            </w:r>
          </w:p>
        </w:tc>
        <w:tc>
          <w:tcPr>
            <w:tcW w:w="204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August 24, 2016</w:t>
            </w:r>
          </w:p>
        </w:tc>
        <w:tc>
          <w:tcPr>
            <w:tcW w:w="6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0.04</w:t>
            </w:r>
          </w:p>
        </w:tc>
      </w:tr>
      <w:tr>
        <w:trPr>
          <w:trHeight w:val="244"/>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r>
      <w:tr>
        <w:trPr>
          <w:trHeight w:val="20"/>
        </w:trPr>
        <w:tc>
          <w:tcPr>
            <w:tcW w:w="5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6"/>
          <w:szCs w:val="16"/>
          <w:color w:val="auto"/>
        </w:rPr>
        <w:t>___________________________</w:t>
      </w:r>
    </w:p>
    <w:p>
      <w:pPr>
        <w:spacing w:after="0" w:line="9" w:lineRule="exact"/>
        <w:rPr>
          <w:sz w:val="20"/>
          <w:szCs w:val="20"/>
          <w:color w:val="auto"/>
        </w:rPr>
      </w:pPr>
    </w:p>
    <w:p>
      <w:pPr>
        <w:jc w:val="both"/>
        <w:ind w:left="840" w:hanging="836"/>
        <w:spacing w:after="0" w:line="246" w:lineRule="auto"/>
        <w:rPr>
          <w:sz w:val="20"/>
          <w:szCs w:val="20"/>
          <w:color w:val="auto"/>
        </w:rPr>
      </w:pPr>
      <w:r>
        <w:rPr>
          <w:rFonts w:ascii="Times New Roman" w:cs="Times New Roman" w:eastAsia="Times New Roman" w:hAnsi="Times New Roman"/>
          <w:sz w:val="16"/>
          <w:szCs w:val="16"/>
          <w:color w:val="auto"/>
        </w:rPr>
        <w:t>(1)The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approximately 2,860,903 shares of common stock issued in lieu of cash, or approximately 14.8% of our outstanding shares prior to the distribution, as well as cash of $26,358,885. The number of shares of common stock comprising the stock portion was calculated based on a price of $9.425 per share, which equaled the average of the volume weighted-average trading price per share of our common stock on December 28, 29 and 30, 2015. None of the $2.76 per share distribution represented a return of capital.</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(2)Of the total distribution of $887,240 on August 24, 2016, $820,753 represented a distribution from realized gains and $66,487 represented a return of capital.</w:t>
      </w:r>
    </w:p>
    <w:p>
      <w:pPr>
        <w:spacing w:after="0" w:line="199"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We intend to focus on making capital gains-based investments from which we will derive primarily capital gains. As a consequence, we do not anticipate that we will pay distributions on a quarterly basis or become a predictable distributor of distributions, and we expect that our distributions, if any, will be much less consistent than the distributions of other BDCs that primarily make debt investments. If there are earnings or realized capital gains to be distributed, we intend to declare and pay a distribution at least annually. The amount of realized capital gains available for distribution to stockholders will be impacted by our treatment as a RIC.</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118" w:right="239" w:bottom="1440" w:gutter="0" w:footer="0" w:header="0"/>
        </w:sectPr>
      </w:pPr>
    </w:p>
    <w:bookmarkStart w:id="69" w:name="page70"/>
    <w:bookmarkEnd w:id="69"/>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351"/>
        <w:spacing w:after="0" w:line="254" w:lineRule="auto"/>
        <w:rPr>
          <w:sz w:val="20"/>
          <w:szCs w:val="20"/>
          <w:color w:val="auto"/>
        </w:rPr>
      </w:pPr>
      <w:r>
        <w:rPr>
          <w:rFonts w:ascii="Times New Roman" w:cs="Times New Roman" w:eastAsia="Times New Roman" w:hAnsi="Times New Roman"/>
          <w:sz w:val="18"/>
          <w:szCs w:val="18"/>
          <w:color w:val="auto"/>
        </w:rPr>
        <w:t>Our current intention is to make any future distributions out of assets legally available in the form of additional shares of our common stock under our dividend reinvestment plan, unless a stockholder elects to receive dividends and/or long-term capital gains distributions in cash. Under the dividend reinvestment plan, if a stockholder owns shares of common stock registered in its own name, the stockholder will have all cash distributions (net of any withholding) automatically reinvested in additional shares of common stock unless the stockholder opts out of our dividend reinvestment plan by delivering a written notice to our dividend paying agent prior to the record date of the next dividend or distribution. Any distributions reinvested under the plan will nevertheless remain taxable to the U.S. stockholder, although no cash distribution has been made. As a result, if a stockholder does not elect to opt out of the dividend reinvestment plan, it will be required to pay applicable federal, state and local taxes on any reinvested dividends even though such stockholder will not receive a corresponding cash distribution. Stockholders who hold shares in the name of a broker or financial intermediary should contact the broker or financial intermediary regarding any election to receive distributions in cash.</w:t>
      </w:r>
    </w:p>
    <w:p>
      <w:pPr>
        <w:spacing w:after="0" w:line="189" w:lineRule="exact"/>
        <w:rPr>
          <w:sz w:val="20"/>
          <w:szCs w:val="20"/>
          <w:color w:val="auto"/>
        </w:rPr>
      </w:pPr>
    </w:p>
    <w:p>
      <w:pPr>
        <w:jc w:val="both"/>
        <w:ind w:firstLine="351"/>
        <w:spacing w:after="0" w:line="255" w:lineRule="auto"/>
        <w:rPr>
          <w:sz w:val="20"/>
          <w:szCs w:val="20"/>
          <w:color w:val="auto"/>
        </w:rPr>
      </w:pPr>
      <w:r>
        <w:rPr>
          <w:rFonts w:ascii="Times New Roman" w:cs="Times New Roman" w:eastAsia="Times New Roman" w:hAnsi="Times New Roman"/>
          <w:sz w:val="18"/>
          <w:szCs w:val="18"/>
          <w:color w:val="auto"/>
        </w:rPr>
        <w:t>We elected to be treated as a RIC under Subchapter M of the Code beginning with our taxable year ended December 31, 2014 and continue to qualify to be treated as a RIC. So long as we qualify and maintain our tax treatment as a RIC, we generally will not pay corporate-level U.S. federal and state income taxes on any ordinary income or capital gains that we distribute at least annually to our stockholders as dividends. Rather, any tax liability related to income earned by the RIC will represent obligations of our investors and will not be reflected in our condensed consolidated financial statements. In order to qualify as a RIC and to avoid corporate-level income tax on the income we distribute to our stockholders, we are required, under Subchapter M of the Code, to distribute at least 90% of our ordinary income and short-term capital gains to our stockholders on an annual basis. See “Note 2—Significant Accounting Policies—</w:t>
      </w:r>
      <w:r>
        <w:rPr>
          <w:rFonts w:ascii="Times New Roman" w:cs="Times New Roman" w:eastAsia="Times New Roman" w:hAnsi="Times New Roman"/>
          <w:sz w:val="18"/>
          <w:szCs w:val="18"/>
          <w:i w:val="1"/>
          <w:iCs w:val="1"/>
          <w:color w:val="auto"/>
        </w:rPr>
        <w:t>U.S. Federal and State Income Taxes</w:t>
      </w:r>
      <w:r>
        <w:rPr>
          <w:rFonts w:ascii="Times New Roman" w:cs="Times New Roman" w:eastAsia="Times New Roman" w:hAnsi="Times New Roman"/>
          <w:sz w:val="18"/>
          <w:szCs w:val="18"/>
          <w:color w:val="auto"/>
        </w:rPr>
        <w:t>” and “Note 9—Income Taxes” to our condensed consolidated financial statements as of June 30, 2019 for more information.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firstLine="351"/>
        <w:spacing w:after="0" w:line="255" w:lineRule="auto"/>
        <w:rPr>
          <w:sz w:val="20"/>
          <w:szCs w:val="20"/>
          <w:color w:val="auto"/>
        </w:rPr>
      </w:pPr>
      <w:r>
        <w:rPr>
          <w:rFonts w:ascii="Times New Roman" w:cs="Times New Roman" w:eastAsia="Times New Roman" w:hAnsi="Times New Roman"/>
          <w:sz w:val="18"/>
          <w:szCs w:val="18"/>
          <w:color w:val="auto"/>
        </w:rPr>
        <w:t>Critical accounting policies and practices are the policies that are both most important to the portrayal of our financial condition and results, and require management’s most difficult, subjective, or complex judgments, often as a result of the need to make estimates about the effects of matters that are inherently uncertain. These include estimates of the fair value of our Level 3 investments and other estimates that affect the reported amounts of assets and liabilities as of the date of the consolidated financial statements and the reported amounts of certain revenues and expenses during the reporting period. It is likely that changes in these estimates will occur in the near term. Our estimates are inherently subjective in nature and actual results could differ materially from such estimates. See “Note 2—Significant Accounting Policies” to our condensed consolidated financial statements as of June 30, 2019 for further detail regarding our critical accounting policies and recently issued or adopted accounting pronouncements.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Related-Party Transactions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See “Note 3—Related-Party Arrangements” to our condensed consolidated financial statements as of June 30, 2019 for more information.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118" w:right="239" w:bottom="1440" w:gutter="0" w:footer="0" w:header="0"/>
        </w:sectPr>
      </w:pPr>
    </w:p>
    <w:bookmarkStart w:id="70" w:name="page71"/>
    <w:bookmarkEnd w:id="70"/>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29"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Our equity investments are primarily in growth companies that in many cases have short operating histories and are generally illiquid. In addition to the risk that these companies may fail to achieve their objectives, the price we may receive for these companies in private transactions may be significantly impacted by periods of disruption and instability in the capital markets. While these periods of disruption generally have little actual impact on the operating results of our equity investments, these events may significantly impact the prices that market participants will pay for our equity investments in private transactions. This may have a significant impact on the valuation of our equity investments.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We are subject to financial market risks, which could include, to the extent we utilize leverage with variable rate structures, changes in interest rates. As we invest primarily in equity rather than debt instruments, we would not expect fluctuations in interest rates to directly impact the return on our portfolio investments, although any significant change in market interest rates could potentially have an adverse effect on the business, financial condition and results of operations of the portfolio companies in which we invest.</w:t>
      </w:r>
    </w:p>
    <w:p>
      <w:pPr>
        <w:spacing w:after="0" w:line="180" w:lineRule="exact"/>
        <w:rPr>
          <w:sz w:val="20"/>
          <w:szCs w:val="20"/>
          <w:color w:val="auto"/>
        </w:rPr>
      </w:pPr>
    </w:p>
    <w:p>
      <w:pPr>
        <w:jc w:val="both"/>
        <w:ind w:firstLine="351"/>
        <w:spacing w:after="0" w:line="255" w:lineRule="auto"/>
        <w:rPr>
          <w:sz w:val="20"/>
          <w:szCs w:val="20"/>
          <w:color w:val="auto"/>
        </w:rPr>
      </w:pPr>
      <w:r>
        <w:rPr>
          <w:rFonts w:ascii="Times New Roman" w:cs="Times New Roman" w:eastAsia="Times New Roman" w:hAnsi="Times New Roman"/>
          <w:sz w:val="18"/>
          <w:szCs w:val="18"/>
          <w:color w:val="auto"/>
        </w:rPr>
        <w:t>As of June 30, 2019, all of our debt investments and outstanding borrowings bore fixed rates of interest. The Credit Facility, however, is indexed to the prime rate. We do not expect a significant impact on our net investment income or loss due to changes in the prime rate; however, the table below indicates the impact on our net investment income or loss should the prime rate change. Based on our June 30, 2019 Condensed Consolidated Statement of Assets and Liabilities, the following table shows the various, incremental impact of changes in interest rates on our net income or loss related to the Credit Facility for the six months ended June 30, 2019, assuming no changes in our investment income and borrowing structure. Although we believe that this measure is indicative of our sensitivity to the below-referenced interest rate changes, it does not reflect potential changes in credit quality, size and composition of the assets on our statement of assets and liabilities and other BDCs that could affect net increase or decrease in net assets resulting from operations, or net income or loss.</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Basis Point Change</w:t>
            </w:r>
            <w:r>
              <w:rPr>
                <w:rFonts w:ascii="Times New Roman" w:cs="Times New Roman" w:eastAsia="Times New Roman" w:hAnsi="Times New Roman"/>
                <w:sz w:val="8"/>
                <w:szCs w:val="8"/>
                <w:b w:val="1"/>
                <w:bCs w:val="1"/>
                <w:color w:val="auto"/>
              </w:rPr>
              <w:t>(1)</w:t>
            </w:r>
          </w:p>
        </w:tc>
        <w:tc>
          <w:tcPr>
            <w:tcW w:w="120" w:type="dxa"/>
            <w:vAlign w:val="bottom"/>
            <w:vMerge w:val="restart"/>
          </w:tcPr>
          <w:p>
            <w:pPr>
              <w:spacing w:after="0"/>
              <w:rPr>
                <w:sz w:val="13"/>
                <w:szCs w:val="13"/>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00" w:type="dxa"/>
            <w:vAlign w:val="bottom"/>
          </w:tcPr>
          <w:p>
            <w:pPr>
              <w:spacing w:after="0"/>
              <w:rPr>
                <w:sz w:val="13"/>
                <w:szCs w:val="13"/>
                <w:color w:val="auto"/>
              </w:rPr>
            </w:pPr>
          </w:p>
        </w:tc>
        <w:tc>
          <w:tcPr>
            <w:tcW w:w="1260" w:type="dxa"/>
            <w:vAlign w:val="bottom"/>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6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0" w:type="dxa"/>
            <w:vAlign w:val="bottom"/>
          </w:tcPr>
          <w:p>
            <w:pPr>
              <w:spacing w:after="0"/>
              <w:rPr>
                <w:sz w:val="1"/>
                <w:szCs w:val="1"/>
                <w:color w:val="auto"/>
              </w:rPr>
            </w:pPr>
          </w:p>
        </w:tc>
      </w:tr>
      <w:tr>
        <w:trPr>
          <w:trHeight w:val="235"/>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Up 300 Basis points</w:t>
            </w:r>
          </w:p>
        </w:tc>
        <w:tc>
          <w:tcPr>
            <w:tcW w:w="1100" w:type="dxa"/>
            <w:vAlign w:val="bottom"/>
            <w:tcBorders>
              <w:bottom w:val="single" w:sz="8" w:color="CCEEFF"/>
            </w:tcBorders>
            <w:shd w:val="clear" w:color="auto" w:fill="CCEEFF"/>
          </w:tcPr>
          <w:p>
            <w:pPr>
              <w:jc w:val="right"/>
              <w:ind w:right="92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180,000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(180,000)</w:t>
            </w: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Up 200 Basis points</w:t>
            </w:r>
          </w:p>
        </w:tc>
        <w:tc>
          <w:tcPr>
            <w:tcW w:w="1100" w:type="dxa"/>
            <w:vAlign w:val="bottom"/>
          </w:tcPr>
          <w:p>
            <w:pPr>
              <w:jc w:val="right"/>
              <w:ind w:right="92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120,000</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(120,000)</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Up 100 Basis points</w:t>
            </w:r>
          </w:p>
        </w:tc>
        <w:tc>
          <w:tcPr>
            <w:tcW w:w="1100" w:type="dxa"/>
            <w:vAlign w:val="bottom"/>
            <w:tcBorders>
              <w:bottom w:val="single" w:sz="8" w:color="CCEEFF"/>
            </w:tcBorders>
            <w:shd w:val="clear" w:color="auto" w:fill="CCEEFF"/>
          </w:tcPr>
          <w:p>
            <w:pPr>
              <w:jc w:val="right"/>
              <w:ind w:right="92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Down 100 Basis points</w:t>
            </w:r>
          </w:p>
        </w:tc>
        <w:tc>
          <w:tcPr>
            <w:tcW w:w="1100" w:type="dxa"/>
            <w:vAlign w:val="bottom"/>
          </w:tcPr>
          <w:p>
            <w:pPr>
              <w:jc w:val="right"/>
              <w:ind w:right="92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60,000</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Down 200 Basis points</w:t>
            </w:r>
          </w:p>
        </w:tc>
        <w:tc>
          <w:tcPr>
            <w:tcW w:w="1100" w:type="dxa"/>
            <w:vAlign w:val="bottom"/>
            <w:tcBorders>
              <w:bottom w:val="single" w:sz="8" w:color="CCEEFF"/>
            </w:tcBorders>
            <w:shd w:val="clear" w:color="auto" w:fill="CCEEFF"/>
          </w:tcPr>
          <w:p>
            <w:pPr>
              <w:jc w:val="right"/>
              <w:ind w:right="92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120,000</w:t>
            </w: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Down 300 Basis points</w:t>
            </w:r>
          </w:p>
        </w:tc>
        <w:tc>
          <w:tcPr>
            <w:tcW w:w="1100" w:type="dxa"/>
            <w:vAlign w:val="bottom"/>
          </w:tcPr>
          <w:p>
            <w:pPr>
              <w:jc w:val="right"/>
              <w:ind w:right="92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(180,000)</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180,000</w:t>
            </w:r>
          </w:p>
        </w:tc>
        <w:tc>
          <w:tcPr>
            <w:tcW w:w="0" w:type="dxa"/>
            <w:vAlign w:val="bottom"/>
          </w:tcPr>
          <w:p>
            <w:pPr>
              <w:spacing w:after="0"/>
              <w:rPr>
                <w:sz w:val="1"/>
                <w:szCs w:val="1"/>
                <w:color w:val="auto"/>
              </w:rPr>
            </w:pPr>
          </w:p>
        </w:tc>
      </w:tr>
      <w:tr>
        <w:trPr>
          <w:trHeight w:val="212"/>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_______________________</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jc w:val="both"/>
        <w:ind w:left="500" w:hanging="492"/>
        <w:spacing w:after="0" w:line="252" w:lineRule="auto"/>
        <w:tabs>
          <w:tab w:leader="none" w:pos="5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we have borrowed $12.0 million under the Credit Facility for the six months ended June 30, 2019. Our actual borrowings under the Credit Facility will vary based on our needs throughout the year. For the six months ended June 30, 2019, our actual average borrowings under the Credit Facility were $0. The Credit Facility matured on May 31, 2019.</w:t>
      </w:r>
    </w:p>
    <w:p>
      <w:pPr>
        <w:spacing w:after="0" w:line="155" w:lineRule="exact"/>
        <w:rPr>
          <w:sz w:val="20"/>
          <w:szCs w:val="20"/>
          <w:color w:val="auto"/>
        </w:rPr>
      </w:pPr>
    </w:p>
    <w:p>
      <w:pPr>
        <w:jc w:val="both"/>
        <w:ind w:right="20" w:firstLine="351"/>
        <w:spacing w:after="0" w:line="266" w:lineRule="auto"/>
        <w:rPr>
          <w:sz w:val="20"/>
          <w:szCs w:val="20"/>
          <w:color w:val="auto"/>
        </w:rPr>
      </w:pPr>
      <w:r>
        <w:rPr>
          <w:rFonts w:ascii="Times New Roman" w:cs="Times New Roman" w:eastAsia="Times New Roman" w:hAnsi="Times New Roman"/>
          <w:sz w:val="18"/>
          <w:szCs w:val="18"/>
          <w:color w:val="auto"/>
        </w:rPr>
        <w:t>Although we believe that this measure is indicative of our sensitivity to the above-referenced interest rate changes, it does not reflect potential changes in credit quality, size and composition of the assets on our statement of assets and liabilities and other BDC’s that could affect net increase or decrease in net assets resulting from operations, or net income or loss.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118" w:right="239" w:bottom="1440" w:gutter="0" w:footer="0" w:header="0"/>
        </w:sectPr>
      </w:pPr>
    </w:p>
    <w:bookmarkStart w:id="71" w:name="page72"/>
    <w:bookmarkEnd w:id="71"/>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351"/>
        <w:spacing w:after="0" w:line="254" w:lineRule="auto"/>
        <w:rPr>
          <w:sz w:val="20"/>
          <w:szCs w:val="20"/>
          <w:color w:val="auto"/>
        </w:rPr>
      </w:pPr>
      <w:r>
        <w:rPr>
          <w:rFonts w:ascii="Times New Roman" w:cs="Times New Roman" w:eastAsia="Times New Roman" w:hAnsi="Times New Roman"/>
          <w:sz w:val="18"/>
          <w:szCs w:val="18"/>
          <w:color w:val="auto"/>
        </w:rPr>
        <w:t>As of June 30, 2019, our management, including our Chief Executive Officer and Chief Financial Officer, evaluated the effectiveness of the design and operation of our disclosure controls and procedures (as defined in Rules 13a-15(e) and 15d-15(e) under the Exchange Act). Based on that evaluation,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by the SEC and that such information is accumulated and communicated to our management, including our Chief Executive Officer and Chief Financial Officer, as appropriate, to allow for timely decisions regarding required disclosure. However, in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such possible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and 15d-15(f) under the Exchange Act) that occurred during the fiscal quarter ended June 30, 2019 that have materially affected, or are reasonably likely to materially affect, our internal control over financial reporting.</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118" w:right="239" w:bottom="1440" w:gutter="0" w:footer="0" w:header="0"/>
        </w:sectPr>
      </w:pPr>
    </w:p>
    <w:bookmarkStart w:id="72" w:name="page73"/>
    <w:bookmarkEnd w:id="72"/>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5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jc w:val="both"/>
        <w:ind w:firstLine="351"/>
        <w:spacing w:after="0" w:line="282" w:lineRule="auto"/>
        <w:rPr>
          <w:sz w:val="20"/>
          <w:szCs w:val="20"/>
          <w:color w:val="auto"/>
        </w:rPr>
      </w:pPr>
      <w:r>
        <w:rPr>
          <w:rFonts w:ascii="Times New Roman" w:cs="Times New Roman" w:eastAsia="Times New Roman" w:hAnsi="Times New Roman"/>
          <w:sz w:val="18"/>
          <w:szCs w:val="18"/>
          <w:color w:val="auto"/>
        </w:rPr>
        <w:t>Although we and our subsidiaries may, from time to time, be involved in litigation arising out of our and our subsidiaries’ operations in the normal course of business or otherwise, neither we nor any of our subsidiaries are currently a party to any pending material legal proceedings.</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Investing in our securities involves a number of significant risks. In addition to the other information contained in this report, you should carefully consider the factors discussed in our annual report on Form 10-K for the fiscal year ended December 31, 2018, filed with the SEC on April 18, 2019, which could materially affect our business, financial condition and/or operating results. Although the risks described below and in our annual report on Form 10-K for the fiscal year ended December 31, 2018 represent the principal risks associated with an investment in us, they are not the only risks we face. Additional risks and uncertainties not currently known to us, or that we currently deem to be immaterial, might materially and adversely affect our business, financial condition and/or operating results. Other than as described below, during the six months ended June 30, 2019, there have been no material changes to the risk factors discussed in "Item 1A. Risk Factors" of Part I of our annual report on Form 10-K for the fiscal year ended December 31, 2018.</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internalized our operating structure, including our management and investment functions; as a result, we may incur significant costs and face significant risks associated with being self-managed, including adverse effects on our business and financial condition.</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12, 2019, our Board of Directors approved internalizing our operating structure, including our management and investment functions. There can be no assurances that internalizing our operating structure will be beneficial to us and our stockholders, as we may incur the costs and risks discussed below and may not be able to effectively replicate the services previously provided to us by our former investment adviser, GSV Asset Management, and our former administrator, GSV Capital Service Company.</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While we will no longer bear the costs of the various fees and expenses we previously paid to GSV Asset Management under the Investment Advisory Agreement, our direct expenses will generally include general and administrative costs, including legal, accounting, and other expenses related to corporate governance, SEC reporting and compliance, as well as costs and expenses related to making and managing our investments. We will also now incur the compensation and benefits costs of our officers and other employees and consultants, and we may issue equity awards to our officers, employees and consultants, which awards may decrease net income and funds from our operations and may dilute our stockholders. We may also be subject to potential liabilities commonly faced by employers, such as workers disability and compensation claims, potential labor disputes and other employee-related liabilities and grievances.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if the expenses we assume as a result of our internalization are higher than the expenses we would have paid to GSV Asset Management and/or reimbursed to GSV Capital Service Company, our earnings per share may be lower as a result of our internalization than they otherwise would have been, potentially decreasing the amount of funds available to distribute to our stockholders and the value of our shares.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Further, in connection with internalizing our operating structure, we may experience difficulty integrating these functions as a stand-alone entity, and we could have difficulty retaining our personnel, including those performing management, investment and general and administrative functions. These personnel have a great deal of know-how and experience. We may also fail to properly identify the appropriate mix of personnel and capital needs to operate successfully as a stand-alone entity. An inability to effectively manage our internalization could result in our incurring excess costs and operating inefficiencies, and may divert our management’s attention from managing our investments.</w:t>
      </w:r>
    </w:p>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Internalization transactions have also, in some cases, been the subject of litigation. Even if these claims are without merit, we could be forced to spend significant amounts of time and money defending claims, which would reduce the amount of funds available for us to make investments and to pay distributions, and may divert our management’s attention from managing our investments.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118" w:right="239" w:bottom="1440" w:gutter="0" w:footer="0" w:header="0"/>
        </w:sectPr>
      </w:pPr>
    </w:p>
    <w:bookmarkStart w:id="73" w:name="page74"/>
    <w:bookmarkEnd w:id="73"/>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All of these factors could have a material adverse effect on our results of operations, financial condition, and ability to pay distributions.</w:t>
      </w:r>
    </w:p>
    <w:p>
      <w:pPr>
        <w:spacing w:after="0" w:line="200" w:lineRule="exact"/>
        <w:rPr>
          <w:sz w:val="20"/>
          <w:szCs w:val="20"/>
          <w:color w:val="auto"/>
        </w:rPr>
      </w:pPr>
    </w:p>
    <w:p>
      <w:pPr>
        <w:spacing w:after="0" w:line="2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219"/>
          </w:cols>
          <w:pgMar w:left="240" w:top="118" w:right="1440" w:bottom="1440" w:gutter="0" w:footer="0" w:header="0"/>
        </w:sectPr>
      </w:pPr>
    </w:p>
    <w:bookmarkStart w:id="74" w:name="page75"/>
    <w:bookmarkEnd w:id="74"/>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Unregistered Equity Securities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did not sell any equity securities during the period covered in this report that were not registered under the Securities Act of 1933, as amended.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r>
        <w:rPr>
          <w:rFonts w:ascii="Times New Roman" w:cs="Times New Roman" w:eastAsia="Times New Roman" w:hAnsi="Times New Roman"/>
          <w:sz w:val="25"/>
          <w:szCs w:val="25"/>
          <w:b w:val="1"/>
          <w:bCs w:val="1"/>
          <w:color w:val="auto"/>
          <w:vertAlign w:val="superscript"/>
        </w:rPr>
        <w:t>(1)</w:t>
      </w:r>
    </w:p>
    <w:p>
      <w:pPr>
        <w:spacing w:after="0" w:line="1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Information relating to the Company’s purchases of its common stock during the six months ended June 30, 2019 is as follows: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40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3"/>
            <w:vMerge w:val="continue"/>
          </w:tcPr>
          <w:p>
            <w:pPr>
              <w:spacing w:after="0"/>
              <w:rPr>
                <w:sz w:val="12"/>
                <w:szCs w:val="12"/>
                <w:color w:val="auto"/>
              </w:rPr>
            </w:pPr>
          </w:p>
        </w:tc>
        <w:tc>
          <w:tcPr>
            <w:tcW w:w="140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40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88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140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88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40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Under the Share</w:t>
            </w: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vMerge w:val="restart"/>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88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140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Repurchase</w:t>
            </w:r>
          </w:p>
        </w:tc>
        <w:tc>
          <w:tcPr>
            <w:tcW w:w="0" w:type="dxa"/>
            <w:vAlign w:val="bottom"/>
          </w:tcPr>
          <w:p>
            <w:pPr>
              <w:spacing w:after="0"/>
              <w:rPr>
                <w:sz w:val="1"/>
                <w:szCs w:val="1"/>
                <w:color w:val="auto"/>
              </w:rPr>
            </w:pPr>
          </w:p>
        </w:tc>
      </w:tr>
      <w:tr>
        <w:trPr>
          <w:trHeight w:val="195"/>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r>
              <w:rPr>
                <w:rFonts w:ascii="Times New Roman" w:cs="Times New Roman" w:eastAsia="Times New Roman" w:hAnsi="Times New Roman"/>
                <w:sz w:val="8"/>
                <w:szCs w:val="8"/>
                <w:b w:val="1"/>
                <w:bCs w:val="1"/>
                <w:color w:val="auto"/>
              </w:rPr>
              <w:t>(2)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Program</w:t>
            </w:r>
            <w:r>
              <w:rPr>
                <w:rFonts w:ascii="Times New Roman" w:cs="Times New Roman" w:eastAsia="Times New Roman" w:hAnsi="Times New Roman"/>
                <w:sz w:val="8"/>
                <w:szCs w:val="8"/>
                <w:b w:val="1"/>
                <w:bCs w:val="1"/>
                <w:color w:val="auto"/>
              </w:rPr>
              <w:t>(4)</w:t>
            </w:r>
          </w:p>
        </w:tc>
        <w:tc>
          <w:tcPr>
            <w:tcW w:w="0" w:type="dxa"/>
            <w:vAlign w:val="bottom"/>
          </w:tcPr>
          <w:p>
            <w:pPr>
              <w:spacing w:after="0"/>
              <w:rPr>
                <w:sz w:val="1"/>
                <w:szCs w:val="1"/>
                <w:color w:val="auto"/>
              </w:rPr>
            </w:pPr>
          </w:p>
        </w:tc>
      </w:tr>
      <w:tr>
        <w:trPr>
          <w:trHeight w:val="249"/>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January 1 through January 31, 2019</w:t>
            </w:r>
          </w:p>
        </w:tc>
        <w:tc>
          <w:tcPr>
            <w:tcW w:w="16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gridSpan w:val="3"/>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4,789,673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February 1 through February 28, 2019</w:t>
            </w:r>
          </w:p>
        </w:tc>
        <w:tc>
          <w:tcPr>
            <w:tcW w:w="16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4,789,673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March 1 through March 31, 2019</w:t>
            </w:r>
          </w:p>
        </w:tc>
        <w:tc>
          <w:tcPr>
            <w:tcW w:w="16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4,789,673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April 1 through April 30, 2019</w:t>
            </w:r>
          </w:p>
        </w:tc>
        <w:tc>
          <w:tcPr>
            <w:tcW w:w="16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4,789,673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May 1 through May 31, 2019</w:t>
            </w:r>
          </w:p>
        </w:tc>
        <w:tc>
          <w:tcPr>
            <w:tcW w:w="16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90,696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90,696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4,211,341</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tcPr>
          <w:p>
            <w:pPr>
              <w:ind w:left="40"/>
              <w:spacing w:after="0" w:line="270" w:lineRule="exact"/>
              <w:rPr>
                <w:sz w:val="20"/>
                <w:szCs w:val="20"/>
                <w:color w:val="auto"/>
              </w:rPr>
            </w:pPr>
            <w:r>
              <w:rPr>
                <w:rFonts w:ascii="Times New Roman" w:cs="Times New Roman" w:eastAsia="Times New Roman" w:hAnsi="Times New Roman"/>
                <w:sz w:val="18"/>
                <w:szCs w:val="18"/>
                <w:color w:val="auto"/>
              </w:rPr>
              <w:t>June 1 through June 30, 2019</w:t>
            </w:r>
            <w:r>
              <w:rPr>
                <w:rFonts w:ascii="Times New Roman" w:cs="Times New Roman" w:eastAsia="Times New Roman" w:hAnsi="Times New Roman"/>
                <w:sz w:val="25"/>
                <w:szCs w:val="25"/>
                <w:color w:val="auto"/>
                <w:vertAlign w:val="superscript"/>
              </w:rPr>
              <w:t>(3)</w:t>
            </w:r>
          </w:p>
        </w:tc>
        <w:tc>
          <w:tcPr>
            <w:tcW w:w="16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60,105</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CCEEFF"/>
            </w:tcBorders>
          </w:tcPr>
          <w:p>
            <w:pPr>
              <w:spacing w:after="0"/>
              <w:rPr>
                <w:sz w:val="23"/>
                <w:szCs w:val="23"/>
                <w:color w:val="auto"/>
              </w:rPr>
            </w:pPr>
          </w:p>
        </w:tc>
        <w:tc>
          <w:tcPr>
            <w:tcW w:w="1300" w:type="dxa"/>
            <w:vAlign w:val="bottom"/>
            <w:tcBorders>
              <w:bottom w:val="single" w:sz="8" w:color="CCEEFF"/>
            </w:tcBorders>
          </w:tcPr>
          <w:p>
            <w:pPr>
              <w:jc w:val="right"/>
              <w:ind w:right="36"/>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Borders>
              <w:bottom w:val="single" w:sz="8" w:color="CCEEFF"/>
            </w:tcBorders>
          </w:tcPr>
          <w:p>
            <w:pPr>
              <w:spacing w:after="0"/>
              <w:rPr>
                <w:sz w:val="23"/>
                <w:szCs w:val="23"/>
                <w:color w:val="auto"/>
              </w:rPr>
            </w:pPr>
          </w:p>
        </w:tc>
        <w:tc>
          <w:tcPr>
            <w:tcW w:w="15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25,105</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1400" w:type="dxa"/>
            <w:vAlign w:val="bottom"/>
            <w:tcBorders>
              <w:bottom w:val="single" w:sz="8" w:color="CCEEFF"/>
            </w:tcBorders>
          </w:tcPr>
          <w:p>
            <w:pPr>
              <w:jc w:val="right"/>
              <w:ind w:right="20"/>
              <w:spacing w:after="0"/>
              <w:rPr>
                <w:sz w:val="20"/>
                <w:szCs w:val="20"/>
                <w:color w:val="auto"/>
              </w:rPr>
            </w:pPr>
            <w:r>
              <w:rPr>
                <w:rFonts w:ascii="Times New Roman" w:cs="Times New Roman" w:eastAsia="Times New Roman" w:hAnsi="Times New Roman"/>
                <w:sz w:val="18"/>
                <w:szCs w:val="18"/>
                <w:color w:val="auto"/>
              </w:rPr>
              <w:t>4,052,555</w:t>
            </w: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150,801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115,801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During the six months ended June 30, 2019, we repurchased 115,801 shares of our common stock pursuant to the Share Repurchase Program.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23" w:lineRule="exact"/>
        <w:rPr>
          <w:sz w:val="20"/>
          <w:szCs w:val="20"/>
          <w:color w:val="auto"/>
        </w:rPr>
      </w:pPr>
    </w:p>
    <w:p>
      <w:pPr>
        <w:jc w:val="both"/>
        <w:ind w:left="500" w:hanging="492"/>
        <w:spacing w:after="0" w:line="247" w:lineRule="auto"/>
        <w:tabs>
          <w:tab w:leader="none" w:pos="5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August 8, 2017, we announced the $5.0 million discretionary open-market Share Repurchase Program under which our Board of Directors authorized the repurchase of shares of our common stock in the open market until the earlier of (i) August 6, 2018 or (ii) the repurchase of $5.0 million in aggregate amount of our common stock. On November 7, 2017, our Board of Directors authorized an extension of, and an increase in the amount of shares of our common stock that may be repurchased under, the discretionary Share Repurchase Program until the earlier of (i) November 6, 2018 or (ii) the repurchase of $10.0 million in aggregate amount of our common stock. On May 3, 2018, the Company’s Board of Directors authorized an additional $5.0 million increase in the amount of shares of our common stock that may be repurchased under the discretionary Share Repurchase Program until the earlier of (i) November 6, 2018 or (ii) the repurchase of $15.0 million in aggregate amount of our common stock. On November 1, 2018, the Company’s Board of Directors authorized a $5.0 million increase in the amount of shares of the Company’s common stock that may be repurchased under the discretionary Share Repurchase Program until the earlier of (i) October 31, 2019 or (ii) the repurchase of $20.0 million in aggregate amount of the Company’s common stock. The timing and number of shares to be repurchased will depend on a number of factors, including market conditions and alternative investment opportunities. The Share Repurchase Program may be suspended, terminated or modified at any time for any reason and does not obligate us to acquire any specific number of shares of our common stock. During the three and six months ended June 30, 2019, the Company repurchased 115,801 and 115,801, respectively, of shares of the Company’s common stock pursuant to the Share Repurchase Program. As of June 30, 2019, the dollar value of shares that remained available to be purchased by the Company under the Share Repurchase Program was approximately $4.1 million.</w:t>
      </w:r>
    </w:p>
    <w:p>
      <w:pPr>
        <w:ind w:left="500" w:hanging="492"/>
        <w:spacing w:after="0" w:line="246" w:lineRule="auto"/>
        <w:tabs>
          <w:tab w:leader="none" w:pos="5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purchases of our common stock made on the open market by or on behalf of any “affiliated purchaser,” as defined in Exchange Act Rule 10b-18(a)(3), of the Company.</w:t>
      </w:r>
    </w:p>
    <w:p>
      <w:pPr>
        <w:ind w:left="500" w:hanging="492"/>
        <w:spacing w:after="0"/>
        <w:tabs>
          <w:tab w:leader="none" w:pos="5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Subsequent to quarter-end, through August 8, 2019, we did not repurchase any additional shares of our common stock pursuant to the Share Repurchase Program.</w:t>
      </w:r>
    </w:p>
    <w:p>
      <w:pPr>
        <w:spacing w:after="0" w:line="5" w:lineRule="exact"/>
        <w:rPr>
          <w:rFonts w:ascii="Times New Roman" w:cs="Times New Roman" w:eastAsia="Times New Roman" w:hAnsi="Times New Roman"/>
          <w:sz w:val="16"/>
          <w:szCs w:val="16"/>
          <w:color w:val="auto"/>
        </w:rPr>
      </w:pPr>
    </w:p>
    <w:p>
      <w:pPr>
        <w:jc w:val="both"/>
        <w:ind w:left="500" w:hanging="492"/>
        <w:spacing w:after="0" w:line="250" w:lineRule="auto"/>
        <w:tabs>
          <w:tab w:leader="none" w:pos="5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August 5, 2019, our Board of Directors authorized a $5.0 million increase in the amount of shares of our common stock that may be repurchased under the discretionary Share Repurchase Program until the earlier of (i) August 4, 2020 or (ii) the repurchase of $25.0 million in aggregate amount of our common stock. This additional $5.0 million allocation is not included in the approximate dollar value of shares that may yet be purchased under the Share Repurchase Program as of June 30, 2019. As of August 8, 2019, the dollar value of shares that may yet be purchased by us under the Share Repurchase Program is approximately $9.1 million.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118" w:right="239" w:bottom="1440" w:gutter="0" w:footer="0" w:header="0"/>
        </w:sectPr>
      </w:pPr>
    </w:p>
    <w:bookmarkStart w:id="75" w:name="page76"/>
    <w:bookmarkEnd w:id="75"/>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219"/>
          </w:cols>
          <w:pgMar w:left="240" w:top="118" w:right="1440" w:bottom="1440" w:gutter="0" w:footer="0" w:header="0"/>
        </w:sectPr>
      </w:pPr>
    </w:p>
    <w:bookmarkStart w:id="76" w:name="page77"/>
    <w:bookmarkEnd w:id="76"/>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exhibits are filed as part of this report or hereby incorporated by reference to exhibits previously filed with the SEC:</w:t>
      </w:r>
    </w:p>
    <w:p>
      <w:pPr>
        <w:spacing w:after="0" w:line="171" w:lineRule="exact"/>
        <w:rPr>
          <w:sz w:val="20"/>
          <w:szCs w:val="20"/>
          <w:color w:val="auto"/>
        </w:rPr>
      </w:pPr>
    </w:p>
    <w:p>
      <w:pPr>
        <w:ind w:left="240"/>
        <w:spacing w:after="0"/>
        <w:tabs>
          <w:tab w:leader="none" w:pos="7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3.1</w:t>
      </w:r>
      <w:r>
        <w:rPr>
          <w:sz w:val="20"/>
          <w:szCs w:val="20"/>
          <w:color w:val="auto"/>
        </w:rPr>
        <w:tab/>
      </w:r>
      <w:hyperlink r:id="rId81">
        <w:r>
          <w:rPr>
            <w:rFonts w:ascii="Times New Roman" w:cs="Times New Roman" w:eastAsia="Times New Roman" w:hAnsi="Times New Roman"/>
            <w:sz w:val="17"/>
            <w:szCs w:val="17"/>
            <w:u w:val="single" w:color="auto"/>
            <w:color w:val="0000FF"/>
          </w:rPr>
          <w:t>Articles of Amendment and Restatement</w:t>
        </w:r>
      </w:hyperlink>
      <w:r>
        <w:rPr>
          <w:rFonts w:ascii="Times New Roman" w:cs="Times New Roman" w:eastAsia="Times New Roman" w:hAnsi="Times New Roman"/>
          <w:sz w:val="24"/>
          <w:szCs w:val="24"/>
          <w:color w:val="000000"/>
          <w:vertAlign w:val="superscript"/>
        </w:rPr>
        <w:t>(1)</w:t>
      </w:r>
    </w:p>
    <w:p>
      <w:pPr>
        <w:spacing w:after="0" w:line="2" w:lineRule="exact"/>
        <w:rPr>
          <w:sz w:val="20"/>
          <w:szCs w:val="20"/>
          <w:color w:val="auto"/>
        </w:rPr>
      </w:pPr>
    </w:p>
    <w:p>
      <w:pPr>
        <w:ind w:left="240"/>
        <w:spacing w:after="0"/>
        <w:tabs>
          <w:tab w:leader="none" w:pos="7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3.2</w:t>
      </w:r>
      <w:r>
        <w:rPr>
          <w:sz w:val="20"/>
          <w:szCs w:val="20"/>
          <w:color w:val="auto"/>
        </w:rPr>
        <w:tab/>
      </w:r>
      <w:hyperlink r:id="rId82">
        <w:r>
          <w:rPr>
            <w:rFonts w:ascii="Times New Roman" w:cs="Times New Roman" w:eastAsia="Times New Roman" w:hAnsi="Times New Roman"/>
            <w:sz w:val="17"/>
            <w:szCs w:val="17"/>
            <w:u w:val="single" w:color="auto"/>
            <w:color w:val="0000FF"/>
          </w:rPr>
          <w:t>Articles of Amendment</w:t>
        </w:r>
      </w:hyperlink>
      <w:r>
        <w:rPr>
          <w:rFonts w:ascii="Times New Roman" w:cs="Times New Roman" w:eastAsia="Times New Roman" w:hAnsi="Times New Roman"/>
          <w:sz w:val="24"/>
          <w:szCs w:val="24"/>
          <w:color w:val="000000"/>
          <w:vertAlign w:val="superscript"/>
        </w:rPr>
        <w:t>(2)</w:t>
      </w:r>
    </w:p>
    <w:p>
      <w:pPr>
        <w:ind w:left="240"/>
        <w:spacing w:after="0" w:line="234" w:lineRule="auto"/>
        <w:tabs>
          <w:tab w:leader="none" w:pos="7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3.3</w:t>
      </w:r>
      <w:r>
        <w:rPr>
          <w:sz w:val="20"/>
          <w:szCs w:val="20"/>
          <w:color w:val="auto"/>
        </w:rPr>
        <w:tab/>
      </w:r>
      <w:hyperlink r:id="rId83">
        <w:r>
          <w:rPr>
            <w:rFonts w:ascii="Times New Roman" w:cs="Times New Roman" w:eastAsia="Times New Roman" w:hAnsi="Times New Roman"/>
            <w:sz w:val="17"/>
            <w:szCs w:val="17"/>
            <w:u w:val="single" w:color="auto"/>
            <w:color w:val="0000FF"/>
          </w:rPr>
          <w:t>Articles of Amendment</w:t>
        </w:r>
      </w:hyperlink>
      <w:r>
        <w:rPr>
          <w:rFonts w:ascii="Times New Roman" w:cs="Times New Roman" w:eastAsia="Times New Roman" w:hAnsi="Times New Roman"/>
          <w:sz w:val="24"/>
          <w:szCs w:val="24"/>
          <w:color w:val="000000"/>
          <w:vertAlign w:val="superscript"/>
        </w:rPr>
        <w:t>(3)</w:t>
      </w:r>
    </w:p>
    <w:p>
      <w:pPr>
        <w:ind w:left="240"/>
        <w:spacing w:after="0" w:line="235" w:lineRule="auto"/>
        <w:tabs>
          <w:tab w:leader="none" w:pos="7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3.4</w:t>
      </w:r>
      <w:r>
        <w:rPr>
          <w:sz w:val="20"/>
          <w:szCs w:val="20"/>
          <w:color w:val="auto"/>
        </w:rPr>
        <w:tab/>
      </w:r>
      <w:hyperlink r:id="rId84">
        <w:r>
          <w:rPr>
            <w:rFonts w:ascii="Times New Roman" w:cs="Times New Roman" w:eastAsia="Times New Roman" w:hAnsi="Times New Roman"/>
            <w:sz w:val="17"/>
            <w:szCs w:val="17"/>
            <w:u w:val="single" w:color="auto"/>
            <w:color w:val="0000FF"/>
          </w:rPr>
          <w:t>Bylaws</w:t>
        </w:r>
      </w:hyperlink>
      <w:r>
        <w:rPr>
          <w:rFonts w:ascii="Times New Roman" w:cs="Times New Roman" w:eastAsia="Times New Roman" w:hAnsi="Times New Roman"/>
          <w:sz w:val="24"/>
          <w:szCs w:val="24"/>
          <w:color w:val="000000"/>
          <w:vertAlign w:val="superscript"/>
        </w:rPr>
        <w:t>(1)</w:t>
      </w:r>
    </w:p>
    <w:p>
      <w:pPr>
        <w:spacing w:after="0" w:line="1" w:lineRule="exact"/>
        <w:rPr>
          <w:sz w:val="20"/>
          <w:szCs w:val="20"/>
          <w:color w:val="auto"/>
        </w:rPr>
      </w:pPr>
    </w:p>
    <w:p>
      <w:pPr>
        <w:ind w:left="240"/>
        <w:spacing w:after="0"/>
        <w:tabs>
          <w:tab w:leader="none" w:pos="7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3.5</w:t>
      </w:r>
      <w:r>
        <w:rPr>
          <w:sz w:val="20"/>
          <w:szCs w:val="20"/>
          <w:color w:val="auto"/>
        </w:rPr>
        <w:tab/>
      </w:r>
      <w:hyperlink r:id="rId85">
        <w:r>
          <w:rPr>
            <w:rFonts w:ascii="Times New Roman" w:cs="Times New Roman" w:eastAsia="Times New Roman" w:hAnsi="Times New Roman"/>
            <w:sz w:val="17"/>
            <w:szCs w:val="17"/>
            <w:u w:val="single" w:color="auto"/>
            <w:color w:val="0000FF"/>
          </w:rPr>
          <w:t>Amended and Restated Bylaws</w:t>
        </w:r>
      </w:hyperlink>
      <w:r>
        <w:rPr>
          <w:rFonts w:ascii="Times New Roman" w:cs="Times New Roman" w:eastAsia="Times New Roman" w:hAnsi="Times New Roman"/>
          <w:sz w:val="24"/>
          <w:szCs w:val="24"/>
          <w:color w:val="000000"/>
          <w:vertAlign w:val="superscript"/>
        </w:rPr>
        <w:t>(3)</w:t>
      </w:r>
    </w:p>
    <w:p>
      <w:pPr>
        <w:ind w:left="200"/>
        <w:spacing w:after="0"/>
        <w:tabs>
          <w:tab w:leader="none" w:pos="7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31.1</w:t>
      </w:r>
      <w:r>
        <w:rPr>
          <w:sz w:val="20"/>
          <w:szCs w:val="20"/>
          <w:color w:val="auto"/>
        </w:rPr>
        <w:tab/>
      </w:r>
      <w:hyperlink w:anchor="page79">
        <w:r>
          <w:rPr>
            <w:rFonts w:ascii="Times New Roman" w:cs="Times New Roman" w:eastAsia="Times New Roman" w:hAnsi="Times New Roman"/>
            <w:sz w:val="18"/>
            <w:szCs w:val="18"/>
            <w:u w:val="single" w:color="auto"/>
            <w:color w:val="0000FF"/>
          </w:rPr>
          <w:t>Certification of Chief Executive Officer pursuant to Rule 13a-14 of the Securities Exchange Act of 1934, as amended*</w:t>
        </w:r>
      </w:hyperlink>
    </w:p>
    <w:p>
      <w:pPr>
        <w:spacing w:after="0" w:line="43" w:lineRule="exact"/>
        <w:rPr>
          <w:sz w:val="20"/>
          <w:szCs w:val="20"/>
          <w:color w:val="auto"/>
        </w:rPr>
      </w:pPr>
    </w:p>
    <w:p>
      <w:pPr>
        <w:ind w:left="200"/>
        <w:spacing w:after="0"/>
        <w:tabs>
          <w:tab w:leader="none" w:pos="7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31.2</w:t>
      </w:r>
      <w:r>
        <w:rPr>
          <w:sz w:val="20"/>
          <w:szCs w:val="20"/>
          <w:color w:val="auto"/>
        </w:rPr>
        <w:tab/>
      </w:r>
      <w:hyperlink w:anchor="page80">
        <w:r>
          <w:rPr>
            <w:rFonts w:ascii="Times New Roman" w:cs="Times New Roman" w:eastAsia="Times New Roman" w:hAnsi="Times New Roman"/>
            <w:sz w:val="17"/>
            <w:szCs w:val="17"/>
            <w:u w:val="single" w:color="auto"/>
            <w:color w:val="0000FF"/>
          </w:rPr>
          <w:t>Certification of Chief Financial Officer pursuant to Rule 13a-14 of the Securities Exchange Act of 1934, as amended*</w:t>
        </w:r>
      </w:hyperlink>
    </w:p>
    <w:p>
      <w:pPr>
        <w:spacing w:after="0" w:line="63" w:lineRule="exact"/>
        <w:rPr>
          <w:sz w:val="20"/>
          <w:szCs w:val="20"/>
          <w:color w:val="auto"/>
        </w:rPr>
      </w:pPr>
    </w:p>
    <w:p>
      <w:pPr>
        <w:ind w:left="200"/>
        <w:spacing w:after="0"/>
        <w:tabs>
          <w:tab w:leader="none" w:pos="7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32.1</w:t>
      </w:r>
      <w:r>
        <w:rPr>
          <w:sz w:val="20"/>
          <w:szCs w:val="20"/>
          <w:color w:val="auto"/>
        </w:rPr>
        <w:tab/>
      </w:r>
      <w:hyperlink w:anchor="page81">
        <w:r>
          <w:rPr>
            <w:rFonts w:ascii="Times New Roman" w:cs="Times New Roman" w:eastAsia="Times New Roman" w:hAnsi="Times New Roman"/>
            <w:sz w:val="18"/>
            <w:szCs w:val="18"/>
            <w:u w:val="single" w:color="auto"/>
            <w:color w:val="0000FF"/>
          </w:rPr>
          <w:t>Certification of Chief Executive Officer pursuant to Section 906 of the Sarbanes-Oxley Act of 2002*</w:t>
        </w:r>
      </w:hyperlink>
    </w:p>
    <w:p>
      <w:pPr>
        <w:spacing w:after="0" w:line="63" w:lineRule="exact"/>
        <w:rPr>
          <w:sz w:val="20"/>
          <w:szCs w:val="20"/>
          <w:color w:val="auto"/>
        </w:rPr>
      </w:pPr>
    </w:p>
    <w:p>
      <w:pPr>
        <w:ind w:left="200"/>
        <w:spacing w:after="0"/>
        <w:tabs>
          <w:tab w:leader="none" w:pos="7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32.2</w:t>
      </w:r>
      <w:r>
        <w:rPr>
          <w:sz w:val="20"/>
          <w:szCs w:val="20"/>
          <w:color w:val="auto"/>
        </w:rPr>
        <w:tab/>
      </w:r>
      <w:hyperlink w:anchor="page82">
        <w:r>
          <w:rPr>
            <w:rFonts w:ascii="Times New Roman" w:cs="Times New Roman" w:eastAsia="Times New Roman" w:hAnsi="Times New Roman"/>
            <w:sz w:val="17"/>
            <w:szCs w:val="17"/>
            <w:u w:val="single" w:color="auto"/>
            <w:color w:val="0000FF"/>
          </w:rPr>
          <w:t>Certification of Chief Financial Officer pursuant to Section 906 of the Sarbanes-Oxley Act of 2002*</w:t>
        </w:r>
      </w:hyperlink>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w:t>
      </w:r>
    </w:p>
    <w:p>
      <w:pPr>
        <w:spacing w:after="0" w:line="31" w:lineRule="exact"/>
        <w:rPr>
          <w:sz w:val="20"/>
          <w:szCs w:val="20"/>
          <w:color w:val="auto"/>
        </w:rPr>
      </w:pPr>
    </w:p>
    <w:p>
      <w:pPr>
        <w:ind w:left="500" w:hanging="492"/>
        <w:spacing w:after="0" w:line="276" w:lineRule="auto"/>
        <w:tabs>
          <w:tab w:leader="none" w:pos="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Pre-Effective Amendment No. 2 to the Registrant’s Registration Statement on Form N-2 (File No. 333-171578) filed on March 30, 2011, and incorporated by reference herein.</w:t>
      </w:r>
    </w:p>
    <w:p>
      <w:pPr>
        <w:spacing w:after="0" w:line="207"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the Registrant’s Current Report on Form 8-K (File No. 814-00852) filed on June 1, 2011, and incorporated by reference herein.</w:t>
      </w:r>
    </w:p>
    <w:p>
      <w:pPr>
        <w:spacing w:after="0" w:line="16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the Registrant’s Current Report on Form 8-K (File No. 814-00852) filed on August 1, 2019, and incorporated by reference herein.</w:t>
      </w:r>
    </w:p>
    <w:p>
      <w:pPr>
        <w:spacing w:after="0" w:line="162" w:lineRule="exact"/>
        <w:rPr>
          <w:sz w:val="20"/>
          <w:szCs w:val="20"/>
          <w:color w:val="auto"/>
        </w:rPr>
      </w:pPr>
    </w:p>
    <w:p>
      <w:pPr>
        <w:ind w:left="500" w:hanging="492"/>
        <w:spacing w:after="0"/>
        <w:tabs>
          <w:tab w:leader="none" w:pos="5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118" w:right="239" w:bottom="1440" w:gutter="0" w:footer="0" w:header="0"/>
        </w:sectPr>
      </w:pPr>
    </w:p>
    <w:bookmarkStart w:id="77" w:name="page78"/>
    <w:bookmarkEnd w:id="77"/>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2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SUTTER ROCK CAPITAL CORP.</w:t>
      </w:r>
    </w:p>
    <w:p>
      <w:pPr>
        <w:spacing w:after="0" w:line="391" w:lineRule="exact"/>
        <w:rPr>
          <w:sz w:val="20"/>
          <w:szCs w:val="20"/>
          <w:color w:val="auto"/>
        </w:rPr>
      </w:pPr>
    </w:p>
    <w:p>
      <w:pPr>
        <w:ind w:left="40"/>
        <w:spacing w:after="0"/>
        <w:tabs>
          <w:tab w:leader="none" w:pos="70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9, 2019</w:t>
      </w:r>
      <w:r>
        <w:rPr>
          <w:sz w:val="20"/>
          <w:szCs w:val="20"/>
          <w:color w:val="auto"/>
        </w:rPr>
        <w:tab/>
      </w:r>
      <w:r>
        <w:rPr>
          <w:rFonts w:ascii="Times New Roman" w:cs="Times New Roman" w:eastAsia="Times New Roman" w:hAnsi="Times New Roman"/>
          <w:sz w:val="18"/>
          <w:szCs w:val="18"/>
          <w:color w:val="auto"/>
        </w:rPr>
        <w:t>By:</w:t>
        <w:tab/>
        <w:t>/s/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34290</wp:posOffset>
            </wp:positionV>
            <wp:extent cx="34048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Mark D. Klein</w:t>
      </w:r>
    </w:p>
    <w:p>
      <w:pPr>
        <w:spacing w:after="0" w:line="6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87" w:lineRule="exact"/>
        <w:rPr>
          <w:sz w:val="20"/>
          <w:szCs w:val="20"/>
          <w:color w:val="auto"/>
        </w:rPr>
      </w:pPr>
    </w:p>
    <w:p>
      <w:pPr>
        <w:ind w:left="40"/>
        <w:spacing w:after="0"/>
        <w:tabs>
          <w:tab w:leader="none" w:pos="70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9, 2019</w:t>
      </w:r>
      <w:r>
        <w:rPr>
          <w:sz w:val="20"/>
          <w:szCs w:val="20"/>
          <w:color w:val="auto"/>
        </w:rPr>
        <w:tab/>
      </w:r>
      <w:r>
        <w:rPr>
          <w:rFonts w:ascii="Times New Roman" w:cs="Times New Roman" w:eastAsia="Times New Roman" w:hAnsi="Times New Roman"/>
          <w:sz w:val="18"/>
          <w:szCs w:val="18"/>
          <w:color w:val="auto"/>
        </w:rPr>
        <w:t>By:</w:t>
        <w:tab/>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34290</wp:posOffset>
            </wp:positionV>
            <wp:extent cx="34048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Allison Green</w:t>
      </w:r>
    </w:p>
    <w:p>
      <w:pPr>
        <w:spacing w:after="0" w:line="6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 Treasurer, and Corporate Secretary</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600"/>
          </w:cols>
          <w:pgMar w:left="240" w:top="118" w:right="105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of Sutter Rock Capital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under the Exchange Act,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D. Klein, certify that:</w:t>
      </w:r>
    </w:p>
    <w:p>
      <w:pPr>
        <w:spacing w:after="0" w:line="225"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Sutter Rock Capital Corp.;</w:t>
      </w:r>
    </w:p>
    <w:p>
      <w:pPr>
        <w:spacing w:after="0" w:line="225"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48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jc w:val="both"/>
        <w:ind w:left="980" w:right="260" w:hanging="324"/>
        <w:spacing w:after="0" w:line="266" w:lineRule="auto"/>
        <w:tabs>
          <w:tab w:leader="none" w:pos="9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980" w:right="540" w:hanging="324"/>
        <w:spacing w:after="0" w:line="266" w:lineRule="auto"/>
        <w:tabs>
          <w:tab w:leader="none" w:pos="9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980" w:right="720" w:hanging="324"/>
        <w:spacing w:after="0" w:line="313" w:lineRule="auto"/>
        <w:tabs>
          <w:tab w:leader="none" w:pos="98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980" w:right="260" w:hanging="324"/>
        <w:spacing w:after="0" w:line="266" w:lineRule="auto"/>
        <w:tabs>
          <w:tab w:leader="none" w:pos="9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180" w:hanging="324"/>
        <w:spacing w:after="0" w:line="282" w:lineRule="auto"/>
        <w:tabs>
          <w:tab w:leader="none" w:pos="9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this 9th day of August, 2019.</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By:  /s/ Mark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34290</wp:posOffset>
            </wp:positionV>
            <wp:extent cx="144081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Mark D. Klein</w:t>
      </w:r>
    </w:p>
    <w:p>
      <w:pPr>
        <w:spacing w:after="0" w:line="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420"/>
          </w:cols>
          <w:pgMar w:left="240" w:top="576" w:right="2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of Sutter Rock Capital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under the Exchange Act,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Allison Green, certify that:</w:t>
      </w:r>
    </w:p>
    <w:p>
      <w:pPr>
        <w:spacing w:after="0" w:line="225"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Sutter Rock Capital Corp.;</w:t>
      </w:r>
    </w:p>
    <w:p>
      <w:pPr>
        <w:spacing w:after="0" w:line="225"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480" w:hanging="328"/>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jc w:val="both"/>
        <w:ind w:left="980" w:right="260" w:hanging="324"/>
        <w:spacing w:after="0" w:line="266" w:lineRule="auto"/>
        <w:tabs>
          <w:tab w:leader="none" w:pos="9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980" w:right="540" w:hanging="324"/>
        <w:spacing w:after="0" w:line="266" w:lineRule="auto"/>
        <w:tabs>
          <w:tab w:leader="none" w:pos="9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980" w:right="720" w:hanging="324"/>
        <w:spacing w:after="0" w:line="313" w:lineRule="auto"/>
        <w:tabs>
          <w:tab w:leader="none" w:pos="98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980" w:right="260" w:hanging="324"/>
        <w:spacing w:after="0" w:line="266" w:lineRule="auto"/>
        <w:tabs>
          <w:tab w:leader="none" w:pos="9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180" w:hanging="324"/>
        <w:spacing w:after="0" w:line="282" w:lineRule="auto"/>
        <w:tabs>
          <w:tab w:leader="none" w:pos="9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this 9th day of August, 2019.</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By:  /s/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34290</wp:posOffset>
            </wp:positionV>
            <wp:extent cx="17068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Allison Green</w:t>
      </w:r>
    </w:p>
    <w:p>
      <w:pPr>
        <w:spacing w:after="0" w:line="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420"/>
          </w:cols>
          <w:pgMar w:left="240" w:top="576" w:right="2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 (18 U.S.C. 1350)</w:t>
      </w:r>
    </w:p>
    <w:p>
      <w:pPr>
        <w:spacing w:after="0" w:line="207"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quarter ended June 30, 2019 (the “Report”) of Sutter Rock Capital Corp. (the “Registrant”), as filed with the Securities and Exchange Commission on the date hereof, I, Mark D. Klein, the Chief Executive Officer of the Registrant, hereby certify, to the best of my knowledge, that:</w:t>
      </w:r>
    </w:p>
    <w:p>
      <w:pPr>
        <w:spacing w:after="0" w:line="176"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17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34290</wp:posOffset>
            </wp:positionV>
            <wp:extent cx="35591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b w:val="1"/>
          <w:bCs w:val="1"/>
          <w:color w:val="auto"/>
        </w:rPr>
        <w:t>Name: Mark D. Klein</w:t>
      </w:r>
    </w:p>
    <w:p>
      <w:pPr>
        <w:spacing w:after="0" w:line="6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Date: August 9, 2019</w:t>
      </w:r>
    </w:p>
    <w:p>
      <w:pPr>
        <w:sectPr>
          <w:pgSz w:w="11900" w:h="16838" w:orient="portrait"/>
          <w:cols w:equalWidth="0" w:num="1">
            <w:col w:w="11420"/>
          </w:cols>
          <w:pgMar w:left="240" w:top="576" w:right="2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 (18 U.S.C. 1350)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quarter ended June 30, 2019 (the “Report”) of Sutter Rock Capital Corp. (the “Registrant”), as filed with the Securities and Exchange Commission on the date hereof, I, Allison Green, the Chief Financial Officer of the Registrant, hereby certify, to the best of my knowledge, that:</w:t>
      </w:r>
    </w:p>
    <w:p>
      <w:pPr>
        <w:spacing w:after="0" w:line="176"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17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355028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Name: Allison Green</w:t>
      </w:r>
    </w:p>
    <w:p>
      <w:pPr>
        <w:spacing w:after="0" w:line="6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Date: August 9, 2019</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1)"/>
      <w:numFmt w:val="decimal"/>
      <w:start w:val="1"/>
    </w:lvl>
  </w:abstractNum>
  <w:abstractNum w:abstractNumId="2">
    <w:nsid w:val="4353D0CD"/>
    <w:multiLevelType w:val="hybridMultilevel"/>
    <w:lvl w:ilvl="0">
      <w:lvlJc w:val="left"/>
      <w:lvlText w:val="(%1)"/>
      <w:numFmt w:val="decimal"/>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1)"/>
      <w:numFmt w:val="decimal"/>
      <w:start w:val="1"/>
    </w:lvl>
  </w:abstractNum>
  <w:abstractNum w:abstractNumId="8">
    <w:nsid w:val="836C40E"/>
    <w:multiLevelType w:val="hybridMultilevel"/>
    <w:lvl w:ilvl="0">
      <w:lvlJc w:val="left"/>
      <w:lvlText w:val="(%1)"/>
      <w:numFmt w:val="decimal"/>
      <w:start w:val="2"/>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1)"/>
      <w:numFmt w:val="decimal"/>
      <w:start w:val="1"/>
    </w:lvl>
  </w:abstractNum>
  <w:abstractNum w:abstractNumId="13">
    <w:nsid w:val="7C3DBD3D"/>
    <w:multiLevelType w:val="hybridMultilevel"/>
    <w:lvl w:ilvl="0">
      <w:lvlJc w:val="left"/>
      <w:lvlText w:val="(%1)"/>
      <w:numFmt w:val="decimal"/>
      <w:start w:val="14"/>
    </w:lvl>
  </w:abstractNum>
  <w:abstractNum w:abstractNumId="14">
    <w:nsid w:val="737B8DDC"/>
    <w:multiLevelType w:val="hybridMultilevel"/>
    <w:lvl w:ilvl="0">
      <w:lvlJc w:val="left"/>
      <w:lvlText w:val="%1."/>
      <w:numFmt w:val="decimal"/>
      <w:start w:val="1"/>
    </w:lvl>
  </w:abstractNum>
  <w:abstractNum w:abstractNumId="15">
    <w:nsid w:val="6CEAF087"/>
    <w:multiLevelType w:val="hybridMultilevel"/>
    <w:lvl w:ilvl="0">
      <w:lvlJc w:val="left"/>
      <w:lvlText w:val="%1."/>
      <w:numFmt w:val="decimal"/>
      <w:start w:val="5"/>
    </w:lvl>
  </w:abstractNum>
  <w:abstractNum w:abstractNumId="16">
    <w:nsid w:val="22221A70"/>
    <w:multiLevelType w:val="hybridMultilevel"/>
    <w:lvl w:ilvl="0">
      <w:lvlJc w:val="left"/>
      <w:lvlText w:val="(%1)"/>
      <w:numFmt w:val="decimal"/>
      <w:start w:val="1"/>
    </w:lvl>
  </w:abstractNum>
  <w:abstractNum w:abstractNumId="17">
    <w:nsid w:val="4516DDE9"/>
    <w:multiLevelType w:val="hybridMultilevel"/>
    <w:lvl w:ilvl="0">
      <w:lvlJc w:val="left"/>
      <w:lvlText w:val="(%1)"/>
      <w:numFmt w:val="decimal"/>
      <w:start w:val="1"/>
    </w:lvl>
  </w:abstractNum>
  <w:abstractNum w:abstractNumId="18">
    <w:nsid w:val="3006C83E"/>
    <w:multiLevelType w:val="hybridMultilevel"/>
    <w:lvl w:ilvl="0">
      <w:lvlJc w:val="left"/>
      <w:lvlText w:val="(%1)"/>
      <w:numFmt w:val="decimal"/>
      <w:start w:val="1"/>
    </w:lvl>
  </w:abstractNum>
  <w:abstractNum w:abstractNumId="19">
    <w:nsid w:val="614FD4A1"/>
    <w:multiLevelType w:val="hybridMultilevel"/>
    <w:lvl w:ilvl="0">
      <w:lvlJc w:val="left"/>
      <w:lvlText w:val="(%1)"/>
      <w:numFmt w:val="decimal"/>
      <w:start w:val="1"/>
    </w:lvl>
  </w:abstractNum>
  <w:abstractNum w:abstractNumId="20">
    <w:nsid w:val="419AC241"/>
    <w:multiLevelType w:val="hybridMultilevel"/>
    <w:lvl w:ilvl="0">
      <w:lvlJc w:val="left"/>
      <w:lvlText w:val="(%1)"/>
      <w:numFmt w:val="decimal"/>
      <w:start w:val="1"/>
    </w:lvl>
  </w:abstractNum>
  <w:abstractNum w:abstractNumId="21">
    <w:nsid w:val="5577F8E1"/>
    <w:multiLevelType w:val="hybridMultilevel"/>
    <w:lvl w:ilvl="0">
      <w:lvlJc w:val="left"/>
      <w:lvlText w:val="(%1)"/>
      <w:numFmt w:val="decimal"/>
      <w:start w:val="2"/>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1)"/>
      <w:numFmt w:val="decimal"/>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1)"/>
      <w:numFmt w:val="decimal"/>
      <w:start w:val="1"/>
    </w:lvl>
  </w:abstractNum>
  <w:abstractNum w:abstractNumId="28">
    <w:nsid w:val="2463B9EA"/>
    <w:multiLevelType w:val="hybridMultilevel"/>
    <w:lvl w:ilvl="0">
      <w:lvlJc w:val="left"/>
      <w:lvlText w:val="(%1)"/>
      <w:numFmt w:val="decimal"/>
      <w:start w:val="4"/>
    </w:lvl>
  </w:abstractNum>
  <w:abstractNum w:abstractNumId="29">
    <w:nsid w:val="5E884ADC"/>
    <w:multiLevelType w:val="hybridMultilevel"/>
    <w:lvl w:ilvl="0">
      <w:lvlJc w:val="left"/>
      <w:lvlText w:val="(%1)"/>
      <w:numFmt w:val="decimal"/>
      <w:start w:val="1"/>
    </w:lvl>
  </w:abstractNum>
  <w:abstractNum w:abstractNumId="30">
    <w:nsid w:val="51EAD36B"/>
    <w:multiLevelType w:val="hybridMultilevel"/>
    <w:lvl w:ilvl="0">
      <w:lvlJc w:val="left"/>
      <w:lvlText w:val="(%1)"/>
      <w:numFmt w:val="decimal"/>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1)"/>
      <w:numFmt w:val="decimal"/>
      <w:start w:val="1"/>
    </w:lvl>
  </w:abstractNum>
  <w:abstractNum w:abstractNumId="34">
    <w:nsid w:val="3855585C"/>
    <w:multiLevelType w:val="hybridMultilevel"/>
    <w:lvl w:ilvl="0">
      <w:lvlJc w:val="left"/>
      <w:lvlText w:val="(%1)"/>
      <w:numFmt w:val="decimal"/>
      <w:start w:val="1"/>
    </w:lvl>
  </w:abstractNum>
  <w:abstractNum w:abstractNumId="35">
    <w:nsid w:val="70A64E2A"/>
    <w:multiLevelType w:val="hybridMultilevel"/>
    <w:lvl w:ilvl="0">
      <w:lvlJc w:val="left"/>
      <w:lvlText w:val="(%1)"/>
      <w:numFmt w:val="decimal"/>
      <w:start w:val="1"/>
    </w:lvl>
  </w:abstractNum>
  <w:abstractNum w:abstractNumId="36">
    <w:nsid w:val="6A2342EC"/>
    <w:multiLevelType w:val="hybridMultilevel"/>
    <w:lvl w:ilvl="0">
      <w:lvlJc w:val="left"/>
      <w:lvlText w:val="(%1)"/>
      <w:numFmt w:val="decimal"/>
      <w:start w:val="1"/>
    </w:lvl>
  </w:abstractNum>
  <w:abstractNum w:abstractNumId="37">
    <w:nsid w:val="2A487CB0"/>
    <w:multiLevelType w:val="hybridMultilevel"/>
    <w:lvl w:ilvl="0">
      <w:lvlJc w:val="left"/>
      <w:lvlText w:val="(%1)"/>
      <w:numFmt w:val="decimal"/>
      <w:start w:val="1"/>
    </w:lvl>
  </w:abstractNum>
  <w:abstractNum w:abstractNumId="38">
    <w:nsid w:val="1D4ED43B"/>
    <w:multiLevelType w:val="hybridMultilevel"/>
    <w:lvl w:ilvl="0">
      <w:lvlJc w:val="left"/>
      <w:lvlText w:val="(%1)"/>
      <w:numFmt w:val="decimal"/>
      <w:start w:val="1"/>
    </w:lvl>
  </w:abstractNum>
  <w:abstractNum w:abstractNumId="39">
    <w:nsid w:val="725A06FB"/>
    <w:multiLevelType w:val="hybridMultilevel"/>
    <w:lvl w:ilvl="0">
      <w:lvlJc w:val="left"/>
      <w:lvlText w:val="(%1)"/>
      <w:numFmt w:val="decimal"/>
      <w:start w:val="1"/>
    </w:lvl>
  </w:abstractNum>
  <w:abstractNum w:abstractNumId="40">
    <w:nsid w:val="2CD89A32"/>
    <w:multiLevelType w:val="hybridMultilevel"/>
    <w:lvl w:ilvl="0">
      <w:lvlJc w:val="left"/>
      <w:lvlText w:val="(%1)"/>
      <w:numFmt w:val="decimal"/>
      <w:start w:val="1"/>
    </w:lvl>
  </w:abstractNum>
  <w:abstractNum w:abstractNumId="41">
    <w:nsid w:val="57E4CCAF"/>
    <w:multiLevelType w:val="hybridMultilevel"/>
    <w:lvl w:ilvl="0">
      <w:lvlJc w:val="left"/>
      <w:lvlText w:val="(%1)"/>
      <w:numFmt w:val="decimal"/>
      <w:start w:val="1"/>
    </w:lvl>
  </w:abstractNum>
  <w:abstractNum w:abstractNumId="42">
    <w:nsid w:val="7A6D8D3C"/>
    <w:multiLevelType w:val="hybridMultilevel"/>
    <w:lvl w:ilvl="0">
      <w:lvlJc w:val="left"/>
      <w:lvlText w:val="(%1)"/>
      <w:numFmt w:val="decimal"/>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81" Type="http://schemas.openxmlformats.org/officeDocument/2006/relationships/hyperlink" Target="http://www.sec.gov/Archives/edgar/data/1509470/000113379611000069/k216228_ex99-2a.htm" TargetMode="External"/><Relationship Id="rId82" Type="http://schemas.openxmlformats.org/officeDocument/2006/relationships/hyperlink" Target="http://www.sec.gov/Archives/edgar/data/1509470/000114420411033389/v224342_ex3-1.htm" TargetMode="External"/><Relationship Id="rId83" Type="http://schemas.openxmlformats.org/officeDocument/2006/relationships/hyperlink" Target="http://www.sec.gov/Archives/edgar/data/1509470/000114420419037014/tv526412_ex3-1.htm" TargetMode="External"/><Relationship Id="rId84" Type="http://schemas.openxmlformats.org/officeDocument/2006/relationships/hyperlink" Target="http://www.sec.gov/Archives/edgar/data/1509470/000113379611000069/k216228_ex99-2b.htm" TargetMode="External"/><Relationship Id="rId85" Type="http://schemas.openxmlformats.org/officeDocument/2006/relationships/hyperlink" Target="http://www.sec.gov/Archives/edgar/data/1509470/000114420419037014/tv526412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2019-12-28T07:05:32Z</dcterms:created>
  <dcterms:modified xsi:type="dcterms:W3CDTF">2019-12-28T07:05:32Z</dcterms:modified>
</cp:coreProperties>
</file>