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 w:lineRule="exact"/>
        <w:rPr>
          <w:sz w:val="24"/>
          <w:szCs w:val="24"/>
          <w:color w:val="auto"/>
        </w:rPr>
      </w:pPr>
    </w:p>
    <w:p>
      <w:pPr>
        <w:ind w:left="3600" w:right="1900" w:hanging="3592"/>
        <w:spacing w:after="0" w:line="490" w:lineRule="auto"/>
        <w:tabs>
          <w:tab w:leader="none" w:pos="69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2011</w:t>
      </w:r>
    </w:p>
    <w:p>
      <w:pPr>
        <w:spacing w:after="0" w:line="1" w:lineRule="exact"/>
        <w:rPr>
          <w:sz w:val="24"/>
          <w:szCs w:val="24"/>
          <w:color w:val="auto"/>
        </w:rPr>
      </w:pPr>
    </w:p>
    <w:p>
      <w:pPr>
        <w:ind w:left="4020" w:right="1400" w:hanging="4012"/>
        <w:spacing w:after="0" w:line="502" w:lineRule="auto"/>
        <w:tabs>
          <w:tab w:leader="none" w:pos="80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COMMISSION FILE NUMBER: 814-00852</w:t>
      </w:r>
    </w:p>
    <w:tbl>
      <w:tblPr>
        <w:tblLayout w:type="fixed"/>
        <w:tblInd w:w="500" w:type="dxa"/>
        <w:tblCellMar>
          <w:top w:w="0" w:type="dxa"/>
          <w:left w:w="0" w:type="dxa"/>
          <w:bottom w:w="0" w:type="dxa"/>
          <w:right w:w="0" w:type="dxa"/>
        </w:tblCellMar>
      </w:tblPr>
      <w:tr>
        <w:trPr>
          <w:trHeight w:val="565"/>
        </w:trPr>
        <w:tc>
          <w:tcPr>
            <w:tcW w:w="9200" w:type="dxa"/>
            <w:vAlign w:val="bottom"/>
            <w:gridSpan w:val="2"/>
          </w:tcPr>
          <w:p>
            <w:pPr>
              <w:jc w:val="center"/>
              <w:ind w:left="1121"/>
              <w:spacing w:after="0"/>
              <w:rPr>
                <w:sz w:val="20"/>
                <w:szCs w:val="20"/>
                <w:color w:val="auto"/>
              </w:rPr>
            </w:pPr>
            <w:r>
              <w:rPr>
                <w:rFonts w:ascii="Arial" w:cs="Arial" w:eastAsia="Arial" w:hAnsi="Arial"/>
                <w:sz w:val="43"/>
                <w:szCs w:val="43"/>
                <w:b w:val="1"/>
                <w:bCs w:val="1"/>
                <w:color w:val="auto"/>
                <w:w w:val="95"/>
              </w:rPr>
              <w:t>GSV Capital Corp.</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200" w:type="dxa"/>
            <w:vAlign w:val="bottom"/>
            <w:gridSpan w:val="2"/>
          </w:tcPr>
          <w:p>
            <w:pPr>
              <w:jc w:val="center"/>
              <w:ind w:left="1121"/>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260" w:type="dxa"/>
            <w:vAlign w:val="bottom"/>
          </w:tcPr>
          <w:p>
            <w:pPr>
              <w:jc w:val="center"/>
              <w:ind w:left="361"/>
              <w:spacing w:after="0"/>
              <w:rPr>
                <w:sz w:val="20"/>
                <w:szCs w:val="20"/>
                <w:color w:val="auto"/>
              </w:rPr>
            </w:pPr>
            <w:r>
              <w:rPr>
                <w:rFonts w:ascii="Arial" w:cs="Arial" w:eastAsia="Arial" w:hAnsi="Arial"/>
                <w:sz w:val="18"/>
                <w:szCs w:val="18"/>
                <w:b w:val="1"/>
                <w:bCs w:val="1"/>
                <w:color w:val="auto"/>
                <w:w w:val="96"/>
              </w:rPr>
              <w:t>Maryland</w:t>
            </w:r>
          </w:p>
        </w:tc>
        <w:tc>
          <w:tcPr>
            <w:tcW w:w="4940" w:type="dxa"/>
            <w:vAlign w:val="bottom"/>
          </w:tcPr>
          <w:p>
            <w:pPr>
              <w:jc w:val="right"/>
              <w:ind w:right="610"/>
              <w:spacing w:after="0"/>
              <w:rPr>
                <w:sz w:val="20"/>
                <w:szCs w:val="20"/>
                <w:color w:val="auto"/>
              </w:rPr>
            </w:pPr>
            <w:r>
              <w:rPr>
                <w:rFonts w:ascii="Arial" w:cs="Arial" w:eastAsia="Arial" w:hAnsi="Arial"/>
                <w:sz w:val="18"/>
                <w:szCs w:val="18"/>
                <w:b w:val="1"/>
                <w:bCs w:val="1"/>
                <w:color w:val="auto"/>
              </w:rPr>
              <w:t>27-4443543</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60" w:type="dxa"/>
            <w:vAlign w:val="bottom"/>
          </w:tcPr>
          <w:p>
            <w:pPr>
              <w:jc w:val="center"/>
              <w:ind w:left="361"/>
              <w:spacing w:after="0"/>
              <w:rPr>
                <w:sz w:val="20"/>
                <w:szCs w:val="20"/>
                <w:color w:val="auto"/>
              </w:rPr>
            </w:pPr>
            <w:r>
              <w:rPr>
                <w:rFonts w:ascii="Arial" w:cs="Arial" w:eastAsia="Arial" w:hAnsi="Arial"/>
                <w:sz w:val="18"/>
                <w:szCs w:val="18"/>
                <w:color w:val="auto"/>
                <w:w w:val="91"/>
              </w:rPr>
              <w:t>(State of incorporation)</w:t>
            </w:r>
          </w:p>
        </w:tc>
        <w:tc>
          <w:tcPr>
            <w:tcW w:w="5560" w:type="dxa"/>
            <w:vAlign w:val="bottom"/>
            <w:gridSpan w:val="2"/>
          </w:tcPr>
          <w:p>
            <w:pPr>
              <w:jc w:val="center"/>
              <w:ind w:left="1970"/>
              <w:spacing w:after="0"/>
              <w:rPr>
                <w:sz w:val="20"/>
                <w:szCs w:val="20"/>
                <w:color w:val="auto"/>
              </w:rPr>
            </w:pPr>
            <w:r>
              <w:rPr>
                <w:rFonts w:ascii="Arial" w:cs="Arial" w:eastAsia="Arial" w:hAnsi="Arial"/>
                <w:sz w:val="18"/>
                <w:szCs w:val="18"/>
                <w:b w:val="1"/>
                <w:bCs w:val="1"/>
                <w:color w:val="auto"/>
                <w:w w:val="92"/>
              </w:rPr>
              <w:t>(I.R.S. Employer Identification No.)</w:t>
            </w:r>
          </w:p>
        </w:tc>
        <w:tc>
          <w:tcPr>
            <w:tcW w:w="0" w:type="dxa"/>
            <w:vAlign w:val="bottom"/>
          </w:tcPr>
          <w:p>
            <w:pPr>
              <w:spacing w:after="0"/>
              <w:rPr>
                <w:sz w:val="1"/>
                <w:szCs w:val="1"/>
                <w:color w:val="auto"/>
              </w:rPr>
            </w:pPr>
          </w:p>
        </w:tc>
      </w:tr>
      <w:tr>
        <w:trPr>
          <w:trHeight w:val="414"/>
        </w:trPr>
        <w:tc>
          <w:tcPr>
            <w:tcW w:w="4260" w:type="dxa"/>
            <w:vAlign w:val="bottom"/>
          </w:tcPr>
          <w:p>
            <w:pPr>
              <w:jc w:val="center"/>
              <w:ind w:left="361"/>
              <w:spacing w:after="0"/>
              <w:rPr>
                <w:sz w:val="20"/>
                <w:szCs w:val="20"/>
                <w:color w:val="auto"/>
              </w:rPr>
            </w:pPr>
            <w:r>
              <w:rPr>
                <w:rFonts w:ascii="Arial" w:cs="Arial" w:eastAsia="Arial" w:hAnsi="Arial"/>
                <w:sz w:val="18"/>
                <w:szCs w:val="18"/>
                <w:b w:val="1"/>
                <w:bCs w:val="1"/>
                <w:color w:val="auto"/>
                <w:w w:val="88"/>
              </w:rPr>
              <w:t>2965 Woodside Road</w:t>
            </w:r>
          </w:p>
        </w:tc>
        <w:tc>
          <w:tcPr>
            <w:tcW w:w="4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260" w:type="dxa"/>
            <w:vAlign w:val="bottom"/>
          </w:tcPr>
          <w:p>
            <w:pPr>
              <w:jc w:val="center"/>
              <w:ind w:left="381"/>
              <w:spacing w:after="0"/>
              <w:rPr>
                <w:sz w:val="20"/>
                <w:szCs w:val="20"/>
                <w:color w:val="auto"/>
              </w:rPr>
            </w:pPr>
            <w:r>
              <w:rPr>
                <w:rFonts w:ascii="Arial" w:cs="Arial" w:eastAsia="Arial" w:hAnsi="Arial"/>
                <w:sz w:val="18"/>
                <w:szCs w:val="18"/>
                <w:b w:val="1"/>
                <w:bCs w:val="1"/>
                <w:color w:val="auto"/>
                <w:w w:val="90"/>
              </w:rPr>
              <w:t>Woodside, CA</w:t>
            </w:r>
          </w:p>
        </w:tc>
        <w:tc>
          <w:tcPr>
            <w:tcW w:w="4940" w:type="dxa"/>
            <w:vAlign w:val="bottom"/>
          </w:tcPr>
          <w:p>
            <w:pPr>
              <w:jc w:val="right"/>
              <w:ind w:right="810"/>
              <w:spacing w:after="0"/>
              <w:rPr>
                <w:sz w:val="20"/>
                <w:szCs w:val="20"/>
                <w:color w:val="auto"/>
              </w:rPr>
            </w:pPr>
            <w:r>
              <w:rPr>
                <w:rFonts w:ascii="Arial" w:cs="Arial" w:eastAsia="Arial" w:hAnsi="Arial"/>
                <w:sz w:val="18"/>
                <w:szCs w:val="18"/>
                <w:b w:val="1"/>
                <w:bCs w:val="1"/>
                <w:color w:val="auto"/>
              </w:rPr>
              <w:t>94062</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jc w:val="center"/>
              <w:ind w:left="421"/>
              <w:spacing w:after="0"/>
              <w:rPr>
                <w:sz w:val="20"/>
                <w:szCs w:val="20"/>
                <w:color w:val="auto"/>
              </w:rPr>
            </w:pPr>
            <w:r>
              <w:rPr>
                <w:rFonts w:ascii="Arial" w:cs="Arial" w:eastAsia="Arial" w:hAnsi="Arial"/>
                <w:sz w:val="18"/>
                <w:szCs w:val="18"/>
                <w:color w:val="auto"/>
                <w:w w:val="92"/>
              </w:rPr>
              <w:t>(Address of principal executive offices)</w:t>
            </w:r>
          </w:p>
        </w:tc>
        <w:tc>
          <w:tcPr>
            <w:tcW w:w="4940" w:type="dxa"/>
            <w:vAlign w:val="bottom"/>
          </w:tcPr>
          <w:p>
            <w:pPr>
              <w:jc w:val="center"/>
              <w:ind w:left="2650"/>
              <w:spacing w:after="0"/>
              <w:rPr>
                <w:sz w:val="20"/>
                <w:szCs w:val="20"/>
                <w:color w:val="auto"/>
              </w:rPr>
            </w:pPr>
            <w:r>
              <w:rPr>
                <w:rFonts w:ascii="Arial" w:cs="Arial" w:eastAsia="Arial" w:hAnsi="Arial"/>
                <w:sz w:val="18"/>
                <w:szCs w:val="18"/>
                <w:color w:val="auto"/>
                <w:w w:val="94"/>
              </w:rPr>
              <w:t>(Zip Code)</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260" w:type="dxa"/>
            <w:vAlign w:val="bottom"/>
          </w:tcPr>
          <w:p>
            <w:pPr>
              <w:spacing w:after="0"/>
              <w:rPr>
                <w:sz w:val="24"/>
                <w:szCs w:val="24"/>
                <w:color w:val="auto"/>
              </w:rPr>
            </w:pPr>
          </w:p>
        </w:tc>
        <w:tc>
          <w:tcPr>
            <w:tcW w:w="4940" w:type="dxa"/>
            <w:vAlign w:val="bottom"/>
          </w:tcPr>
          <w:p>
            <w:pPr>
              <w:jc w:val="center"/>
              <w:ind w:right="2930"/>
              <w:spacing w:after="0"/>
              <w:rPr>
                <w:sz w:val="20"/>
                <w:szCs w:val="20"/>
                <w:color w:val="auto"/>
              </w:rPr>
            </w:pPr>
            <w:r>
              <w:rPr>
                <w:rFonts w:ascii="Arial" w:cs="Arial" w:eastAsia="Arial" w:hAnsi="Arial"/>
                <w:sz w:val="18"/>
                <w:szCs w:val="18"/>
                <w:b w:val="1"/>
                <w:bCs w:val="1"/>
                <w:color w:val="auto"/>
                <w:w w:val="90"/>
              </w:rPr>
              <w:t>(650) 206-2965</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0" w:type="dxa"/>
            <w:vAlign w:val="bottom"/>
            <w:gridSpan w:val="2"/>
          </w:tcPr>
          <w:p>
            <w:pPr>
              <w:jc w:val="center"/>
              <w:ind w:left="1181"/>
              <w:spacing w:after="0"/>
              <w:rPr>
                <w:sz w:val="20"/>
                <w:szCs w:val="20"/>
                <w:color w:val="auto"/>
              </w:rPr>
            </w:pPr>
            <w:r>
              <w:rPr>
                <w:rFonts w:ascii="Arial" w:cs="Arial" w:eastAsia="Arial" w:hAnsi="Arial"/>
                <w:sz w:val="18"/>
                <w:szCs w:val="18"/>
                <w:color w:val="auto"/>
                <w:w w:val="89"/>
              </w:rPr>
              <w:t>(Registrant’s telephone number, including area code)</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200" w:type="dxa"/>
            <w:vAlign w:val="bottom"/>
            <w:gridSpan w:val="2"/>
          </w:tcPr>
          <w:p>
            <w:pPr>
              <w:ind w:left="220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4940" w:type="dxa"/>
            <w:vAlign w:val="bottom"/>
          </w:tcPr>
          <w:p>
            <w:pPr>
              <w:jc w:val="center"/>
              <w:ind w:left="2590"/>
              <w:spacing w:after="0"/>
              <w:rPr>
                <w:sz w:val="20"/>
                <w:szCs w:val="20"/>
                <w:color w:val="auto"/>
              </w:rPr>
            </w:pPr>
            <w:r>
              <w:rPr>
                <w:rFonts w:ascii="Arial" w:cs="Arial" w:eastAsia="Arial" w:hAnsi="Arial"/>
                <w:sz w:val="18"/>
                <w:szCs w:val="18"/>
                <w:b w:val="1"/>
                <w:bCs w:val="1"/>
                <w:color w:val="auto"/>
                <w:w w:val="88"/>
              </w:rPr>
              <w:t>Name of Each Exchange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jc w:val="center"/>
              <w:ind w:left="361"/>
              <w:spacing w:after="0"/>
              <w:rPr>
                <w:sz w:val="20"/>
                <w:szCs w:val="20"/>
                <w:color w:val="auto"/>
              </w:rPr>
            </w:pPr>
            <w:r>
              <w:rPr>
                <w:rFonts w:ascii="Arial" w:cs="Arial" w:eastAsia="Arial" w:hAnsi="Arial"/>
                <w:sz w:val="18"/>
                <w:szCs w:val="18"/>
                <w:b w:val="1"/>
                <w:bCs w:val="1"/>
                <w:color w:val="auto"/>
                <w:w w:val="89"/>
              </w:rPr>
              <w:t>Title of Each Class</w:t>
            </w:r>
          </w:p>
        </w:tc>
        <w:tc>
          <w:tcPr>
            <w:tcW w:w="4940" w:type="dxa"/>
            <w:vAlign w:val="bottom"/>
          </w:tcPr>
          <w:p>
            <w:pPr>
              <w:jc w:val="center"/>
              <w:ind w:left="2590"/>
              <w:spacing w:after="0"/>
              <w:rPr>
                <w:sz w:val="20"/>
                <w:szCs w:val="20"/>
                <w:color w:val="auto"/>
              </w:rPr>
            </w:pPr>
            <w:r>
              <w:rPr>
                <w:rFonts w:ascii="Arial" w:cs="Arial" w:eastAsia="Arial" w:hAnsi="Arial"/>
                <w:sz w:val="18"/>
                <w:szCs w:val="18"/>
                <w:b w:val="1"/>
                <w:bCs w:val="1"/>
                <w:color w:val="auto"/>
                <w:w w:val="90"/>
              </w:rPr>
              <w:t>on Which Registered</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60" w:type="dxa"/>
            <w:vAlign w:val="bottom"/>
          </w:tcPr>
          <w:p>
            <w:pPr>
              <w:jc w:val="center"/>
              <w:ind w:left="361"/>
              <w:spacing w:after="0"/>
              <w:rPr>
                <w:sz w:val="20"/>
                <w:szCs w:val="20"/>
                <w:color w:val="auto"/>
              </w:rPr>
            </w:pPr>
            <w:r>
              <w:rPr>
                <w:rFonts w:ascii="Arial" w:cs="Arial" w:eastAsia="Arial" w:hAnsi="Arial"/>
                <w:sz w:val="18"/>
                <w:szCs w:val="18"/>
                <w:color w:val="auto"/>
                <w:w w:val="89"/>
              </w:rPr>
              <w:t>Common Stock, par value $0.01 per share</w:t>
            </w:r>
          </w:p>
        </w:tc>
        <w:tc>
          <w:tcPr>
            <w:tcW w:w="4940" w:type="dxa"/>
            <w:vAlign w:val="bottom"/>
          </w:tcPr>
          <w:p>
            <w:pPr>
              <w:jc w:val="center"/>
              <w:ind w:left="2610"/>
              <w:spacing w:after="0"/>
              <w:rPr>
                <w:sz w:val="20"/>
                <w:szCs w:val="20"/>
                <w:color w:val="auto"/>
              </w:rPr>
            </w:pPr>
            <w:r>
              <w:rPr>
                <w:rFonts w:ascii="Arial" w:cs="Arial" w:eastAsia="Arial" w:hAnsi="Arial"/>
                <w:sz w:val="18"/>
                <w:szCs w:val="18"/>
                <w:color w:val="auto"/>
                <w:w w:val="95"/>
              </w:rPr>
              <w:t>NASDAQ Capital Market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200" w:type="dxa"/>
            <w:vAlign w:val="bottom"/>
            <w:gridSpan w:val="2"/>
          </w:tcPr>
          <w:p>
            <w:pPr>
              <w:jc w:val="center"/>
              <w:ind w:left="1141"/>
              <w:spacing w:after="0"/>
              <w:rPr>
                <w:sz w:val="20"/>
                <w:szCs w:val="20"/>
                <w:color w:val="auto"/>
              </w:rPr>
            </w:pPr>
            <w:r>
              <w:rPr>
                <w:rFonts w:ascii="Arial" w:cs="Arial" w:eastAsia="Arial" w:hAnsi="Arial"/>
                <w:sz w:val="18"/>
                <w:szCs w:val="18"/>
                <w:b w:val="1"/>
                <w:bCs w:val="1"/>
                <w:color w:val="auto"/>
                <w:w w:val="99"/>
              </w:rPr>
              <w:t>SECURITIES REGISTERED PURSUANT TO SECTION 12(g) OF THE ACT: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260" w:type="dxa"/>
            <w:vAlign w:val="bottom"/>
          </w:tcPr>
          <w:p>
            <w:pPr>
              <w:spacing w:after="0"/>
              <w:rPr>
                <w:sz w:val="19"/>
                <w:szCs w:val="19"/>
                <w:color w:val="auto"/>
              </w:rPr>
            </w:pPr>
          </w:p>
        </w:tc>
        <w:tc>
          <w:tcPr>
            <w:tcW w:w="4940" w:type="dxa"/>
            <w:vAlign w:val="bottom"/>
          </w:tcPr>
          <w:p>
            <w:pPr>
              <w:jc w:val="center"/>
              <w:ind w:right="2930"/>
              <w:spacing w:after="0"/>
              <w:rPr>
                <w:sz w:val="20"/>
                <w:szCs w:val="20"/>
                <w:color w:val="auto"/>
              </w:rPr>
            </w:pPr>
            <w:r>
              <w:rPr>
                <w:rFonts w:ascii="Arial" w:cs="Arial" w:eastAsia="Arial" w:hAnsi="Arial"/>
                <w:sz w:val="18"/>
                <w:szCs w:val="18"/>
                <w:b w:val="1"/>
                <w:bCs w:val="1"/>
                <w:color w:val="auto"/>
                <w:w w:val="88"/>
              </w:rPr>
              <w:t>None</w:t>
            </w:r>
          </w:p>
        </w:tc>
        <w:tc>
          <w:tcPr>
            <w:tcW w:w="62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9200" w:type="dxa"/>
            <w:vAlign w:val="bottom"/>
            <w:gridSpan w:val="2"/>
          </w:tcPr>
          <w:p>
            <w:pPr>
              <w:spacing w:after="0"/>
              <w:rPr>
                <w:sz w:val="20"/>
                <w:szCs w:val="20"/>
                <w:color w:val="auto"/>
              </w:rPr>
            </w:pPr>
            <w:r>
              <w:rPr>
                <w:rFonts w:ascii="Arial" w:cs="Arial" w:eastAsia="Arial" w:hAnsi="Arial"/>
                <w:sz w:val="18"/>
                <w:szCs w:val="18"/>
                <w:color w:val="auto"/>
                <w:w w:val="93"/>
              </w:rPr>
              <w:t>Indicate by check mark if the registrant is a well-known seasoned issuer, as defined in Rule 405 of the Securities Act. YES £</w:t>
            </w: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200" w:type="dxa"/>
            <w:vAlign w:val="bottom"/>
            <w:gridSpan w:val="2"/>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Act. YES £</w:t>
            </w:r>
          </w:p>
        </w:tc>
        <w:tc>
          <w:tcPr>
            <w:tcW w:w="620" w:type="dxa"/>
            <w:vAlign w:val="bottom"/>
          </w:tcPr>
          <w:p>
            <w:pPr>
              <w:ind w:left="20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2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p>
    <w:p>
      <w:pPr>
        <w:spacing w:after="0" w:line="184" w:lineRule="exact"/>
        <w:rPr>
          <w:sz w:val="24"/>
          <w:szCs w:val="24"/>
          <w:color w:val="auto"/>
        </w:rPr>
      </w:pPr>
    </w:p>
    <w:p>
      <w:pPr>
        <w:ind w:firstLine="486"/>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No £</w:t>
      </w:r>
    </w:p>
    <w:p>
      <w:pPr>
        <w:spacing w:after="0" w:line="181" w:lineRule="exact"/>
        <w:rPr>
          <w:sz w:val="24"/>
          <w:szCs w:val="24"/>
          <w:color w:val="auto"/>
        </w:rPr>
      </w:pPr>
    </w:p>
    <w:p>
      <w:pPr>
        <w:jc w:val="both"/>
        <w:ind w:right="60" w:firstLine="486"/>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spacing w:after="0" w:line="39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1" w:name="page2"/>
    <w:bookmarkEnd w:id="1"/>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190" w:lineRule="exact"/>
        <w:rPr>
          <w:sz w:val="20"/>
          <w:szCs w:val="20"/>
          <w:color w:val="auto"/>
        </w:rPr>
      </w:pPr>
    </w:p>
    <w:p>
      <w:pPr>
        <w:spacing w:after="0" w:line="207" w:lineRule="exact"/>
        <w:tabs>
          <w:tab w:leader="none" w:pos="3260" w:val="left"/>
          <w:tab w:leader="none" w:pos="5640" w:val="left"/>
          <w:tab w:leader="none" w:pos="8640" w:val="left"/>
        </w:tabs>
        <w:rPr>
          <w:sz w:val="20"/>
          <w:szCs w:val="20"/>
          <w:color w:val="auto"/>
        </w:rPr>
      </w:pPr>
      <w:r>
        <w:rPr>
          <w:rFonts w:ascii="Arial" w:cs="Arial" w:eastAsia="Arial" w:hAnsi="Arial"/>
          <w:sz w:val="18"/>
          <w:szCs w:val="18"/>
          <w:color w:val="auto"/>
        </w:rPr>
        <w:t>Large accelerated filer £</w:t>
      </w:r>
      <w:r>
        <w:rPr>
          <w:sz w:val="20"/>
          <w:szCs w:val="20"/>
          <w:color w:val="auto"/>
        </w:rPr>
        <w:tab/>
      </w:r>
      <w:r>
        <w:rPr>
          <w:rFonts w:ascii="Arial" w:cs="Arial" w:eastAsia="Arial" w:hAnsi="Arial"/>
          <w:sz w:val="18"/>
          <w:szCs w:val="18"/>
          <w:color w:val="auto"/>
        </w:rPr>
        <w:t>Accelerated filer £</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Smaller reporting company £</w:t>
      </w:r>
    </w:p>
    <w:p>
      <w:pPr>
        <w:spacing w:after="0" w:line="2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 not check if a smaller reporting company)</w:t>
      </w:r>
    </w:p>
    <w:p>
      <w:pPr>
        <w:spacing w:after="0" w:line="193" w:lineRule="exact"/>
        <w:rPr>
          <w:sz w:val="20"/>
          <w:szCs w:val="20"/>
          <w:color w:val="auto"/>
        </w:rPr>
      </w:pPr>
    </w:p>
    <w:p>
      <w:pPr>
        <w:ind w:left="1400"/>
        <w:spacing w:after="0" w:line="196" w:lineRule="exact"/>
        <w:tabs>
          <w:tab w:leader="none" w:pos="95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 YES £</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aggregate market value of common stock beneficially owned by non-affiliates of the Registrant on December 30, 2011, based on the closing price on that date of $13.95 on the NASDAQ Capital Market, was $75,457,377. For the purposes of calculating this amount only, all directors and executive officers of the Registrant have been treated as affiliates. There were 12,420,100 shares of the Registrant’s common stock outstanding as of March 13, 2012.</w:t>
      </w: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Portions of the registrant’s definitive Proxy Statement relating to the registrant’s 2011 Annual Meeting of Stockholders, to be filed with the Securities and Exchange Commission within 120 days following the end of the Company’s fiscal year, are incorporated by reference in Part III of this Annual Report on Form 10-K as indicated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125"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20" w:type="dxa"/>
            <w:vAlign w:val="bottom"/>
          </w:tcPr>
          <w:p>
            <w:pPr>
              <w:jc w:val="center"/>
              <w:ind w:left="210"/>
              <w:spacing w:after="0"/>
              <w:rPr>
                <w:sz w:val="20"/>
                <w:szCs w:val="20"/>
                <w:color w:val="auto"/>
              </w:rPr>
            </w:pPr>
            <w:r>
              <w:rPr>
                <w:rFonts w:ascii="Arial" w:cs="Arial" w:eastAsia="Arial" w:hAnsi="Arial"/>
                <w:sz w:val="18"/>
                <w:szCs w:val="18"/>
                <w:b w:val="1"/>
                <w:bCs w:val="1"/>
                <w:color w:val="auto"/>
                <w:w w:val="98"/>
              </w:rPr>
              <w:t>GSV CAPITAL CORP.</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20" w:type="dxa"/>
            <w:vAlign w:val="bottom"/>
          </w:tcPr>
          <w:p>
            <w:pPr>
              <w:jc w:val="center"/>
              <w:ind w:left="21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w:t>
            </w:r>
          </w:p>
        </w:tc>
        <w:tc>
          <w:tcPr>
            <w:tcW w:w="94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tcPr>
          <w:p>
            <w:pPr>
              <w:ind w:left="80"/>
              <w:spacing w:after="0"/>
              <w:rPr>
                <w:sz w:val="20"/>
                <w:szCs w:val="20"/>
                <w:color w:val="auto"/>
              </w:rPr>
            </w:pPr>
            <w:r>
              <w:rPr>
                <w:rFonts w:ascii="Arial" w:cs="Arial" w:eastAsia="Arial" w:hAnsi="Arial"/>
                <w:sz w:val="18"/>
                <w:szCs w:val="18"/>
                <w:color w:val="auto"/>
              </w:rPr>
              <w:t>Business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420" w:type="dxa"/>
            <w:vAlign w:val="bottom"/>
            <w:shd w:val="clear" w:color="auto" w:fill="CCFFCC"/>
          </w:tcPr>
          <w:p>
            <w:pPr>
              <w:ind w:left="80"/>
              <w:spacing w:after="0"/>
              <w:rPr>
                <w:sz w:val="20"/>
                <w:szCs w:val="20"/>
                <w:color w:val="auto"/>
              </w:rPr>
            </w:pPr>
            <w:r>
              <w:rPr>
                <w:rFonts w:ascii="Arial" w:cs="Arial" w:eastAsia="Arial" w:hAnsi="Arial"/>
                <w:sz w:val="18"/>
                <w:szCs w:val="18"/>
                <w:color w:val="auto"/>
              </w:rPr>
              <w:t>Risk Factors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Item 1B.</w:t>
            </w:r>
          </w:p>
        </w:tc>
        <w:tc>
          <w:tcPr>
            <w:tcW w:w="9420" w:type="dxa"/>
            <w:vAlign w:val="bottom"/>
          </w:tcPr>
          <w:p>
            <w:pPr>
              <w:ind w:left="80"/>
              <w:spacing w:after="0"/>
              <w:rPr>
                <w:sz w:val="20"/>
                <w:szCs w:val="20"/>
                <w:color w:val="auto"/>
              </w:rPr>
            </w:pPr>
            <w:r>
              <w:rPr>
                <w:rFonts w:ascii="Arial" w:cs="Arial" w:eastAsia="Arial" w:hAnsi="Arial"/>
                <w:sz w:val="18"/>
                <w:szCs w:val="18"/>
                <w:color w:val="auto"/>
              </w:rPr>
              <w:t>Unresolved Staff Comments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420" w:type="dxa"/>
            <w:vAlign w:val="bottom"/>
            <w:shd w:val="clear" w:color="auto" w:fill="CCFFCC"/>
          </w:tcPr>
          <w:p>
            <w:pPr>
              <w:ind w:left="80"/>
              <w:spacing w:after="0"/>
              <w:rPr>
                <w:sz w:val="20"/>
                <w:szCs w:val="20"/>
                <w:color w:val="auto"/>
              </w:rPr>
            </w:pPr>
            <w:r>
              <w:rPr>
                <w:rFonts w:ascii="Arial" w:cs="Arial" w:eastAsia="Arial" w:hAnsi="Arial"/>
                <w:sz w:val="18"/>
                <w:szCs w:val="18"/>
                <w:color w:val="auto"/>
              </w:rPr>
              <w:t>Properties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42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420" w:type="dxa"/>
            <w:vAlign w:val="bottom"/>
            <w:shd w:val="clear" w:color="auto" w:fill="CCFFCC"/>
          </w:tcPr>
          <w:p>
            <w:pPr>
              <w:ind w:left="80"/>
              <w:spacing w:after="0"/>
              <w:rPr>
                <w:sz w:val="20"/>
                <w:szCs w:val="20"/>
                <w:color w:val="auto"/>
              </w:rPr>
            </w:pPr>
            <w:r>
              <w:rPr>
                <w:rFonts w:ascii="Arial" w:cs="Arial" w:eastAsia="Arial" w:hAnsi="Arial"/>
                <w:sz w:val="18"/>
                <w:szCs w:val="18"/>
                <w:color w:val="auto"/>
              </w:rPr>
              <w:t>Mine Safety Disclosures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II.</w:t>
            </w:r>
          </w:p>
        </w:tc>
        <w:tc>
          <w:tcPr>
            <w:tcW w:w="94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tcPr>
          <w:p>
            <w:pPr>
              <w:ind w:left="8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9420" w:type="dxa"/>
            <w:vAlign w:val="bottom"/>
            <w:shd w:val="clear" w:color="auto" w:fill="CCFFCC"/>
          </w:tcPr>
          <w:p>
            <w:pPr>
              <w:ind w:left="80"/>
              <w:spacing w:after="0"/>
              <w:rPr>
                <w:sz w:val="20"/>
                <w:szCs w:val="20"/>
                <w:color w:val="auto"/>
              </w:rPr>
            </w:pPr>
            <w:r>
              <w:rPr>
                <w:rFonts w:ascii="Arial" w:cs="Arial" w:eastAsia="Arial" w:hAnsi="Arial"/>
                <w:sz w:val="18"/>
                <w:szCs w:val="18"/>
                <w:color w:val="auto"/>
              </w:rPr>
              <w:t>Selected Financial Data</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Item 7.</w:t>
            </w:r>
          </w:p>
        </w:tc>
        <w:tc>
          <w:tcPr>
            <w:tcW w:w="9420" w:type="dxa"/>
            <w:vAlign w:val="bottom"/>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color w:val="auto"/>
              </w:rPr>
              <w:t>Item 7A.</w:t>
            </w:r>
          </w:p>
        </w:tc>
        <w:tc>
          <w:tcPr>
            <w:tcW w:w="9420" w:type="dxa"/>
            <w:vAlign w:val="bottom"/>
            <w:shd w:val="clear" w:color="auto" w:fill="CCFFCC"/>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Item 8.</w:t>
            </w:r>
          </w:p>
        </w:tc>
        <w:tc>
          <w:tcPr>
            <w:tcW w:w="9420" w:type="dxa"/>
            <w:vAlign w:val="bottom"/>
          </w:tcPr>
          <w:p>
            <w:pPr>
              <w:ind w:left="80"/>
              <w:spacing w:after="0"/>
              <w:rPr>
                <w:sz w:val="20"/>
                <w:szCs w:val="20"/>
                <w:color w:val="auto"/>
              </w:rPr>
            </w:pPr>
            <w:r>
              <w:rPr>
                <w:rFonts w:ascii="Arial" w:cs="Arial" w:eastAsia="Arial" w:hAnsi="Arial"/>
                <w:sz w:val="18"/>
                <w:szCs w:val="18"/>
                <w:color w:val="auto"/>
              </w:rPr>
              <w:t>Financial Statements and Supplementary Data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color w:val="auto"/>
              </w:rPr>
              <w:t>Item 9.</w:t>
            </w:r>
          </w:p>
        </w:tc>
        <w:tc>
          <w:tcPr>
            <w:tcW w:w="9420" w:type="dxa"/>
            <w:vAlign w:val="bottom"/>
            <w:shd w:val="clear" w:color="auto" w:fill="CCFFCC"/>
          </w:tcPr>
          <w:p>
            <w:pPr>
              <w:ind w:left="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Item 9A.</w:t>
            </w:r>
          </w:p>
        </w:tc>
        <w:tc>
          <w:tcPr>
            <w:tcW w:w="9420" w:type="dxa"/>
            <w:vAlign w:val="bottom"/>
          </w:tcPr>
          <w:p>
            <w:pPr>
              <w:ind w:left="80"/>
              <w:spacing w:after="0"/>
              <w:rPr>
                <w:sz w:val="20"/>
                <w:szCs w:val="20"/>
                <w:color w:val="auto"/>
              </w:rPr>
            </w:pPr>
            <w:r>
              <w:rPr>
                <w:rFonts w:ascii="Arial" w:cs="Arial" w:eastAsia="Arial" w:hAnsi="Arial"/>
                <w:sz w:val="18"/>
                <w:szCs w:val="18"/>
                <w:color w:val="auto"/>
              </w:rPr>
              <w:t>Controls and Procedures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color w:val="auto"/>
              </w:rPr>
              <w:t>Item 9B.</w:t>
            </w:r>
          </w:p>
        </w:tc>
        <w:tc>
          <w:tcPr>
            <w:tcW w:w="9420" w:type="dxa"/>
            <w:vAlign w:val="bottom"/>
            <w:shd w:val="clear" w:color="auto" w:fill="CCFFCC"/>
          </w:tcPr>
          <w:p>
            <w:pPr>
              <w:ind w:left="80"/>
              <w:spacing w:after="0"/>
              <w:rPr>
                <w:sz w:val="20"/>
                <w:szCs w:val="20"/>
                <w:color w:val="auto"/>
              </w:rPr>
            </w:pPr>
            <w:r>
              <w:rPr>
                <w:rFonts w:ascii="Arial" w:cs="Arial" w:eastAsia="Arial" w:hAnsi="Arial"/>
                <w:sz w:val="18"/>
                <w:szCs w:val="18"/>
                <w:color w:val="auto"/>
              </w:rPr>
              <w:t>Other Information</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III.</w:t>
            </w:r>
          </w:p>
        </w:tc>
        <w:tc>
          <w:tcPr>
            <w:tcW w:w="94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Item 10.</w:t>
            </w:r>
          </w:p>
        </w:tc>
        <w:tc>
          <w:tcPr>
            <w:tcW w:w="9420" w:type="dxa"/>
            <w:vAlign w:val="bottom"/>
          </w:tcPr>
          <w:p>
            <w:pPr>
              <w:ind w:left="80"/>
              <w:spacing w:after="0"/>
              <w:rPr>
                <w:sz w:val="20"/>
                <w:szCs w:val="20"/>
                <w:color w:val="auto"/>
              </w:rPr>
            </w:pPr>
            <w:r>
              <w:rPr>
                <w:rFonts w:ascii="Arial" w:cs="Arial" w:eastAsia="Arial" w:hAnsi="Arial"/>
                <w:sz w:val="18"/>
                <w:szCs w:val="18"/>
                <w:color w:val="auto"/>
              </w:rPr>
              <w:t>Directors, Executive Officers and Corporate Governance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color w:val="auto"/>
              </w:rPr>
              <w:t>Item 11.</w:t>
            </w:r>
          </w:p>
        </w:tc>
        <w:tc>
          <w:tcPr>
            <w:tcW w:w="9420" w:type="dxa"/>
            <w:vAlign w:val="bottom"/>
            <w:shd w:val="clear" w:color="auto" w:fill="CCFFCC"/>
          </w:tcPr>
          <w:p>
            <w:pPr>
              <w:ind w:left="80"/>
              <w:spacing w:after="0"/>
              <w:rPr>
                <w:sz w:val="20"/>
                <w:szCs w:val="20"/>
                <w:color w:val="auto"/>
              </w:rPr>
            </w:pPr>
            <w:r>
              <w:rPr>
                <w:rFonts w:ascii="Arial" w:cs="Arial" w:eastAsia="Arial" w:hAnsi="Arial"/>
                <w:sz w:val="18"/>
                <w:szCs w:val="18"/>
                <w:color w:val="auto"/>
              </w:rPr>
              <w:t>Executive Compensation</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Item 12.</w:t>
            </w:r>
          </w:p>
        </w:tc>
        <w:tc>
          <w:tcPr>
            <w:tcW w:w="9420" w:type="dxa"/>
            <w:vAlign w:val="bottom"/>
          </w:tcPr>
          <w:p>
            <w:pPr>
              <w:ind w:left="8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color w:val="auto"/>
              </w:rPr>
              <w:t>Item 13.</w:t>
            </w:r>
          </w:p>
        </w:tc>
        <w:tc>
          <w:tcPr>
            <w:tcW w:w="9420" w:type="dxa"/>
            <w:vAlign w:val="bottom"/>
            <w:shd w:val="clear" w:color="auto" w:fill="CCFFCC"/>
          </w:tcPr>
          <w:p>
            <w:pPr>
              <w:ind w:left="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Item 14.</w:t>
            </w:r>
          </w:p>
        </w:tc>
        <w:tc>
          <w:tcPr>
            <w:tcW w:w="9420" w:type="dxa"/>
            <w:vAlign w:val="bottom"/>
          </w:tcPr>
          <w:p>
            <w:pPr>
              <w:ind w:left="80"/>
              <w:spacing w:after="0"/>
              <w:rPr>
                <w:sz w:val="20"/>
                <w:szCs w:val="20"/>
                <w:color w:val="auto"/>
              </w:rPr>
            </w:pPr>
            <w:r>
              <w:rPr>
                <w:rFonts w:ascii="Arial" w:cs="Arial" w:eastAsia="Arial" w:hAnsi="Arial"/>
                <w:sz w:val="18"/>
                <w:szCs w:val="18"/>
                <w:color w:val="auto"/>
              </w:rPr>
              <w:t>Principal Accounting Fees and Services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94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FFCC"/>
          </w:tcPr>
          <w:p>
            <w:pPr>
              <w:spacing w:after="0"/>
              <w:rPr>
                <w:sz w:val="20"/>
                <w:szCs w:val="20"/>
                <w:color w:val="auto"/>
              </w:rPr>
            </w:pPr>
            <w:r>
              <w:rPr>
                <w:rFonts w:ascii="Arial" w:cs="Arial" w:eastAsia="Arial" w:hAnsi="Arial"/>
                <w:sz w:val="18"/>
                <w:szCs w:val="18"/>
                <w:color w:val="auto"/>
              </w:rPr>
              <w:t>Item 15.</w:t>
            </w:r>
          </w:p>
        </w:tc>
        <w:tc>
          <w:tcPr>
            <w:tcW w:w="9420" w:type="dxa"/>
            <w:vAlign w:val="bottom"/>
            <w:shd w:val="clear" w:color="auto" w:fill="CCFFCC"/>
          </w:tcPr>
          <w:p>
            <w:pPr>
              <w:ind w:left="80"/>
              <w:spacing w:after="0"/>
              <w:rPr>
                <w:sz w:val="20"/>
                <w:szCs w:val="20"/>
                <w:color w:val="auto"/>
              </w:rPr>
            </w:pPr>
            <w:r>
              <w:rPr>
                <w:rFonts w:ascii="Arial" w:cs="Arial" w:eastAsia="Arial" w:hAnsi="Arial"/>
                <w:sz w:val="18"/>
                <w:szCs w:val="18"/>
                <w:color w:val="auto"/>
              </w:rPr>
              <w:t>Exhibits and Financial Statement Schedules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95"/>
              </w:rPr>
              <w:t>Signatures</w:t>
            </w:r>
          </w:p>
        </w:tc>
        <w:tc>
          <w:tcPr>
            <w:tcW w:w="94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9"/>
              </w:rPr>
              <w:t>3</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GSV Capital</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GSV Capital Corp. (formerly NeXt Innovation Corp., the “Company”, “we”, “our” or “GSV Capital”) is an externally managed, non-diversified closed-end management investment company that has elected to be treated as a business development company under the Investment Company Act of 1940, as amended (the “1940 Act”). Our investment objective is to maximize our portfolio’s total return, principally by seeking capital gains on our equity and equity-related investments. We invest principally in the equity securities of rapidly growing venture capital-backed emerging companies. We acquire our investments through secondary marketplaces for private companies, negotiations with selling stockholders and direct investments with prospective portfolio companies. We may also invest on an opportunistic basis in select publicly-traded equity securities or certain non-U.S. companies that otherwise meet our investment criteria. Our investment activities are managed by GSV Asset Management, LLC (“GSV Asset Management” or “investment adviser”), and GSV Capital Service Company, LLC (“GSV Capital Service Company” or the “administrator”) provides the administrative services necessary for us to operate.</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investment philosophy is premised on a disciplined approach of identifying high-growth emerging companies across several key industry themes which may include, among others, social media, mobility, cloud computing, software-as-a-service, green technology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Top tier venture capital funds or other financial or strategic sponsors have invested in many of the companies that our investment adviser evaluates.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seek to create a low-turnover portfolio that we expect will include diversified investments in 20 to 30 companies. As of December 31, 2011, we have completed investments in 21 companies for aggregate consideration of approximately $64.9 million (exclusive of transaction fees and costs), or 85.3% of the net proceeds from our initial public offering and subsequent follow-on offering.</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is traded on the NASDAQ Capital Market under the symbol “GSVC”. The net asset value per share of our common stock on December 31, 2011 was $12.95. On December 30, 2011, the last reported sale price of a share of our common stock on the NASDAQ Capital Market was $13.95.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GSV Asset Management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Our investment activities are managed by GSV Asset Management, an investment adviser registered under the Investment Advisers Act of 1940, as amended, or the ‘‘Advisers Act.’’ GSV Asset Management is led by Michael T. Moe, our president, chief executive officer and chairman of our board of directors. Mr. Moe is assisted by Stephen D. Bard, our chief financial officer, chief compliance officer, treasurer and corporate secretary and Luben Pampoulov, our vice-president, whom we refer to collectively as GSV Asset Management’s senior investment professionals. Mr. Moe co-founded and previously served as chairman and chief executive officer of ThinkEquity Partners, an asset management and investment banking firm focusing on venture capital, entrepreneurial and emerging growth companies. Prior to founding ThinkEquity, Mr. Moe served as Head of Global Growth Research at Merrill Lynch and before that served as Head of Growth Research and Strategy at Montgomery Securities. Mr. Moe has written extensively about investing in the emerging growth equity markets. His critically-acclaimed book, </w:t>
      </w:r>
      <w:r>
        <w:rPr>
          <w:rFonts w:ascii="Arial" w:cs="Arial" w:eastAsia="Arial" w:hAnsi="Arial"/>
          <w:sz w:val="17"/>
          <w:szCs w:val="17"/>
          <w:i w:val="1"/>
          <w:iCs w:val="1"/>
          <w:color w:val="auto"/>
        </w:rPr>
        <w:t>‘‘Finding the Next Starbucks,’’</w:t>
      </w:r>
      <w:r>
        <w:rPr>
          <w:rFonts w:ascii="Arial" w:cs="Arial" w:eastAsia="Arial" w:hAnsi="Arial"/>
          <w:sz w:val="17"/>
          <w:szCs w:val="17"/>
          <w:color w:val="auto"/>
        </w:rPr>
        <w:t xml:space="preserve"> articulates Mr. Moe’s investment process and philosophy which have been refined over more than two decades in the investment community.</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we benefit from the proven ability of our investment adviser’s senior investment professionals and board of advisers (the ‘‘Advisory Board’’) to identify attractive investment opportunities, conduct diligence on and value prospective investments, negotiate terms, and manage and monitor a diversified portfolio of those investments. See ‘‘Portfolio Management — Advisory Board to GSV Asset Management.’’ Our investment adviser’s senior investment professionals and Advisory Board members have broad investment backgrounds, with prior experience at investment banks, commercial banks, unregistered investment funds and other financial services companies, and have collectively developed a broad network of contacts that provides us with an important source of investment opportunities.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4" w:name="page5"/>
    <w:bookmarkEnd w:id="4"/>
    <w:p>
      <w:pPr>
        <w:jc w:val="both"/>
        <w:ind w:firstLine="648"/>
        <w:spacing w:after="0" w:line="269" w:lineRule="auto"/>
        <w:rPr>
          <w:sz w:val="20"/>
          <w:szCs w:val="20"/>
          <w:color w:val="auto"/>
        </w:rPr>
      </w:pPr>
      <w:r>
        <w:rPr>
          <w:rFonts w:ascii="Arial" w:cs="Arial" w:eastAsia="Arial" w:hAnsi="Arial"/>
          <w:sz w:val="17"/>
          <w:szCs w:val="17"/>
          <w:color w:val="auto"/>
        </w:rPr>
        <w:t>We pay GSV Asset Management a fee for its services under the Investment Advisory Agreement consisting of two components — a base management fee and an incentive fee. The base management fee is calculated at an annual rate of 2.00% of our gross assets, which includes any borrowings for investment purposes. The incentive fee is determined and payable in arrears as of the end of each calendar year (or upon termination of the Investment Advisory Agreement, as of the termination date), commencing on December 31, 2011, and will equal the lesser of (i) 20% of our realized capital gains during such calendar year, if any, calculated on an investment-by-investment basis, subject to a non-compounded preferred return, or ‘‘hurdle,’’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 See ‘‘Investment Advisory Agreement.’’ Although we do not currently have any specific plans to incur debt or use leverage, the terms for calculating the management fee create an incentive for our investment adviser to utilize leverage in the future because our management fee is based on our gross assets, including issuances of preferred stock and borrowings for investment purposes, rather than our net assets. We will be required, however, to obtain the approval of our board of directors before we incur any future indebtedness.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Opportunity</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technology industry is experiencing a convergence of numerous disruptive trends, producing new high-growth markets. The growth of both social networking and connected mobile devices, such as smartphones and tablets, has opened up new channels for communication and real-time collaboration. The number of devices and people that regularly connect to the Internet has increased dramatically in recent years, generating significant demand for always accessible, personalized and localized content and real-time online interactivity. These factors are creating opportunities for new market participants and significant growth for established companies with leading positions capitalizing on these trends.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the same time, the initial public offering, or ‘‘IPO,’’ markets have experienced substantial structural changes which have made it significantly more challenging for private companies to go public. Volatile equity markets, a lack of investment research coverage for smaller companies and investor demand for a longer history of earnings growth have resulted in companies staying private significantly longer than in the past. In addition, increased public company compliance obligations such as those imposed by the Sarbanes-Oxley Act of 2002 have made it more costly and less attractive to become a public company. As a result, there are significantly fewer IPOs today than there were a decade ago, with prospective public companies taking longer to come to market. For example, from 1991 − 2000, there were 4,361 IPOs in the United States, of which 1,701 were venture-capital backed. From 2001 − 2010, there were 1,016 IPOs, of which 369 were venture-capital backed.</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Because private companies are staying private longer, private investment in late stage companies has increased. Private secondary marketplaces, such as SharesPost and SecondMarket, have emerged as an alternative to traditional public equity exchanges to provide liquidity to private company stockholders, including employees, particularly within the technology sector. While such private secondary marketplaces generally have more limited transaction volume than public exchanges, they do provide accredited investors, such as ourselves, with access to equity investments in private companies. Such markets also provide a source for exiting private company investments, as well as price visibility from trading on a marketplace.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seek to create a portfolio of high-growth emerging private companies via a repeatable and disciplined investment approach, as well as to provide investors with access to such companies through our publicly traded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investment objective is to maximize our portfolio’s total return, principally by seeking capital gains on our equity investments. We have adopted the following business strategies to achieve our investment objective:</w:t>
      </w:r>
    </w:p>
    <w:p>
      <w:pPr>
        <w:spacing w:after="0" w:line="170" w:lineRule="exact"/>
        <w:rPr>
          <w:sz w:val="20"/>
          <w:szCs w:val="20"/>
          <w:color w:val="auto"/>
        </w:rPr>
      </w:pPr>
    </w:p>
    <w:p>
      <w:pPr>
        <w:jc w:val="both"/>
        <w:ind w:left="3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Identify high quality growth companies. </w:t>
      </w:r>
      <w:r>
        <w:rPr>
          <w:rFonts w:ascii="Arial" w:cs="Arial" w:eastAsia="Arial" w:hAnsi="Arial"/>
          <w:sz w:val="18"/>
          <w:szCs w:val="18"/>
          <w:color w:val="auto"/>
        </w:rPr>
        <w:t>Based on our extensive experience in analyzing technology trends and markets, we have identified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sub-sectors of social media, mobility, cloud computing, software-as-a-service, green technology and education technology, as opportunities where we believe companies are capable of producing substantial growth. We rely on our collective industry knowledge as well as an understanding of where leading venture capitalists are investing.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left="340" w:right="20"/>
        <w:spacing w:after="0" w:line="342" w:lineRule="auto"/>
        <w:rPr>
          <w:sz w:val="20"/>
          <w:szCs w:val="20"/>
          <w:color w:val="auto"/>
        </w:rPr>
      </w:pPr>
      <w:r>
        <w:rPr>
          <w:rFonts w:ascii="Arial" w:cs="Arial" w:eastAsia="Arial" w:hAnsi="Arial"/>
          <w:sz w:val="16"/>
          <w:szCs w:val="16"/>
          <w:color w:val="auto"/>
        </w:rPr>
        <w:t>We leverage a combination of our relationships throughout Silicon Valley and our independent research to identify leaders in our targeted sub-sectors that we believe are differentiated and best positioned for sustained growth. Our evaluation process is based on what we refer to as ‘‘the four Ps’’:</w:t>
      </w:r>
    </w:p>
    <w:p>
      <w:pPr>
        <w:spacing w:after="0" w:line="12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People — Organizations led by strong management teams with in-depth operational focus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 Differentiated and disruptive products with leading market positioning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 Large addressable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Predictability — Ability to forecast and drive predictable and sustainable growth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consider these to be the core elements for identifying rapidly growing emerging companies.</w:t>
      </w:r>
    </w:p>
    <w:p>
      <w:pPr>
        <w:spacing w:after="0" w:line="225" w:lineRule="exact"/>
        <w:rPr>
          <w:sz w:val="20"/>
          <w:szCs w:val="20"/>
          <w:color w:val="auto"/>
        </w:rPr>
      </w:pPr>
    </w:p>
    <w:p>
      <w:pPr>
        <w:jc w:val="both"/>
        <w:ind w:left="340" w:hanging="332"/>
        <w:spacing w:after="0" w:line="25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positions in targeted investments. </w:t>
      </w:r>
      <w:r>
        <w:rPr>
          <w:rFonts w:ascii="Arial" w:cs="Arial" w:eastAsia="Arial" w:hAnsi="Arial"/>
          <w:sz w:val="18"/>
          <w:szCs w:val="18"/>
          <w:color w:val="auto"/>
        </w:rPr>
        <w:t>We seek to build our portfolio by sourcing investments at an acceptable price through our disciplined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strategy. To this end, we utilize multiple methods to acquire equity stakes in private companies that are not available to many individual investors.</w:t>
      </w:r>
    </w:p>
    <w:p>
      <w:pPr>
        <w:jc w:val="both"/>
        <w:ind w:left="340" w:firstLine="324"/>
        <w:spacing w:after="0" w:line="265" w:lineRule="auto"/>
        <w:rPr>
          <w:rFonts w:ascii="Arial" w:cs="Arial" w:eastAsia="Arial" w:hAnsi="Arial"/>
          <w:sz w:val="18"/>
          <w:szCs w:val="18"/>
          <w:color w:val="auto"/>
        </w:rPr>
      </w:pPr>
      <w:r>
        <w:rPr>
          <w:rFonts w:ascii="Arial" w:cs="Arial" w:eastAsia="Arial" w:hAnsi="Arial"/>
          <w:sz w:val="17"/>
          <w:szCs w:val="17"/>
          <w:i w:val="1"/>
          <w:iCs w:val="1"/>
          <w:color w:val="auto"/>
        </w:rPr>
        <w:t xml:space="preserve">Private secondary marketplaces and direct share purchases. </w:t>
      </w:r>
      <w:r>
        <w:rPr>
          <w:rFonts w:ascii="Arial" w:cs="Arial" w:eastAsia="Arial" w:hAnsi="Arial"/>
          <w:sz w:val="17"/>
          <w:szCs w:val="17"/>
          <w:color w:val="auto"/>
        </w:rPr>
        <w:t>We utilize private secondary marketplaces as a means to acquire equity investments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privately-held companies that meet our investment criteria and that we believe are attractive candidates for investment. We believe that such markets offer efficient execution versus alternative methods and provide a potential source of liquidity should we decide to exit an investment. In addition, we also purchase shares directly from stockholders, including current or former employees. As certain companies grow and experience significant increased value while remaining private, employees and other stockholders may seek liquidity by selling shares directly to a third party. Sales of shares in private companies are typically restricted by contractual transfer restrictions and company employment policies, which may impose strict limits on transfer. We believe that our investment professionals’ reputation within the industry and history of investing affords us a favorable position when seeking approval for a purchase of shares subject to such limitations.</w:t>
      </w:r>
    </w:p>
    <w:p>
      <w:pPr>
        <w:spacing w:after="0" w:line="1" w:lineRule="exact"/>
        <w:rPr>
          <w:rFonts w:ascii="Arial" w:cs="Arial" w:eastAsia="Arial" w:hAnsi="Arial"/>
          <w:sz w:val="18"/>
          <w:szCs w:val="18"/>
          <w:color w:val="auto"/>
        </w:rPr>
      </w:pPr>
    </w:p>
    <w:p>
      <w:pPr>
        <w:jc w:val="both"/>
        <w:ind w:left="340" w:firstLine="324"/>
        <w:spacing w:after="0" w:line="253" w:lineRule="auto"/>
        <w:rPr>
          <w:rFonts w:ascii="Arial" w:cs="Arial" w:eastAsia="Arial" w:hAnsi="Arial"/>
          <w:sz w:val="18"/>
          <w:szCs w:val="18"/>
          <w:color w:val="auto"/>
        </w:rPr>
      </w:pPr>
      <w:r>
        <w:rPr>
          <w:rFonts w:ascii="Arial" w:cs="Arial" w:eastAsia="Arial" w:hAnsi="Arial"/>
          <w:sz w:val="18"/>
          <w:szCs w:val="18"/>
          <w:i w:val="1"/>
          <w:iCs w:val="1"/>
          <w:color w:val="auto"/>
        </w:rPr>
        <w:t xml:space="preserve">Direct equity investments. </w:t>
      </w:r>
      <w:r>
        <w:rPr>
          <w:rFonts w:ascii="Arial" w:cs="Arial" w:eastAsia="Arial" w:hAnsi="Arial"/>
          <w:sz w:val="18"/>
          <w:szCs w:val="18"/>
          <w:color w:val="auto"/>
        </w:rPr>
        <w:t>We also seek direct investments in private companies. There is a large market among emerging private companies for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capital investments. Many of these companies, particularly within the technology sector, lack the necessary cash flows to sustain substantial amounts of debt, and therefore have viewed equity capital as a more attractive long-term financing tool. We seek to be a source of such equity capital as a means of investing in these companies and look for opportunities to invest alongside other private equity and venture capital investors with whom we have established relationships.</w:t>
      </w:r>
    </w:p>
    <w:p>
      <w:pPr>
        <w:spacing w:after="0" w:line="19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Create access to a diverse investment portfolio. </w:t>
      </w:r>
      <w:r>
        <w:rPr>
          <w:rFonts w:ascii="Arial" w:cs="Arial" w:eastAsia="Arial" w:hAnsi="Arial"/>
          <w:sz w:val="18"/>
          <w:szCs w:val="18"/>
          <w:color w:val="auto"/>
        </w:rPr>
        <w:t>We seek to hold a diverse portfolio of non-controlling equity investments, which we believe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minimize the impact on our portfolio of a negative downturn at any one specific company. We believe that our relatively diversified portfolio will provide a convenient means for accredited and non-accredited individual investors to obtain access to an asset class that has generally been limited to venture capital, private equity and similar large institutional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we will benefit from the following competitive advantages in executing our investment strategy:</w:t>
      </w:r>
    </w:p>
    <w:p>
      <w:pPr>
        <w:spacing w:after="0" w:line="225" w:lineRule="exact"/>
        <w:rPr>
          <w:sz w:val="20"/>
          <w:szCs w:val="20"/>
          <w:color w:val="auto"/>
        </w:rPr>
      </w:pPr>
    </w:p>
    <w:p>
      <w:pPr>
        <w:jc w:val="both"/>
        <w:ind w:left="340" w:hanging="332"/>
        <w:spacing w:after="0" w:line="270"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Highly experienced team of investment professionals. </w:t>
      </w:r>
      <w:r>
        <w:rPr>
          <w:rFonts w:ascii="Arial" w:cs="Arial" w:eastAsia="Arial" w:hAnsi="Arial"/>
          <w:sz w:val="17"/>
          <w:szCs w:val="17"/>
          <w:color w:val="auto"/>
        </w:rPr>
        <w:t>Our investment adviser’s senior investment professionals, its Advisory Board and our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have significant experience researching and investing in the types of rapidly growing venture capital-backed emerging companies we are targeting for investment. Michael T. Moe, our president, chief executive officer, chairman of our board of directors and the chief investment officer of GSV Asset Management, co-founded and previously served as chairman and chief executive officer of ThinkEquity Partners, an asset management and investment banking firm focusing on venture capital, entrepreneurial and emerging growth companies. Prior to founding ThinkEquity, Mr. Moe served as Head of Global Growth Research at Merrill Lynch and before that served as Head of Growth Research and Strategy at Montgomery Securities. Since 2006, our investment adviser’s senior investment professionals have managed private funds that have invested in, and have published research on, the types of privately-held companies we intend to target for investment. Through our proprietary company evaluation process, including our identification of technology trends and themes and company research, we believe we have developed important insight into identifying and valuing emerging private companies.</w:t>
      </w:r>
    </w:p>
    <w:p>
      <w:pPr>
        <w:spacing w:after="0" w:line="177"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Disciplined and repeatable investment process. </w:t>
      </w:r>
      <w:r>
        <w:rPr>
          <w:rFonts w:ascii="Arial" w:cs="Arial" w:eastAsia="Arial" w:hAnsi="Arial"/>
          <w:sz w:val="18"/>
          <w:szCs w:val="18"/>
          <w:color w:val="auto"/>
        </w:rPr>
        <w:t>We have established a disciplined process to locate and acquire available shares at attractive valuations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utilizing multiple sources. In contrast to industry ‘‘aggregators’’ that accumulate stock at market prices, we conduct valuation analyses and make acquisitions only when we can invest at valuations that we believe are attractive to our investors. Following this process, we have successfully completed investments in the 21 companies in our portfolio as of December 31, 2011.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6" w:name="page7"/>
    <w:bookmarkEnd w:id="6"/>
    <w:p>
      <w:pPr>
        <w:jc w:val="both"/>
        <w:ind w:left="340" w:hanging="332"/>
        <w:spacing w:after="0" w:line="276"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Deep relationships with significant credibility to source and complete transactions. </w:t>
      </w:r>
      <w:r>
        <w:rPr>
          <w:rFonts w:ascii="Arial" w:cs="Arial" w:eastAsia="Arial" w:hAnsi="Arial"/>
          <w:sz w:val="17"/>
          <w:szCs w:val="17"/>
          <w:color w:val="auto"/>
        </w:rPr>
        <w:t>GSV Asset Management and its senior investment professionals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strategically located in the heart of Silicon Valley in Woodside, California. During the course of over two decades of researching and investing in emerging private companies, our investment adviser’s senior investment professionals have developed strong reputations within the investing community, particularly within technology-related sectors. Our investment adviser’s Advisory Board members and our board of directors have also developed strong relationships in the financial, investing and technology-related sectors.</w:t>
      </w:r>
    </w:p>
    <w:p>
      <w:pPr>
        <w:spacing w:after="0" w:line="172"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Source of permanent investing capital. </w:t>
      </w:r>
      <w:r>
        <w:rPr>
          <w:rFonts w:ascii="Arial" w:cs="Arial" w:eastAsia="Arial" w:hAnsi="Arial"/>
          <w:sz w:val="18"/>
          <w:szCs w:val="18"/>
          <w:color w:val="auto"/>
        </w:rPr>
        <w:t>As a publicly-traded corporation, we have access to a source of permanent equity capital which we can use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 in portfolio companies. This permanent equity capital is a significant differentiator from other potential financial sponsor investors that may be required to return capital to stockholders on a defined schedule. We believe that our ability to invest on a long-term time horizon makes us attractive to companies looking for strong, stable owners of their equity.</w:t>
      </w:r>
    </w:p>
    <w:p>
      <w:pPr>
        <w:spacing w:after="0" w:line="186"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Early mover advantage. </w:t>
      </w:r>
      <w:r>
        <w:rPr>
          <w:rFonts w:ascii="Arial" w:cs="Arial" w:eastAsia="Arial" w:hAnsi="Arial"/>
          <w:sz w:val="17"/>
          <w:szCs w:val="17"/>
          <w:color w:val="auto"/>
        </w:rPr>
        <w:t>We believe we are one of the few publicly traded business development company with a specific focus on investing in rapidly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growing venture capital-backed emerging companies. Moreover, we believe we are the only one to focus on acquiring secondary shares as a key component of our strategy. Despite our limited track record, the transactions that we have executed to date since our IPO have helped to establish our reputation with the types of secondary sellers and emerging companies that we target for investment. We have leveraged multiple relationships and channels to acquire the equity of private companies. As we continue to grow our portfolio with attractive investments, we believe that our reputation as a committed partner will be further enhanced, allowing us to source and close investments that would otherwise be unavailable. We believe that these factors collectively differentiate us from other potential investors in private company securities and will potentially enable us to complete equity transactions in top tier private companies at attractive valuations.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GSV Capital was formed in September 2010 as a Maryland corporation to be an externally managed, non-diversified closed-end management investment company. We completed our initial public offering in April 2011 and have elected to be treated as a business development company under the 1940 Act. As a business development company, we are required to meet regulatory tests, including the requirement to invest at least 70% of our gross assets in ‘‘qualifying assets.’’ Qualifying assets generally include, among other things, securities of ‘‘eligible portfolio companies.’’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 current gross assets were comprised of qualifying assets. We would not be required, however, to dispose of any non-qualifying assets in such circumstances. See ‘‘Regulation as a Business Development Company.’’ In addition, we intend to elect to be treated for federal income tax purposes, and intend to qualify annually thereafter, as a regulated investment company (‘‘RIC’’) under Subchapter M of the Code. See ‘‘Material U.S. Federal Income Tax Considerations.’’</w:t>
      </w:r>
    </w:p>
    <w:p>
      <w:pPr>
        <w:spacing w:after="0" w:line="16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investment activities are managed by GSV Asset Management and supervised by our board of directors. GSV Asset Management is an investment adviser registered under the Advisers Act. Under our investment advisory agreement, which we refer to as the Investment Advisory Agreement, we have agreed to pay GSV Asset Management an annual base management fee based on our gross assets as well as an incentive fee based on our performance. See ‘‘Investment Advisory Agreement.’’ We have also entered into an administration agreement, which we refer to as the Administration Agreement, under which we have agreed to reimburse GSV Capital Service Company for our allocable portion of overhead and other expenses incurred.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Concentrated Technology-related Focus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course of over two decades of researching and investing in non-public companies, we have identified five areas from which we expect to see significant numbers of high-growth companies emerge: new media, communication, alternative energy, education technology, and the consumerization of information technology. These broad markets produce disruptive technologies, reach a large addressable market and provide significant commercial opportunities. Within these areas we have identified broad trends that could create significant positive effects on growth such as globalization, consolidation, branding, convergence and network effects. From within these broad technology themes, we have selected six sub-segments in which we target companies for investment: social media, mobility, cloud computing, software-as-a-service applications, green technology and education technology. We remain focused on selecting market leaders within the sub-segments we have identified, while continuing to review our pipeline to ensure we are tracking the next phase of leaders.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Investment Targeting and Screening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identify prospective portfolio companies through an extensive network of relationships developed by our investment professionals, supplemented by the knowledge and relationships of our investment adviser’s Advisory Board and our board of directors. Investment opportunities that fall within our identified themes are validated against the observed behavior of leading venture capitalists and through our own internal and external research. We evaluate potential portfolio companies across a spectrum of criteria, including ‘‘the four Ps’’, industry positioning and leadership, stage of growth, and several other factors that collectively characterize our proprietary investment process. Target companies include well-established, late stage companies as well as emerging leaders that we believe can generate high returns from early investment. Based on our initial screening, we identify a select set of companies which we evaluate in greater depth.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Due Diligence Process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Once we identify those companies that we believe warrant more in-depth analysis, we focus on their revenue growth, revenue quality and sustainability and earnings growth, as well as other metrics that may be strongly correlated with higher valuations. We also focus on the company’s management team and any significant financial sponsor, the current business model, competitive positioning, regulatory and legal issues, and the quality of any intellectual property. Each prospective portfolio company that passes our initial due diligence review is given a qualitative ranking to allow us to evaluate it against others in our pipeline, and we review and update these companies on a regular basis.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due diligence process will vary depending on whether we are investing through a private secondary transaction on a marketplace or with a selling stockholder or by direct equity investment. We access information on our potential investments through a variety of sources, including information made available on secondary marketplaces, publications by private company research firms, industry publications, commissioned analysis by third-party research firms, and, to a limited extent, directly from the company or financial sponsor. We utilize a combination of each of these sources to help us set a target value for the companies we ultimately select for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Construction and Sourcing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completion of our research and due diligence process, we select investments for inclusion in our portfolio based on their relative qualitative ranking, fundamentals and valuation. We seek to create a relatively diversified portfolio that we expect will include investments in 20 to 30 private companies. We generally choose to pursue specific investments based on the availability of shares and valuation expectations. We utilize a combination of secondary marketplaces, direct purchases from stockholders and direct equity investments in order to make investments in our portfolio companies. Once we have established an initial position in a portfolio company, we may choose to increase our stake through subsequent purchases. Maintaining a balanced portfolio is a key to our success, and as a result we constantly evaluate the composition of our investments and our pipeline to ensure we are exposed to a diverse set of companies within our target segments.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Execution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negotiate purchase agreements for each of our private company portfolio investments. Private company securities are typically subject to contractual transfer limitations, which may, among other things, give the issuer or its stockholders a particular period of time, often 30 days, in which to exercise a veto right, or a right of first refusal over, the sale of such securities. Accordingly, the purchase agreements we enter into for secondary transactions typically require the lapse or satisfaction of these rights as a condition to closing. Under these circumstances, we are generally required to deposit the purchase price into escrow upon signing with the funds released to the seller at closing or returned to us if the closing conditions are not met.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and Monitoring</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monitor the financial trends of each portfolio company to assess our exposure to individual companies as well as to evaluate overall portfolio quality. We establish valuation targets at the portfolio level and for gross and net exposures with respect to specific companies and industries within our overall portfolio. In cases where we make a direct investment in a portfolio company, we may also obtain board positions or board observation rights from that portfolio company in connection with our equity investment. We regularly monitor our portfolio for compliance with the diversification requirements for purposes of maintaining our status as a 1940 Act business development company and a RIC for tax purposes.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Portfolio Overview</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At December 31, 2011, our portfolio was invested approximately 65.7% in common shares, 27.2% in preferred shares, 7.0% in structured notes and 0.1% in equity warrants. Such percentages are not inclusive of our holdings in a United States Treasury bill and money market funds.</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ten largest portfolio company investments at December 31, 2011, based on the combined fair value of the equity and debt securities we hold in each portfolio company, were as follows: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0"/>
              </w:rPr>
              <w:t>At December 31, 2011</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91"/>
        </w:trPr>
        <w:tc>
          <w:tcPr>
            <w:tcW w:w="31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560"/>
              <w:spacing w:after="0" w:line="191" w:lineRule="exact"/>
              <w:rPr>
                <w:sz w:val="20"/>
                <w:szCs w:val="20"/>
                <w:color w:val="auto"/>
              </w:rPr>
            </w:pPr>
            <w:r>
              <w:rPr>
                <w:rFonts w:ascii="Arial" w:cs="Arial" w:eastAsia="Arial" w:hAnsi="Arial"/>
                <w:sz w:val="18"/>
                <w:szCs w:val="18"/>
                <w:b w:val="1"/>
                <w:bCs w:val="1"/>
                <w:color w:val="auto"/>
                <w:w w:val="96"/>
              </w:rPr>
              <w:t>Fair</w:t>
            </w:r>
          </w:p>
        </w:tc>
        <w:tc>
          <w:tcPr>
            <w:tcW w:w="10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 of Net</w:t>
            </w:r>
          </w:p>
        </w:tc>
        <w:tc>
          <w:tcPr>
            <w:tcW w:w="180" w:type="dxa"/>
            <w:vAlign w:val="bottom"/>
          </w:tcPr>
          <w:p>
            <w:pPr>
              <w:spacing w:after="0"/>
              <w:rPr>
                <w:sz w:val="16"/>
                <w:szCs w:val="16"/>
                <w:color w:val="auto"/>
              </w:rPr>
            </w:pP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2780" w:type="dxa"/>
            <w:vAlign w:val="bottom"/>
          </w:tcPr>
          <w:p>
            <w:pPr>
              <w:ind w:left="1060"/>
              <w:spacing w:after="0"/>
              <w:rPr>
                <w:sz w:val="20"/>
                <w:szCs w:val="20"/>
                <w:color w:val="auto"/>
              </w:rPr>
            </w:pPr>
            <w:r>
              <w:rPr>
                <w:rFonts w:ascii="Arial" w:cs="Arial" w:eastAsia="Arial" w:hAnsi="Arial"/>
                <w:sz w:val="18"/>
                <w:szCs w:val="18"/>
                <w:b w:val="1"/>
                <w:bCs w:val="1"/>
                <w:color w:val="auto"/>
              </w:rPr>
              <w:t>Industry</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Value</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Asset Value</w:t>
            </w:r>
          </w:p>
        </w:tc>
      </w:tr>
      <w:tr>
        <w:trPr>
          <w:trHeight w:val="195"/>
        </w:trPr>
        <w:tc>
          <w:tcPr>
            <w:tcW w:w="3160" w:type="dxa"/>
            <w:vAlign w:val="bottom"/>
            <w:shd w:val="clear" w:color="auto" w:fill="CCFFCC"/>
          </w:tcPr>
          <w:p>
            <w:pPr>
              <w:spacing w:after="0"/>
              <w:rPr>
                <w:sz w:val="16"/>
                <w:szCs w:val="16"/>
                <w:color w:val="auto"/>
              </w:rPr>
            </w:pPr>
          </w:p>
        </w:tc>
        <w:tc>
          <w:tcPr>
            <w:tcW w:w="2780" w:type="dxa"/>
            <w:vAlign w:val="bottom"/>
            <w:tcBorders>
              <w:top w:val="single" w:sz="8" w:color="auto"/>
            </w:tcBorders>
            <w:shd w:val="clear" w:color="auto" w:fill="CCFFCC"/>
          </w:tcPr>
          <w:p>
            <w:pPr>
              <w:jc w:val="center"/>
              <w:ind w:left="30"/>
              <w:spacing w:after="0" w:line="195" w:lineRule="exact"/>
              <w:rPr>
                <w:sz w:val="20"/>
                <w:szCs w:val="20"/>
                <w:color w:val="auto"/>
              </w:rPr>
            </w:pPr>
            <w:r>
              <w:rPr>
                <w:rFonts w:ascii="Arial" w:cs="Arial" w:eastAsia="Arial" w:hAnsi="Arial"/>
                <w:sz w:val="18"/>
                <w:szCs w:val="18"/>
                <w:color w:val="auto"/>
                <w:w w:val="93"/>
              </w:rPr>
              <w:t>Social</w:t>
            </w:r>
          </w:p>
        </w:tc>
        <w:tc>
          <w:tcPr>
            <w:tcW w:w="220" w:type="dxa"/>
            <w:vAlign w:val="bottom"/>
            <w:shd w:val="clear" w:color="auto" w:fill="CCFFCC"/>
          </w:tcPr>
          <w:p>
            <w:pPr>
              <w:spacing w:after="0"/>
              <w:rPr>
                <w:sz w:val="16"/>
                <w:szCs w:val="16"/>
                <w:color w:val="auto"/>
              </w:rPr>
            </w:pPr>
          </w:p>
        </w:tc>
        <w:tc>
          <w:tcPr>
            <w:tcW w:w="180" w:type="dxa"/>
            <w:vAlign w:val="bottom"/>
            <w:tcBorders>
              <w:top w:val="single" w:sz="8" w:color="auto"/>
            </w:tcBorders>
            <w:shd w:val="clear" w:color="auto" w:fill="CCFFCC"/>
          </w:tcPr>
          <w:p>
            <w:pPr>
              <w:spacing w:after="0"/>
              <w:rPr>
                <w:sz w:val="16"/>
                <w:szCs w:val="16"/>
                <w:color w:val="auto"/>
              </w:rPr>
            </w:pPr>
          </w:p>
        </w:tc>
        <w:tc>
          <w:tcPr>
            <w:tcW w:w="900" w:type="dxa"/>
            <w:vAlign w:val="bottom"/>
            <w:tcBorders>
              <w:top w:val="single" w:sz="8" w:color="auto"/>
            </w:tcBorders>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180" w:type="dxa"/>
            <w:vAlign w:val="bottom"/>
            <w:tcBorders>
              <w:top w:val="single" w:sz="8" w:color="auto"/>
            </w:tcBorders>
            <w:shd w:val="clear" w:color="auto" w:fill="CCFFCC"/>
          </w:tcPr>
          <w:p>
            <w:pPr>
              <w:spacing w:after="0"/>
              <w:rPr>
                <w:sz w:val="16"/>
                <w:szCs w:val="16"/>
                <w:color w:val="auto"/>
              </w:rPr>
            </w:pPr>
          </w:p>
        </w:tc>
        <w:tc>
          <w:tcPr>
            <w:tcW w:w="920" w:type="dxa"/>
            <w:vAlign w:val="bottom"/>
            <w:tcBorders>
              <w:top w:val="single" w:sz="8" w:color="auto"/>
            </w:tcBorders>
            <w:shd w:val="clear" w:color="auto" w:fill="CCFFCC"/>
          </w:tcPr>
          <w:p>
            <w:pPr>
              <w:spacing w:after="0"/>
              <w:rPr>
                <w:sz w:val="16"/>
                <w:szCs w:val="16"/>
                <w:color w:val="auto"/>
              </w:rPr>
            </w:pPr>
          </w:p>
        </w:tc>
        <w:tc>
          <w:tcPr>
            <w:tcW w:w="360" w:type="dxa"/>
            <w:vAlign w:val="bottom"/>
            <w:tcBorders>
              <w:right w:val="single" w:sz="8" w:color="CCFFCC"/>
            </w:tcBorders>
            <w:shd w:val="clear" w:color="auto" w:fill="CCFFCC"/>
          </w:tcPr>
          <w:p>
            <w:pPr>
              <w:spacing w:after="0"/>
              <w:rPr>
                <w:sz w:val="16"/>
                <w:szCs w:val="16"/>
                <w:color w:val="auto"/>
              </w:rPr>
            </w:pPr>
          </w:p>
        </w:tc>
        <w:tc>
          <w:tcPr>
            <w:tcW w:w="1080" w:type="dxa"/>
            <w:vAlign w:val="bottom"/>
            <w:tcBorders>
              <w:top w:val="single" w:sz="8" w:color="auto"/>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r>
      <w:tr>
        <w:trPr>
          <w:trHeight w:val="230"/>
        </w:trPr>
        <w:tc>
          <w:tcPr>
            <w:tcW w:w="31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Twitter, Inc.</w:t>
            </w:r>
          </w:p>
        </w:tc>
        <w:tc>
          <w:tcPr>
            <w:tcW w:w="278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92"/>
              </w:rPr>
              <w:t>Communication</w:t>
            </w: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12,304,345</w:t>
            </w:r>
          </w:p>
        </w:tc>
        <w:tc>
          <w:tcPr>
            <w:tcW w:w="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12,113,493</w:t>
            </w:r>
          </w:p>
        </w:tc>
        <w:tc>
          <w:tcPr>
            <w:tcW w:w="360" w:type="dxa"/>
            <w:vAlign w:val="bottom"/>
            <w:tcBorders>
              <w:right w:val="single" w:sz="8" w:color="CCFFCC"/>
            </w:tcBorders>
            <w:shd w:val="clear" w:color="auto" w:fill="CCFFCC"/>
          </w:tcPr>
          <w:p>
            <w:pPr>
              <w:spacing w:after="0"/>
              <w:rPr>
                <w:sz w:val="20"/>
                <w:szCs w:val="20"/>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16.94%</w:t>
            </w:r>
          </w:p>
        </w:tc>
      </w:tr>
      <w:tr>
        <w:trPr>
          <w:trHeight w:val="202"/>
        </w:trPr>
        <w:tc>
          <w:tcPr>
            <w:tcW w:w="3160" w:type="dxa"/>
            <w:vAlign w:val="bottom"/>
          </w:tcPr>
          <w:p>
            <w:pPr>
              <w:spacing w:after="0"/>
              <w:rPr>
                <w:sz w:val="17"/>
                <w:szCs w:val="17"/>
                <w:color w:val="auto"/>
              </w:rPr>
            </w:pPr>
          </w:p>
        </w:tc>
        <w:tc>
          <w:tcPr>
            <w:tcW w:w="278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3"/>
              </w:rPr>
              <w:t>Social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160" w:type="dxa"/>
            <w:vAlign w:val="bottom"/>
          </w:tcPr>
          <w:p>
            <w:pPr>
              <w:ind w:left="100"/>
              <w:spacing w:after="0"/>
              <w:rPr>
                <w:sz w:val="20"/>
                <w:szCs w:val="20"/>
                <w:color w:val="auto"/>
              </w:rPr>
            </w:pPr>
            <w:r>
              <w:rPr>
                <w:rFonts w:ascii="Arial" w:cs="Arial" w:eastAsia="Arial" w:hAnsi="Arial"/>
                <w:sz w:val="18"/>
                <w:szCs w:val="18"/>
                <w:color w:val="auto"/>
              </w:rPr>
              <w:t>Facebook, Inc.</w:t>
            </w:r>
          </w:p>
        </w:tc>
        <w:tc>
          <w:tcPr>
            <w:tcW w:w="2780" w:type="dxa"/>
            <w:vAlign w:val="bottom"/>
          </w:tcPr>
          <w:p>
            <w:pPr>
              <w:jc w:val="center"/>
              <w:ind w:left="70"/>
              <w:spacing w:after="0"/>
              <w:rPr>
                <w:sz w:val="20"/>
                <w:szCs w:val="20"/>
                <w:color w:val="auto"/>
              </w:rPr>
            </w:pPr>
            <w:r>
              <w:rPr>
                <w:rFonts w:ascii="Arial" w:cs="Arial" w:eastAsia="Arial" w:hAnsi="Arial"/>
                <w:sz w:val="18"/>
                <w:szCs w:val="18"/>
                <w:color w:val="auto"/>
                <w:w w:val="95"/>
              </w:rPr>
              <w:t>Networking</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10,465,981</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10,462,500</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14.63</w:t>
            </w:r>
          </w:p>
        </w:tc>
        <w:tc>
          <w:tcPr>
            <w:tcW w:w="180" w:type="dxa"/>
            <w:vAlign w:val="bottom"/>
          </w:tcPr>
          <w:p>
            <w:pPr>
              <w:spacing w:after="0"/>
              <w:rPr>
                <w:sz w:val="20"/>
                <w:szCs w:val="20"/>
                <w:color w:val="auto"/>
              </w:rPr>
            </w:pPr>
          </w:p>
        </w:tc>
      </w:tr>
      <w:tr>
        <w:trPr>
          <w:trHeight w:val="202"/>
        </w:trPr>
        <w:tc>
          <w:tcPr>
            <w:tcW w:w="3160" w:type="dxa"/>
            <w:vAlign w:val="bottom"/>
            <w:shd w:val="clear" w:color="auto" w:fill="CCFFCC"/>
          </w:tcPr>
          <w:p>
            <w:pPr>
              <w:spacing w:after="0"/>
              <w:rPr>
                <w:sz w:val="17"/>
                <w:szCs w:val="17"/>
                <w:color w:val="auto"/>
              </w:rPr>
            </w:pPr>
          </w:p>
        </w:tc>
        <w:tc>
          <w:tcPr>
            <w:tcW w:w="2780" w:type="dxa"/>
            <w:vAlign w:val="bottom"/>
            <w:shd w:val="clear" w:color="auto" w:fill="CCFFCC"/>
          </w:tcPr>
          <w:p>
            <w:pPr>
              <w:jc w:val="center"/>
              <w:ind w:left="50"/>
              <w:spacing w:after="0" w:line="201" w:lineRule="exact"/>
              <w:rPr>
                <w:sz w:val="20"/>
                <w:szCs w:val="20"/>
                <w:color w:val="auto"/>
              </w:rPr>
            </w:pPr>
            <w:r>
              <w:rPr>
                <w:rFonts w:ascii="Arial" w:cs="Arial" w:eastAsia="Arial" w:hAnsi="Arial"/>
                <w:sz w:val="18"/>
                <w:szCs w:val="18"/>
                <w:color w:val="auto"/>
                <w:w w:val="91"/>
              </w:rPr>
              <w:t>Textbook</w:t>
            </w:r>
          </w:p>
        </w:tc>
        <w:tc>
          <w:tcPr>
            <w:tcW w:w="2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360" w:type="dxa"/>
            <w:vAlign w:val="bottom"/>
            <w:tcBorders>
              <w:right w:val="single" w:sz="8" w:color="CCFFCC"/>
            </w:tcBorders>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30"/>
        </w:trPr>
        <w:tc>
          <w:tcPr>
            <w:tcW w:w="31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Chegg, Inc.</w:t>
            </w:r>
          </w:p>
        </w:tc>
        <w:tc>
          <w:tcPr>
            <w:tcW w:w="278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92"/>
              </w:rPr>
              <w:t>Rental</w:t>
            </w:r>
          </w:p>
        </w:tc>
        <w:tc>
          <w:tcPr>
            <w:tcW w:w="2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6,003,694</w:t>
            </w:r>
          </w:p>
        </w:tc>
        <w:tc>
          <w:tcPr>
            <w:tcW w:w="3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5,999,996</w:t>
            </w:r>
          </w:p>
        </w:tc>
        <w:tc>
          <w:tcPr>
            <w:tcW w:w="360" w:type="dxa"/>
            <w:vAlign w:val="bottom"/>
            <w:tcBorders>
              <w:right w:val="single" w:sz="8" w:color="CCFFCC"/>
            </w:tcBorders>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8.39</w:t>
            </w:r>
          </w:p>
        </w:tc>
        <w:tc>
          <w:tcPr>
            <w:tcW w:w="180" w:type="dxa"/>
            <w:vAlign w:val="bottom"/>
            <w:shd w:val="clear" w:color="auto" w:fill="CCFFCC"/>
          </w:tcPr>
          <w:p>
            <w:pPr>
              <w:spacing w:after="0"/>
              <w:rPr>
                <w:sz w:val="20"/>
                <w:szCs w:val="20"/>
                <w:color w:val="auto"/>
              </w:rPr>
            </w:pPr>
          </w:p>
        </w:tc>
      </w:tr>
      <w:tr>
        <w:trPr>
          <w:trHeight w:val="202"/>
        </w:trPr>
        <w:tc>
          <w:tcPr>
            <w:tcW w:w="3160" w:type="dxa"/>
            <w:vAlign w:val="bottom"/>
          </w:tcPr>
          <w:p>
            <w:pPr>
              <w:spacing w:after="0"/>
              <w:rPr>
                <w:sz w:val="17"/>
                <w:szCs w:val="17"/>
                <w:color w:val="auto"/>
              </w:rPr>
            </w:pPr>
          </w:p>
        </w:tc>
        <w:tc>
          <w:tcPr>
            <w:tcW w:w="278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0"/>
              </w:rPr>
              <w:t>e-Commerce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160" w:type="dxa"/>
            <w:vAlign w:val="bottom"/>
          </w:tcPr>
          <w:p>
            <w:pPr>
              <w:ind w:left="100"/>
              <w:spacing w:after="0"/>
              <w:rPr>
                <w:sz w:val="20"/>
                <w:szCs w:val="20"/>
                <w:color w:val="auto"/>
              </w:rPr>
            </w:pPr>
            <w:r>
              <w:rPr>
                <w:rFonts w:ascii="Arial" w:cs="Arial" w:eastAsia="Arial" w:hAnsi="Arial"/>
                <w:sz w:val="18"/>
                <w:szCs w:val="18"/>
                <w:color w:val="auto"/>
              </w:rPr>
              <w:t>Gilt Groupe, Inc.</w:t>
            </w:r>
          </w:p>
        </w:tc>
        <w:tc>
          <w:tcPr>
            <w:tcW w:w="2780" w:type="dxa"/>
            <w:vAlign w:val="bottom"/>
          </w:tcPr>
          <w:p>
            <w:pPr>
              <w:jc w:val="center"/>
              <w:ind w:left="70"/>
              <w:spacing w:after="0"/>
              <w:rPr>
                <w:sz w:val="20"/>
                <w:szCs w:val="20"/>
                <w:color w:val="auto"/>
              </w:rPr>
            </w:pPr>
            <w:r>
              <w:rPr>
                <w:rFonts w:ascii="Arial" w:cs="Arial" w:eastAsia="Arial" w:hAnsi="Arial"/>
                <w:sz w:val="18"/>
                <w:szCs w:val="18"/>
                <w:color w:val="auto"/>
                <w:w w:val="87"/>
              </w:rPr>
              <w:t>Flash Sales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5,576,979</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5,499,250</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7.69</w:t>
            </w:r>
          </w:p>
        </w:tc>
        <w:tc>
          <w:tcPr>
            <w:tcW w:w="180" w:type="dxa"/>
            <w:vAlign w:val="bottom"/>
          </w:tcPr>
          <w:p>
            <w:pPr>
              <w:spacing w:after="0"/>
              <w:rPr>
                <w:sz w:val="20"/>
                <w:szCs w:val="20"/>
                <w:color w:val="auto"/>
              </w:rPr>
            </w:pPr>
          </w:p>
        </w:tc>
      </w:tr>
      <w:tr>
        <w:trPr>
          <w:trHeight w:val="202"/>
        </w:trPr>
        <w:tc>
          <w:tcPr>
            <w:tcW w:w="3160" w:type="dxa"/>
            <w:vAlign w:val="bottom"/>
            <w:shd w:val="clear" w:color="auto" w:fill="CCFFCC"/>
          </w:tcPr>
          <w:p>
            <w:pPr>
              <w:spacing w:after="0"/>
              <w:rPr>
                <w:sz w:val="17"/>
                <w:szCs w:val="17"/>
                <w:color w:val="auto"/>
              </w:rPr>
            </w:pPr>
          </w:p>
        </w:tc>
        <w:tc>
          <w:tcPr>
            <w:tcW w:w="2780" w:type="dxa"/>
            <w:vAlign w:val="bottom"/>
            <w:shd w:val="clear" w:color="auto" w:fill="CCFFCC"/>
          </w:tcPr>
          <w:p>
            <w:pPr>
              <w:jc w:val="center"/>
              <w:ind w:left="30"/>
              <w:spacing w:after="0" w:line="201" w:lineRule="exact"/>
              <w:rPr>
                <w:sz w:val="20"/>
                <w:szCs w:val="20"/>
                <w:color w:val="auto"/>
              </w:rPr>
            </w:pPr>
            <w:r>
              <w:rPr>
                <w:rFonts w:ascii="Arial" w:cs="Arial" w:eastAsia="Arial" w:hAnsi="Arial"/>
                <w:sz w:val="18"/>
                <w:szCs w:val="18"/>
                <w:color w:val="auto"/>
                <w:w w:val="96"/>
              </w:rPr>
              <w:t>Online</w:t>
            </w:r>
          </w:p>
        </w:tc>
        <w:tc>
          <w:tcPr>
            <w:tcW w:w="2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360" w:type="dxa"/>
            <w:vAlign w:val="bottom"/>
            <w:tcBorders>
              <w:right w:val="single" w:sz="8" w:color="CCFFCC"/>
            </w:tcBorders>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30"/>
        </w:trPr>
        <w:tc>
          <w:tcPr>
            <w:tcW w:w="31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Dropbox, Inc.</w:t>
            </w:r>
          </w:p>
        </w:tc>
        <w:tc>
          <w:tcPr>
            <w:tcW w:w="278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88"/>
              </w:rPr>
              <w:t>Storage</w:t>
            </w:r>
          </w:p>
        </w:tc>
        <w:tc>
          <w:tcPr>
            <w:tcW w:w="2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5,015,333</w:t>
            </w:r>
          </w:p>
        </w:tc>
        <w:tc>
          <w:tcPr>
            <w:tcW w:w="3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4,999,998</w:t>
            </w:r>
          </w:p>
        </w:tc>
        <w:tc>
          <w:tcPr>
            <w:tcW w:w="360" w:type="dxa"/>
            <w:vAlign w:val="bottom"/>
            <w:tcBorders>
              <w:right w:val="single" w:sz="8" w:color="CCFFCC"/>
            </w:tcBorders>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6.99</w:t>
            </w:r>
          </w:p>
        </w:tc>
        <w:tc>
          <w:tcPr>
            <w:tcW w:w="180" w:type="dxa"/>
            <w:vAlign w:val="bottom"/>
            <w:shd w:val="clear" w:color="auto" w:fill="CCFFCC"/>
          </w:tcPr>
          <w:p>
            <w:pPr>
              <w:spacing w:after="0"/>
              <w:rPr>
                <w:sz w:val="20"/>
                <w:szCs w:val="20"/>
                <w:color w:val="auto"/>
              </w:rPr>
            </w:pPr>
          </w:p>
        </w:tc>
      </w:tr>
      <w:tr>
        <w:trPr>
          <w:trHeight w:val="432"/>
        </w:trPr>
        <w:tc>
          <w:tcPr>
            <w:tcW w:w="3160" w:type="dxa"/>
            <w:vAlign w:val="bottom"/>
          </w:tcPr>
          <w:p>
            <w:pPr>
              <w:ind w:left="100"/>
              <w:spacing w:after="0"/>
              <w:rPr>
                <w:sz w:val="20"/>
                <w:szCs w:val="20"/>
                <w:color w:val="auto"/>
              </w:rPr>
            </w:pPr>
            <w:r>
              <w:rPr>
                <w:rFonts w:ascii="Arial" w:cs="Arial" w:eastAsia="Arial" w:hAnsi="Arial"/>
                <w:sz w:val="18"/>
                <w:szCs w:val="18"/>
                <w:color w:val="auto"/>
              </w:rPr>
              <w:t>PJB Fund LLC</w:t>
            </w:r>
          </w:p>
        </w:tc>
        <w:tc>
          <w:tcPr>
            <w:tcW w:w="2780" w:type="dxa"/>
            <w:vAlign w:val="bottom"/>
          </w:tcPr>
          <w:p>
            <w:pPr>
              <w:jc w:val="center"/>
              <w:ind w:left="90"/>
              <w:spacing w:after="0"/>
              <w:rPr>
                <w:sz w:val="20"/>
                <w:szCs w:val="20"/>
                <w:color w:val="auto"/>
              </w:rPr>
            </w:pPr>
            <w:r>
              <w:rPr>
                <w:rFonts w:ascii="Arial" w:cs="Arial" w:eastAsia="Arial" w:hAnsi="Arial"/>
                <w:sz w:val="18"/>
                <w:szCs w:val="18"/>
                <w:color w:val="auto"/>
                <w:w w:val="92"/>
              </w:rPr>
              <w:t>Social Gaming</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4,029,259</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4,000,000</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5.59</w:t>
            </w:r>
          </w:p>
        </w:tc>
        <w:tc>
          <w:tcPr>
            <w:tcW w:w="180" w:type="dxa"/>
            <w:vAlign w:val="bottom"/>
          </w:tcPr>
          <w:p>
            <w:pPr>
              <w:spacing w:after="0"/>
              <w:rPr>
                <w:sz w:val="24"/>
                <w:szCs w:val="24"/>
                <w:color w:val="auto"/>
              </w:rPr>
            </w:pPr>
          </w:p>
        </w:tc>
      </w:tr>
      <w:tr>
        <w:trPr>
          <w:trHeight w:val="432"/>
        </w:trPr>
        <w:tc>
          <w:tcPr>
            <w:tcW w:w="31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ZocDoc, Inc.</w:t>
            </w:r>
          </w:p>
        </w:tc>
        <w:tc>
          <w:tcPr>
            <w:tcW w:w="2780" w:type="dxa"/>
            <w:vAlign w:val="bottom"/>
            <w:shd w:val="clear" w:color="auto" w:fill="CCFFCC"/>
          </w:tcPr>
          <w:p>
            <w:pPr>
              <w:jc w:val="center"/>
              <w:ind w:left="70"/>
              <w:spacing w:after="0"/>
              <w:rPr>
                <w:sz w:val="20"/>
                <w:szCs w:val="20"/>
                <w:color w:val="auto"/>
              </w:rPr>
            </w:pPr>
            <w:r>
              <w:rPr>
                <w:rFonts w:ascii="Arial" w:cs="Arial" w:eastAsia="Arial" w:hAnsi="Arial"/>
                <w:sz w:val="18"/>
                <w:szCs w:val="18"/>
                <w:color w:val="auto"/>
                <w:w w:val="92"/>
              </w:rPr>
              <w:t>Online Medical Scheduling</w:t>
            </w:r>
          </w:p>
        </w:tc>
        <w:tc>
          <w:tcPr>
            <w:tcW w:w="22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3,563,178</w:t>
            </w:r>
          </w:p>
        </w:tc>
        <w:tc>
          <w:tcPr>
            <w:tcW w:w="32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3,500,000</w:t>
            </w:r>
          </w:p>
        </w:tc>
        <w:tc>
          <w:tcPr>
            <w:tcW w:w="360" w:type="dxa"/>
            <w:vAlign w:val="bottom"/>
            <w:tcBorders>
              <w:right w:val="single" w:sz="8" w:color="CCFFCC"/>
            </w:tcBorders>
            <w:shd w:val="clear" w:color="auto" w:fill="CCFFCC"/>
          </w:tcPr>
          <w:p>
            <w:pPr>
              <w:spacing w:after="0"/>
              <w:rPr>
                <w:sz w:val="24"/>
                <w:szCs w:val="24"/>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4.89</w:t>
            </w:r>
          </w:p>
        </w:tc>
        <w:tc>
          <w:tcPr>
            <w:tcW w:w="180" w:type="dxa"/>
            <w:vAlign w:val="bottom"/>
            <w:shd w:val="clear" w:color="auto" w:fill="CCFFCC"/>
          </w:tcPr>
          <w:p>
            <w:pPr>
              <w:spacing w:after="0"/>
              <w:rPr>
                <w:sz w:val="24"/>
                <w:szCs w:val="24"/>
                <w:color w:val="auto"/>
              </w:rPr>
            </w:pPr>
          </w:p>
        </w:tc>
      </w:tr>
      <w:tr>
        <w:trPr>
          <w:trHeight w:val="202"/>
        </w:trPr>
        <w:tc>
          <w:tcPr>
            <w:tcW w:w="3160" w:type="dxa"/>
            <w:vAlign w:val="bottom"/>
          </w:tcPr>
          <w:p>
            <w:pPr>
              <w:spacing w:after="0"/>
              <w:rPr>
                <w:sz w:val="17"/>
                <w:szCs w:val="17"/>
                <w:color w:val="auto"/>
              </w:rPr>
            </w:pPr>
          </w:p>
        </w:tc>
        <w:tc>
          <w:tcPr>
            <w:tcW w:w="278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9"/>
              </w:rPr>
              <w:t>Digital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160" w:type="dxa"/>
            <w:vAlign w:val="bottom"/>
          </w:tcPr>
          <w:p>
            <w:pPr>
              <w:ind w:left="100"/>
              <w:spacing w:after="0"/>
              <w:rPr>
                <w:sz w:val="20"/>
                <w:szCs w:val="20"/>
                <w:color w:val="auto"/>
              </w:rPr>
            </w:pPr>
            <w:r>
              <w:rPr>
                <w:rFonts w:ascii="Arial" w:cs="Arial" w:eastAsia="Arial" w:hAnsi="Arial"/>
                <w:sz w:val="18"/>
                <w:szCs w:val="18"/>
                <w:color w:val="auto"/>
              </w:rPr>
              <w:t>Kno, Inc.</w:t>
            </w:r>
          </w:p>
        </w:tc>
        <w:tc>
          <w:tcPr>
            <w:tcW w:w="2780" w:type="dxa"/>
            <w:vAlign w:val="bottom"/>
          </w:tcPr>
          <w:p>
            <w:pPr>
              <w:jc w:val="center"/>
              <w:ind w:left="90"/>
              <w:spacing w:after="0"/>
              <w:rPr>
                <w:sz w:val="20"/>
                <w:szCs w:val="20"/>
                <w:color w:val="auto"/>
              </w:rPr>
            </w:pPr>
            <w:r>
              <w:rPr>
                <w:rFonts w:ascii="Arial" w:cs="Arial" w:eastAsia="Arial" w:hAnsi="Arial"/>
                <w:sz w:val="18"/>
                <w:szCs w:val="18"/>
                <w:color w:val="auto"/>
                <w:w w:val="91"/>
              </w:rPr>
              <w:t>Textbooks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2,476,309</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2,455,000</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20"/>
                <w:szCs w:val="20"/>
                <w:color w:val="auto"/>
              </w:rPr>
            </w:pPr>
          </w:p>
        </w:tc>
      </w:tr>
      <w:tr>
        <w:trPr>
          <w:trHeight w:val="202"/>
        </w:trPr>
        <w:tc>
          <w:tcPr>
            <w:tcW w:w="3160" w:type="dxa"/>
            <w:vAlign w:val="bottom"/>
            <w:shd w:val="clear" w:color="auto" w:fill="CCFFCC"/>
          </w:tcPr>
          <w:p>
            <w:pPr>
              <w:spacing w:after="0"/>
              <w:rPr>
                <w:sz w:val="17"/>
                <w:szCs w:val="17"/>
                <w:color w:val="auto"/>
              </w:rPr>
            </w:pPr>
          </w:p>
        </w:tc>
        <w:tc>
          <w:tcPr>
            <w:tcW w:w="2780" w:type="dxa"/>
            <w:vAlign w:val="bottom"/>
            <w:shd w:val="clear" w:color="auto" w:fill="CCFFCC"/>
          </w:tcPr>
          <w:p>
            <w:pPr>
              <w:jc w:val="center"/>
              <w:ind w:left="50"/>
              <w:spacing w:after="0" w:line="201" w:lineRule="exact"/>
              <w:rPr>
                <w:sz w:val="20"/>
                <w:szCs w:val="20"/>
                <w:color w:val="auto"/>
              </w:rPr>
            </w:pPr>
            <w:r>
              <w:rPr>
                <w:rFonts w:ascii="Arial" w:cs="Arial" w:eastAsia="Arial" w:hAnsi="Arial"/>
                <w:sz w:val="18"/>
                <w:szCs w:val="18"/>
                <w:color w:val="auto"/>
                <w:w w:val="92"/>
              </w:rPr>
              <w:t>Online Marketplace</w:t>
            </w:r>
          </w:p>
        </w:tc>
        <w:tc>
          <w:tcPr>
            <w:tcW w:w="2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360" w:type="dxa"/>
            <w:vAlign w:val="bottom"/>
            <w:tcBorders>
              <w:right w:val="single" w:sz="8" w:color="CCFFCC"/>
            </w:tcBorders>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30"/>
        </w:trPr>
        <w:tc>
          <w:tcPr>
            <w:tcW w:w="31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SharesPost, Inc.</w:t>
            </w:r>
          </w:p>
        </w:tc>
        <w:tc>
          <w:tcPr>
            <w:tcW w:w="278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89"/>
              </w:rPr>
              <w:t>(Finance)</w:t>
            </w:r>
          </w:p>
        </w:tc>
        <w:tc>
          <w:tcPr>
            <w:tcW w:w="2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2,281,112</w:t>
            </w:r>
          </w:p>
        </w:tc>
        <w:tc>
          <w:tcPr>
            <w:tcW w:w="3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2,274,483</w:t>
            </w:r>
          </w:p>
        </w:tc>
        <w:tc>
          <w:tcPr>
            <w:tcW w:w="360" w:type="dxa"/>
            <w:vAlign w:val="bottom"/>
            <w:tcBorders>
              <w:right w:val="single" w:sz="8" w:color="CCFFCC"/>
            </w:tcBorders>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3.18</w:t>
            </w:r>
          </w:p>
        </w:tc>
        <w:tc>
          <w:tcPr>
            <w:tcW w:w="180" w:type="dxa"/>
            <w:vAlign w:val="bottom"/>
            <w:shd w:val="clear" w:color="auto" w:fill="CCFFCC"/>
          </w:tcPr>
          <w:p>
            <w:pPr>
              <w:spacing w:after="0"/>
              <w:rPr>
                <w:sz w:val="20"/>
                <w:szCs w:val="20"/>
                <w:color w:val="auto"/>
              </w:rPr>
            </w:pPr>
          </w:p>
        </w:tc>
      </w:tr>
      <w:tr>
        <w:trPr>
          <w:trHeight w:val="419"/>
        </w:trPr>
        <w:tc>
          <w:tcPr>
            <w:tcW w:w="3160" w:type="dxa"/>
            <w:vAlign w:val="bottom"/>
          </w:tcPr>
          <w:p>
            <w:pPr>
              <w:ind w:left="100"/>
              <w:spacing w:after="0"/>
              <w:rPr>
                <w:sz w:val="20"/>
                <w:szCs w:val="20"/>
                <w:color w:val="auto"/>
              </w:rPr>
            </w:pPr>
            <w:r>
              <w:rPr>
                <w:rFonts w:ascii="Arial" w:cs="Arial" w:eastAsia="Arial" w:hAnsi="Arial"/>
                <w:sz w:val="18"/>
                <w:szCs w:val="18"/>
                <w:color w:val="auto"/>
              </w:rPr>
              <w:t>Grockit, Inc.</w:t>
            </w:r>
          </w:p>
        </w:tc>
        <w:tc>
          <w:tcPr>
            <w:tcW w:w="2780" w:type="dxa"/>
            <w:vAlign w:val="bottom"/>
          </w:tcPr>
          <w:p>
            <w:pPr>
              <w:jc w:val="center"/>
              <w:ind w:left="90"/>
              <w:spacing w:after="0"/>
              <w:rPr>
                <w:sz w:val="20"/>
                <w:szCs w:val="20"/>
                <w:color w:val="auto"/>
              </w:rPr>
            </w:pPr>
            <w:r>
              <w:rPr>
                <w:rFonts w:ascii="Arial" w:cs="Arial" w:eastAsia="Arial" w:hAnsi="Arial"/>
                <w:sz w:val="18"/>
                <w:szCs w:val="18"/>
                <w:color w:val="auto"/>
                <w:w w:val="90"/>
              </w:rPr>
              <w:t>Online Test Preparation</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2,005,945</w:t>
            </w: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w:t>
            </w:r>
          </w:p>
        </w:tc>
        <w:tc>
          <w:tcPr>
            <w:tcW w:w="3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24"/>
                <w:szCs w:val="24"/>
                <w:color w:val="auto"/>
              </w:rPr>
            </w:pPr>
          </w:p>
        </w:tc>
      </w:tr>
      <w:tr>
        <w:trPr>
          <w:trHeight w:val="230"/>
        </w:trPr>
        <w:tc>
          <w:tcPr>
            <w:tcW w:w="31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Total</w:t>
            </w:r>
          </w:p>
        </w:tc>
        <w:tc>
          <w:tcPr>
            <w:tcW w:w="2780" w:type="dxa"/>
            <w:vAlign w:val="bottom"/>
            <w:shd w:val="clear" w:color="auto" w:fill="CCFFCC"/>
          </w:tcPr>
          <w:p>
            <w:pPr>
              <w:spacing w:after="0"/>
              <w:rPr>
                <w:sz w:val="19"/>
                <w:szCs w:val="19"/>
                <w:color w:val="auto"/>
              </w:rPr>
            </w:pP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53,722,135</w:t>
            </w:r>
          </w:p>
        </w:tc>
        <w:tc>
          <w:tcPr>
            <w:tcW w:w="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53,304,720</w:t>
            </w:r>
          </w:p>
        </w:tc>
        <w:tc>
          <w:tcPr>
            <w:tcW w:w="360" w:type="dxa"/>
            <w:vAlign w:val="bottom"/>
            <w:tcBorders>
              <w:right w:val="single" w:sz="8" w:color="CCFFCC"/>
            </w:tcBorders>
            <w:shd w:val="clear" w:color="auto" w:fill="CCFFCC"/>
          </w:tcPr>
          <w:p>
            <w:pPr>
              <w:spacing w:after="0"/>
              <w:rPr>
                <w:sz w:val="19"/>
                <w:szCs w:val="19"/>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74.54%</w:t>
            </w:r>
          </w:p>
        </w:tc>
      </w:tr>
      <w:tr>
        <w:trPr>
          <w:trHeight w:val="20"/>
        </w:trPr>
        <w:tc>
          <w:tcPr>
            <w:tcW w:w="3160" w:type="dxa"/>
            <w:vAlign w:val="bottom"/>
            <w:tcBorders>
              <w:top w:val="single" w:sz="8" w:color="CCFFCC"/>
            </w:tcBorders>
            <w:shd w:val="clear" w:color="auto" w:fill="CCFFCC"/>
          </w:tcPr>
          <w:p>
            <w:pPr>
              <w:spacing w:after="0" w:line="20" w:lineRule="exact"/>
              <w:rPr>
                <w:sz w:val="1"/>
                <w:szCs w:val="1"/>
                <w:color w:val="auto"/>
              </w:rPr>
            </w:pPr>
          </w:p>
        </w:tc>
        <w:tc>
          <w:tcPr>
            <w:tcW w:w="27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are descriptions of the ten largest portfolio investments as of December 31, 2011:</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Twitter, Inc.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Twitter is a social networking company. Twitter is a real-time information network that allows users to send and receive information.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Facebook, Inc.</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Facebook is a leading social-networking company. Facebook’s social networking website allows users to create a personal profile, add other users to the network, and exchange messages, photographs and other information that can be shared across a network.</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Chegg, Inc.</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Chegg is an online textbook rental company with a leading market presence in the online education industry. Chegg has built a social education learning platform that assists students by providing course planning and selection services, textbooks, study materials and homework assistance.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Gilt Groupe, Inc.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Gilt Groupe is an online shopping destination that offers its members access to discounted prices on merchandise, restaurants and vacations.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Dropbox is a provider of cloud storage that enables users to store and share files across the internet.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PJB Fund LLC</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PJB Fund is a special purpose investment vehicle in which we have made a debt investment that is linked until maturity to the value of Zynga, Inc., a developer of online social games.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ZocDoc, Inc.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ZocDoc is a free online service for patients to find and schedule doctor and dentist appointments.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Kno, Inc.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Kno is a provider of education software, digital textbooks and social engagement tools for students.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SharesPost, Inc.</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SharesPost connects venture-backed private companies and their shareholders with the investment community and provides an online marketplace for such private companies.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Grockit, Inc.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Grockit is an online test preparation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business development company, we are required to offer, and in some cases may provide and be paid for, significant managerial assistance to portfolio companies. This assistance typically involves monitoring the operations of portfolio companies, participating in their board and management meetings, consulting with and advising their officers and providing other organizational and financial guidance.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primary competitors include specialty finance companies including other crossover funds, public funds investing in private companies and business development companies. Many of these entities have greater financial and managerial resources than we will have. For additional information concerning the competitive risks we face, see ‘‘Risk Factors — Risks Relating to Our Business and Structure.’’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While we have executive officers, they receive no direct compensation from us, and we have no direct employees. Our day-to-day investment operations are managed by our investment adviser. In addition, we reimburse GSV Capital Service Company for an allocable portion of expenses incurred by it in performing its obligations under the Administration Agreement, including a portion of the rent and the compensation of our chief financial officer and chief compliance officer and any administrative support personnel. See ‘‘Investment Advisory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determine the net asset value of our investment portfolio after the conclusion of each fiscal quarter in connection with the preparation of our annual and quarterly reports filed under the Exchange Act, or more frequently if required under the 1940 Act.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including securities that trade on secondary markets for private securities, are valued at fair value as determined in good faith by our board of directors. In connection with that determination, members of our investment adviser’s portfolio management team will prepare portfolio company valuations using the most recent portfolio company financial statements and forecasts. We also engage an independent valuation firm to perform independent valuations of our investments that are not publicly traded or for which there are no readily available market quotations. We may also engage an independent valuation firm to perform independent valuations of any securities that trade on private secondary markets, but are not otherwise publicly traded, where there is a lack of appreciable trading or a wide disparity in recently reported trades.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both"/>
        <w:ind w:firstLine="648"/>
        <w:spacing w:after="0" w:line="287" w:lineRule="auto"/>
        <w:rPr>
          <w:sz w:val="20"/>
          <w:szCs w:val="20"/>
          <w:color w:val="auto"/>
        </w:rPr>
      </w:pPr>
      <w:r>
        <w:rPr>
          <w:rFonts w:ascii="Arial" w:cs="Arial" w:eastAsia="Arial" w:hAnsi="Arial"/>
          <w:sz w:val="16"/>
          <w:szCs w:val="16"/>
          <w:color w:val="auto"/>
        </w:rPr>
        <w:t>For those securities that are not publicly traded or for which there are no readily available market quotations, our board of directors, with the assistance of our Valuation Committee, will use the recommended valuations as prepared by management and the independent valuation firm, respectively, as a component of the foundation for its final fair value determination. Due to the uncertainty inherent in the valuation process, such estimates of fair value may differ significantly from the values that would have resulted had others made the determination using the same or different procedures or had a readily available market for the securities existed, and the differences could be material. Additionally, changes in the market environment and other events that may occur over the life of the investments may cause the gains or losses ultimately realized on these investments to be different than the gains or losses implied by the valuation currently assigned to such investments. For those investments that are publicly traded, we generally record unrealized appreciation or depreciation based on changes in the market value of the securities as of the valuation date. Publicly traded securities that remain subject to lock-up restrictions are discounted accordingly. For those investments that are not publicly traded and for which there are no readily available market quotations, we record unrealized depreciation if the underlying portfolio company has depreciated in value and our equity security has also depreciated in value, and record unrealized appreciation if the underlying portfolio company has appreciated in value and our equity security has also appreciated in value. Changes in fair value are recorded in the statement of operations as the net change in unrealized appreciation or depreciation.</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generally determine the fair value of our investments by considering a number of factors. The following represent factors that could impact our fair value determinations:</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 trading of our portfolio securities, taking into consideration lock-up requirements and liquidity;</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Active trading of our portfolio securities on a private secondary market, where we have determined that there is meaningful volume and the transactions are considered arm’s length by sophisticated investors;</w:t>
      </w: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Qualified funding rounds in the companies in which we are invested, where there is meaningful and reputable information available on size, valuation and investors; and</w:t>
      </w: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Additional investments by us in current portfolio companies, where the price of the new investment differs materially from prior investments.</w:t>
      </w:r>
    </w:p>
    <w:p>
      <w:pPr>
        <w:spacing w:after="0" w:line="22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is inherent subjectivity in determining the fair value of our investments. We expect that most of our portfolio investments, other than those for which market quotations are readily available and that may be sold without restriction, will be valued at fair value as determined in good faith by our board of directors, with the assistance of our valuation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Services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GSV Asset Management serves as our investment adviser. GSV Asset Management is registered as an investment adviser under the Advisers Act. Subject to the overall supervision of our board of directors, GSV Asset Management manages the day-to-day operations of, and provide investment advisory services to, GSV Capital. Under the terms of the Investment Advisory Agreement, GSV Asset Management:</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determines what securities we will purchase, retain or sell;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closes, monitors and services the investments we make.</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GSV Asset Management’s services under the Investment Advisory Agreement are not exclusive, and it is free to furnish similar services to other entities so long as its services to us are not impaired. GSV Asset Management currently serves as the investment adviser for GSV X Fund, a global long/short absolute return fund. GSV Asset Management does not anticipate that it will ordinarily identify investment opportunities that are appropriate for both GSV Capital and the other funds that are currently or in the future may be managed by GSV Asset Management. However, to the extent it does identify such opportunities, GSV Asset Management will allocate such opportunities between GSV Capital and such other funds pursuant to an established procedure that is designed to ensure that such allocation is fair and equitable.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pay GSV Asset Management a fee for its services under the Investment Advisory Agreement consisting of two components — a base management fee and an incentive fee. The cost of both the base management fee payable to GSV Asset Management, and any incentive fees earned by GSV Asset Management, are ultimately borne by our common stockholders.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base management fee (the ‘‘Base Fee’’) is calculated at an annual rate of 2.00% of our gross assets. For the period from the close of the initial public offering through and including December 31, 2011, the Base Fee was payable monthly in arrears, and was calculated based on the initial value of our assets upon the closing of our initial public offering in April 2011. For services rendered after December 31, 2011, the Base Fee will be payable monthly in arrears, and will be calculated based on the average value of our gross assets at the end of the two most recently completed calendar quarters, and appropriately adjusted for any equity or debt capital raises, repurchases or redemptions during the current calendar quarter. The Base Fee for any partial month or quarter will be appropriately pro-rated.</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incentive fee is determined and payable in arrears as of the end of each calendar year (or upon termination of the Investment Advisory Agreement, as of the termination date), commencing on December 31, 2011, and will equal the lesser of:</w:t>
      </w:r>
    </w:p>
    <w:p>
      <w:pPr>
        <w:spacing w:after="0" w:line="170" w:lineRule="exact"/>
        <w:rPr>
          <w:sz w:val="20"/>
          <w:szCs w:val="20"/>
          <w:color w:val="auto"/>
        </w:rPr>
      </w:pPr>
    </w:p>
    <w:p>
      <w:pPr>
        <w:ind w:left="660" w:right="2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 of our realized capital gains during such calendar year, if any, calculated on an investment-by-investment basis, subject to a non-compounded preferred return, or ‘‘hurdle,’’ and a ‘‘catch-up’’ feature, and</w:t>
      </w:r>
    </w:p>
    <w:p>
      <w:pPr>
        <w:spacing w:after="0" w:line="1" w:lineRule="exact"/>
        <w:rPr>
          <w:rFonts w:ascii="Arial" w:cs="Arial" w:eastAsia="Arial" w:hAnsi="Arial"/>
          <w:sz w:val="18"/>
          <w:szCs w:val="18"/>
          <w:color w:val="auto"/>
        </w:rPr>
      </w:pPr>
    </w:p>
    <w:p>
      <w:pPr>
        <w:ind w:left="660" w:right="20" w:hanging="328"/>
        <w:spacing w:after="0" w:line="323"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13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realized capital gains from each investment, expressed as a non-compounded annual rate of return on the cost of such investment since we initially acquired it, will be compared to a hurdle rate of 8.00% per year. We will only pay an incentive fee on any realized capital gains from an investment that exceeds the hurdle rate. We will pay GSV Asset Management an incentive fee with respect to our realized capital gains from each investment as follows:</w:t>
      </w:r>
    </w:p>
    <w:p>
      <w:pPr>
        <w:spacing w:after="0" w:line="147" w:lineRule="exact"/>
        <w:rPr>
          <w:sz w:val="20"/>
          <w:szCs w:val="20"/>
          <w:color w:val="auto"/>
        </w:rPr>
      </w:pPr>
    </w:p>
    <w:p>
      <w:pPr>
        <w:ind w:left="660" w:right="20" w:hanging="328"/>
        <w:spacing w:after="0" w:line="274"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incentive fee will be payable on the amount of any realized capital gains from an investment that, when expressed as a non-compounded annual rate of return on the cost of such investment since we initially acquired it, does not exceed the hurdle rate of 8.00% per year.</w:t>
      </w: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pay as an incentive fee 100% of the amount of any realized capital gains from an investment that, when expressed as a non-compounded annual rate of return on the cost of such investment since we initially acquired it, exceeds the hurdle rate of 8.00% per year but is less than a rate of 10.00% per year. We refer to this portion of our realized capital gains from each investment (which exceeds the hurdle rate but is less than 10.00%) as the ‘‘catch-up.’’ The ‘‘catch-up’’ is meant to provide our investment adviser with 20% of the amount of our realized capital gains from an investment that, when expressed as a non-compounded annual rate of return on the cost of such investment since we initially acquired it, exceeds a rate of 10.00% per year.</w:t>
      </w:r>
    </w:p>
    <w:p>
      <w:pPr>
        <w:spacing w:after="0" w:line="2"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pay as an incentive fee 20% of the amount of any realized capital gains from an investment that, when expressed as a non-compounded annual rate of return on the cost of such investment since we initially acquired it, exceeds a rate of 10.00% per year.</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no event, however, will we pay an incentive fee for any calendar year that exceeds 20% of our realized capital gains, if any, on a cumulative basis from inception through the end of such calendar year, computed net of all realized capital losses and unrealized capital depreciation on a cumulative basis, less the aggregate amount of any previously paid incentive fees.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The following is a graphical representation of the calculation of our incentive fee with respect to a single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152400</wp:posOffset>
            </wp:positionV>
            <wp:extent cx="2984500" cy="14833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8450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accounting purposes, in order to reflect the theoretical capital gains incentive fee that would be payable for a given period as if all unrealized gains were realized, we are required to accrue a capital gains incentive fee based upon realized capital gains and losses during the current calendar year through the end of the period, plus any unrealized capital appreciation and depreciation as of the end of the period. It should be noted that a fee so calculated and accrued would not necessarily be payable under the Investment Advisory Agreement, and may never be paid based upon the computation of capital gains incentive fees in subsequent periods. Amounts paid under the Investment Advisory Agreement will be consistent with the formula reflected in the Investment Advisory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Calculation of incentive fee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2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Hurdle rate = 8.00% non-compounded annual rate of return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Hurdle rate = (purchase price) × (8% × (days owned/365))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Catch-up rate = 10.00% non-compounded annual rate of return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Catch-up rate = (purchase price) × (10% × (days owned/365))</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Year 1: $20,000,000 investment made on March 15 in Company A (‘‘Investment A’’), and $30,000,000 investment made on February 1 in Company B (‘‘Investment B’’)</w:t>
      </w: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Year 2: Investment A is sold on September 15 for $25,000,000, and fair market value (‘‘FMV’’) of Investment B is determined to be $28,000,000</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Year 3: FMV of Investment B is determined to be $28,000,000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Year 4: Investment B is sold on March 1 for $38,000,000</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incentive fee would be calculated as follows:</w:t>
      </w:r>
    </w:p>
    <w:p>
      <w:pPr>
        <w:spacing w:after="0" w:line="2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Year 2: Incentive fee calculation: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Hurdle rate for Investment A = ($20,000,000) × (8% × (550 days / 365))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Hurdle rate for Investment A = $2,410,959</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Catch-up rate for Investment A = ($20,000,000) × (10% × (550 days / 365))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Catch-up rate for Investment A = $3,013,699</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Incentive fee on Investment A = 20% × $5,000,000 (since the hurdle rate has been satisfied and the catch up has been fully achieved)</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Incentive fee on Investment A = $1,000,000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Maximum incentive fee = 20% × (cumulative realized capital gains – (cumulative realized losses + cumulative net unrealized depreciation))</w:t>
      </w:r>
    </w:p>
    <w:p>
      <w:pPr>
        <w:spacing w:after="0" w:line="3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 (previously paid incentive fees)</w:t>
      </w:r>
    </w:p>
    <w:p>
      <w:pPr>
        <w:spacing w:after="0" w:line="9" w:lineRule="exact"/>
        <w:rPr>
          <w:rFonts w:ascii="Arial" w:cs="Arial" w:eastAsia="Arial" w:hAnsi="Arial"/>
          <w:sz w:val="16"/>
          <w:szCs w:val="16"/>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Maximum incentive fee = 20% × ($5,000,000 - $2,000,000 (unrealized depreciation on Investment B))</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Maximum incentive fee = 20% × $3,000,000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Maximum incentive fee = $600,000</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Incentive fee paid = $600,000 (because the incentive fee payable on Investment A exceeds the maximum incentive fee, the maximum incentive fee applies)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Year 3: None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Year 4: Incentive fee calculation: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Hurdle rate for Investment B = ($30,000,000) × (8% × (1,124 days / 365))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Hurdle rate for Investment B = $7,390,685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Catch-up rate for Investment B = ($30,000,000) × (10% × (1,124 days / 365))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Catch-up rate for Investment B = $9,238,356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3" w:name="page14"/>
    <w:bookmarkEnd w:id="13"/>
    <w:p>
      <w:pPr>
        <w:ind w:left="1300" w:hanging="320"/>
        <w:spacing w:after="0" w:line="258"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Incentive fee on Investment B = 100% × ($8,000,000 – $7,390,685 (since the hurdle rate has been satisfied, but the catch up has not been fully achieved)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Incentive fee on Investment B = $609,315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Maximum incentive fee = 20% × (cumulative realized capital gains – (cumulative realized losses + cumulative net unrealized depreciation))</w:t>
      </w:r>
    </w:p>
    <w:p>
      <w:pPr>
        <w:spacing w:after="0" w:line="3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 (previously paid incentive fees)</w:t>
      </w:r>
    </w:p>
    <w:p>
      <w:pPr>
        <w:spacing w:after="0" w:line="9" w:lineRule="exact"/>
        <w:rPr>
          <w:rFonts w:ascii="Arial" w:cs="Arial" w:eastAsia="Arial" w:hAnsi="Arial"/>
          <w:sz w:val="16"/>
          <w:szCs w:val="16"/>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Maximum incentive fee = (20% × $13,000,000) – ($600,000 (previously paid incentive fees))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Maximum incentive fee = $2,000,000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Incentive fee paid = $609,315 (because the incentive fee payable on Investment B does not exceed the maximum incentive fee)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2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Hurdle rate = 8.00% non-compounded annual rate of return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Hurdle rate = (purchase price) × (8% × (days owned/365))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Catch-up rate = 10.00% non-compounded annual rate of return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Catch-up rate = (purchase price) × (10% × (days owned/365))</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Year 1: $20 million investment made on March 15 in Company A (‘‘Investment A’’), $30 million investment made on February 1 in Company B (‘‘Investment B’’), and $25 million investment made on September 1 in Company C (‘‘Investment C’’)</w:t>
      </w: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Year 2: Investment A is sold on September 15 for $50 million, FMV of Investment B is determined to be $25 million, and FMV of Investment C is determined to be $25 million</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Year 3: FMV of Investment B is determined to be $27 million and Investment C is sold on December 1 for $30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Year 4: FMV of Investment B is determined to be $35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Year 5: Investment B is sold on March 1 for $20 million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incentive fee would be calculated as follows:</w:t>
      </w:r>
    </w:p>
    <w:p>
      <w:pPr>
        <w:spacing w:after="0" w:line="2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Year 2: Incentive fee calculation: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Hurdle rate for Investment A = ($20,000,000) × (8% × (550 days / 365))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Hurdle rate for Investment A = $2,410,959</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Catch-up rate for Investment A = ($20,000,000) × (10% × (550 days / 365))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Catch-up rate for Investment A = $3,013,699</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Incentive fee on Investment A = 20% × $30,000,000 (since the hurdle rate has been satisfied and the catch up has been fully achieved)</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Incentive fee on Investment A = $6,000,000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Maximum incentive fee = 20% × (cumulative realized capital gains – (cumulative realized losses + cumulative net unrealized depreciation))</w:t>
      </w:r>
    </w:p>
    <w:p>
      <w:pPr>
        <w:spacing w:after="0" w:line="3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 (previously paid incentive fees)</w:t>
      </w:r>
    </w:p>
    <w:p>
      <w:pPr>
        <w:spacing w:after="0" w:line="9" w:lineRule="exact"/>
        <w:rPr>
          <w:rFonts w:ascii="Arial" w:cs="Arial" w:eastAsia="Arial" w:hAnsi="Arial"/>
          <w:sz w:val="16"/>
          <w:szCs w:val="16"/>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Maximum incentive fee = 20% × ($30,000,000 - $5,000,000 (unrealized depreciation on Investment B))</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Maximum incentive fee = $5,000,000</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Incentive fee paid = $5,000,000 (because the incentive fee payable on Investment A exceeds the maximum incentive fee, the maximum incentive fee applies)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Year 3: Incentive fee calculation: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Hurdle rate for Investment C = ($25,000,000) × (8% × (822 days / 365))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Hurdle rate for Investment C = $4,504,110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Catch-up rate for Investment C = ($25,000,000) × (10% × (822 days / 365))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Catch-up rate for Investment C = $5,630,137</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Incentive fee on Investment C = 100% × ($5,000,000 – $4,504,110 (since the hurdle rate has been satisfied, but the catch up has not been fully achieved))</w:t>
      </w: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Incentive fee on Investment C = $495,890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Maximum incentive fee = 20% × (cumulative realized capital gains – (cumulative realized losses + cumulative net unrealized depreciation))</w:t>
      </w:r>
    </w:p>
    <w:p>
      <w:pPr>
        <w:spacing w:after="0" w:line="3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 (previously paid incentive fees)</w:t>
      </w:r>
    </w:p>
    <w:p>
      <w:pPr>
        <w:spacing w:after="0" w:line="9" w:lineRule="exact"/>
        <w:rPr>
          <w:rFonts w:ascii="Arial" w:cs="Arial" w:eastAsia="Arial" w:hAnsi="Arial"/>
          <w:sz w:val="16"/>
          <w:szCs w:val="16"/>
          <w:color w:val="auto"/>
        </w:rPr>
      </w:pPr>
    </w:p>
    <w:p>
      <w:pPr>
        <w:ind w:left="1300" w:right="20" w:hanging="320"/>
        <w:spacing w:after="0" w:line="25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Maximum incentive fee = 20% × ($35,000,000 - $3,000,000 (unrealized depreciation on Investment B)) – ($5,000,000 (previously paid incentive fees))</w:t>
      </w: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Maximum incentive fee = $1,400,000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Incentive fee paid = $495,890 (because the incentive fee payable on Investment C does not exceed the maximum incentive fee)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Year 4: None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Year 5: None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jc w:val="both"/>
        <w:ind w:firstLine="648"/>
        <w:spacing w:after="0" w:line="270" w:lineRule="auto"/>
        <w:rPr>
          <w:sz w:val="20"/>
          <w:szCs w:val="20"/>
          <w:color w:val="auto"/>
        </w:rPr>
      </w:pPr>
      <w:r>
        <w:rPr>
          <w:rFonts w:ascii="Arial" w:cs="Arial" w:eastAsia="Arial" w:hAnsi="Arial"/>
          <w:sz w:val="17"/>
          <w:szCs w:val="17"/>
          <w:color w:val="auto"/>
        </w:rPr>
        <w:t>We seek to deploy capital primarily in the form of non-controlling investments in our portfolio companies. Although we primarily invest through private secondary markets, to the extent we make a direct minority investment in a portfolio company, neither we, nor our investment adviser, GSV Asset Management, may have the ability to control the timing of when we realize capital gains or losses with respect to such investment. We expect the timing of such realization events to be determined by our portfolio companies in such cases. To the extent we have non-minority investments, or the securities we hold are traded on a private secondary market or public securities exchange, GSV Asset Management will have greater control over the timing of a realization event. In such cases, our board of directors will monitor such investments in connection with their general oversight of the investment management services provided by GSV Asset Management. In addition, as of the end of each fiscal quarter, we will evaluate whether the cumulative aggregate unrealized appreciation on our portfolio would be sufficient to require us to pay an incentive fee to our investment adviser if such unrealized appreciation were actually realized as of the end of such quarter, and if so, we will accrue an expense equal to the amount of such incentive fee. Any such accrual of incentive fees will be reflected in the calculation of our net asset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All personnel of our investment adviser when and to the extent engaged in providing investment advisory services, and the compensation and expenses of such personnel allocable to such services, are provided and paid for by GSV Asset Management. We are responsible for all other costs and expenses of our operations and transactions, including (without limitation) the cost of calculating our net asset value; the cost of effecting sales and repurchases of shares of our common stock and other securities; investment advisory fees; fees payable to third parties relating to, or associated with, making investments, including fees and expenses associated with performing due diligence reviews of prospective investments (in each case subject to approval of our board of directors); transfer agent and custodial fees; fees and expenses associated with marketing efforts (including attendance at investment conference and similar events); federal and state registration fees; any exchange listing fees; federal, state and local taxes; independent directors’ fees and expenses; brokerage commissions; costs associated with our reporting and compliance obligations under the 1940 Act and applicable federal and state securities laws including costs of proxy statements, stockholders’ reports and notices; fidelity bond, directors and officers/errors and omissions liability insurance and other insurance premiums; direct costs such as printing, mailing, long distance telephone, staff, independent audits and outside legal costs and all other expenses incurred by either GSV Capital Service Company or us in connection with administering our business, including payments under the administration agreement that will be based upon our allocable portion of overhead and other expenses incurred by GSV Capital Service Company in performing its obligations under the Administration Agreement, including a portion of the rent and the compensation of our chief financial officer and chief compliance officer and other administrative support personnel. All of these expenses are ultimately borne by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Investment Advisory Agreement was approved by our board of directors on March 28, 2011. Unless earlier terminated as described below, the Investment Advisory Agreement will remain in effect for a period of two years from the date it was approved by the board of directors and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Advisory Agreement will automatically terminate in the event of its assignment. The Investment Advisory Agreement may be terminated by either party without penalty upon not more than 60 days’ written notice to the other. The Investment Advisory Agreement may also be terminated, without penalty, upon the vote of a majority of our outstanding voting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Investment Advisory Agreement provides that, absent willful misfeasance, bad faith or gross negligence in the performance of its duties or by reason of the reckless disregard of its duties and obligations, GSV Asset Management and its officers, managers, partners, agents, employees, controlling persons, members and any other person or entity affiliated with it are entitled to indemnification from us for any damages, liabilities, costs and expenses (including reasonable attorneys’ fees and amounts reasonably paid in settlement) arising from the rendering of GSV Asset Management’s services under the Investment Advisory Agreement or otherwise as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GSV Asset Management is a Delaware limited liability company. The principal executive offices of GSV Asset Management are located at 2965 Woodside Road, Woodside, CA 94062.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Board Approval of the Investment Advisory Agreement</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Our Board of Directors determined at a meeting held on March 28, 2011 to approve the Investment Advisory Agreement. In its consideration of the approval of the Investment Advisory Agreement, the Board of Directors focused on information it had received relating to, among other things:</w:t>
      </w:r>
    </w:p>
    <w:p>
      <w:pPr>
        <w:spacing w:after="0" w:line="14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GSV Asset Management;</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business development companies with similar investment objectives;</w:t>
      </w: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historical and projected operating expenses and expense ratio compared to business development companies with similar investment objectives;</w:t>
      </w:r>
    </w:p>
    <w:p>
      <w:pPr>
        <w:spacing w:after="0" w:line="32" w:lineRule="exact"/>
        <w:rPr>
          <w:rFonts w:ascii="Arial" w:cs="Arial" w:eastAsia="Arial" w:hAnsi="Arial"/>
          <w:sz w:val="16"/>
          <w:szCs w:val="16"/>
          <w:color w:val="auto"/>
        </w:rPr>
      </w:pPr>
    </w:p>
    <w:p>
      <w:pPr>
        <w:ind w:left="66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existing and potential sources of indirect income to GSV Asset Management or GSV Capital Service Company from their relationships with us and the profitability of those relationships, including the Investment Advisory Agreement and the Administration Agreement;</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about the services to be performed and the personnel performing such services under the Investment Advisory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GSV Asset Management and its affiliates;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GSV Asset Management’s practices regarding the selection and compensation of brokers that may execute our portfolio transactions and the brokers’ provision of brokerage and research services to GSV Asset Management; and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 party service providers or through an internally managed structure.</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Based on the information reviewed and related discussions, the Board of Directors concluded that fees payable to GSV Asset Management pursuant to the Investment Advisory Agreement were reasonable in relation to the services to be provided. The Board of Directors did not assign relative weights to the above factors or the other factors considered by it. In addition, the Board of Directors did not reach any specific conclusion on each factor considered, but conducted an overall analysis of these factors. Individual members of the Board of Directors may have given different weights to different factors.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Pursuant to a separate Administration Agreement, GSV Capital Service Company, a Delaware limited liability company, furnishes us with office facilities, together with equipment and clerical, bookkeeping and record keeping services at such facilities. The principal executive offices of GSV Capital Service Company are located at 2965 Woodside Road, Woodside, CA 94062. Under the Administration Agreement, GSV Capital Service Company also performs, or oversees the performance of, our required administrative services, which includes being responsible for the financial records which we are required to maintain and preparing reports to our stockholders and reports filed with the SEC. In addition, GSV Capital Service Company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Payments under the Administration Agreement are based upon our allocable portion of overhead and other expenses incurred by GSV Capital Service Company in performing its obligations under the administration agreement, including a portion of the rent and the compensation of our chief financial officer and chief compliance officer and any administrative support personnel.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 The Administration Agreement may be terminated by either party without penalty upon 60 days’ written notice to the other party.</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Administration Agreement provides that, absent willful misfeasance, bad faith or gross negligence in the performance of their respective duties or by reason of the reckless disregard of their respective duties and obligations, GSV Capital Service Company and its officers, manager, agents, employees, controlling persons, members and any other person or entity affiliated with it are entitled to indemnification from us for any damages, liabilities, costs and expenses (including reasonable attorneys’ fees and amounts reasonably paid in settlement) arising from the rendering of GSV Capital Service Company’s services under the Administration Agreement or otherwise as our administrator.</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GSV Capital Service Company also provides administrative services to our investment adviser, GSV Asset Management. As a result, GSV Asset Management also reimburses GSV Capital Service Company for its allocable portion of GSV Capital Service Company’s overhead, including rent, the fees and expenses associated with performing compliance functions for GSV Asset Management, and its allocable portion of the compensation of any administrative support staff.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entered into a license agreement with GSV Asset Management pursuant to which GSV Asset Management has agreed to grant us a non-exclusive, royalty-free license to use the name ‘‘GSV.’’ Under this agreement, we have a right to use the GSV name for so long as the Investment Advisory Agreement with GSV Asset Management is in effect. Other than with respect to this limited license, we will have no legal right to the ‘‘GSV’’ name.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business development company is regulated by the 1940 Act. A business development company must be organized in the United States for the purpose of investing in or lending to primarily private companies and making significant managerial assistance available to them. A business development company may use capital provided by public stockholders and from other sources to make long-term, private investments in businesses. A business development company provides stockholders the ability to retain the liquidity of a publicly traded stock while sharing in the possible benefits, if any, of investing in primarily privately owned companies.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not change the nature of our business so as to cease to be, or withdraw our election as, a business development company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with other companies regulated by the 1940 Act, a business development company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business development company. Furthermore, as a business development company,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business development company,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may also be prohibited under the 1940 Act from knowingly participating in certain transactions with our affiliates without the prior approval of our directors who are not interested persons and, in some cases, prior approval by the SEC.</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See ‘‘Risk Factors — Risks Relating to Our Business and Structure — Regulations governing our operation as a business development company affect our ability to, and the way in which we, raise additional capital.’’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business development company, we are generally limited in our ability to invest in any portfolio company in which our investment adviser or any of its affiliates currently has an investment or to make any co-investments with our investment adviser or its affiliates without an exemptive order from the SEC, subject to certain exceptions.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a business development company, we are subject to certain risks and uncertainties. See ‘‘Risk Factors — Risks Relating to Our Business and Structure.’’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Qualifying Assets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business development company’s gross assets. The principal categories of qualifying assets relevant to our proposed business are the following:</w:t>
      </w: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business development company) or a company that would be an investment company but for certain exclusions under the 1940 Act; and</w:t>
      </w: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does not have any class of securities that is traded on a national securities exchange;</w:t>
      </w:r>
    </w:p>
    <w:p>
      <w:pPr>
        <w:spacing w:after="0" w:line="102" w:lineRule="exact"/>
        <w:rPr>
          <w:rFonts w:ascii="Arial" w:cs="Arial" w:eastAsia="Arial" w:hAnsi="Arial"/>
          <w:sz w:val="18"/>
          <w:szCs w:val="18"/>
          <w:color w:val="auto"/>
        </w:rPr>
      </w:pPr>
    </w:p>
    <w:p>
      <w:pPr>
        <w:ind w:left="1620" w:right="20" w:hanging="315"/>
        <w:spacing w:after="0" w:line="277" w:lineRule="auto"/>
        <w:tabs>
          <w:tab w:leader="none" w:pos="16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has a class of securities listed on a national securities exchange, but has an aggregate market value of outstanding voting and non-voting common equity of less then $250 million;</w:t>
      </w:r>
    </w:p>
    <w:p>
      <w:pPr>
        <w:spacing w:after="0" w:line="62" w:lineRule="exact"/>
        <w:rPr>
          <w:rFonts w:ascii="Arial" w:cs="Arial" w:eastAsia="Arial" w:hAnsi="Arial"/>
          <w:sz w:val="18"/>
          <w:szCs w:val="18"/>
          <w:color w:val="auto"/>
        </w:rPr>
      </w:pPr>
    </w:p>
    <w:p>
      <w:pPr>
        <w:ind w:left="1620" w:hanging="315"/>
        <w:spacing w:after="0" w:line="277" w:lineRule="auto"/>
        <w:tabs>
          <w:tab w:leader="none" w:pos="16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is controlled by a business development company or a group of companies including a business development company and the business development company has an affiliated person who is a director of the eligible portfolio company; or</w:t>
      </w:r>
    </w:p>
    <w:p>
      <w:pPr>
        <w:spacing w:after="0" w:line="62" w:lineRule="exact"/>
        <w:rPr>
          <w:rFonts w:ascii="Arial" w:cs="Arial" w:eastAsia="Arial" w:hAnsi="Arial"/>
          <w:sz w:val="18"/>
          <w:szCs w:val="18"/>
          <w:color w:val="auto"/>
        </w:rPr>
      </w:pPr>
    </w:p>
    <w:p>
      <w:pPr>
        <w:ind w:left="1620" w:hanging="315"/>
        <w:spacing w:after="0"/>
        <w:tabs>
          <w:tab w:leader="none" w:pos="1620" w:val="left"/>
        </w:tabs>
        <w:numPr>
          <w:ilvl w:val="2"/>
          <w:numId w:val="18"/>
        </w:numPr>
        <w:rPr>
          <w:rFonts w:ascii="Arial" w:cs="Arial" w:eastAsia="Arial" w:hAnsi="Arial"/>
          <w:sz w:val="16"/>
          <w:szCs w:val="16"/>
          <w:color w:val="auto"/>
        </w:rPr>
      </w:pPr>
      <w:r>
        <w:rPr>
          <w:rFonts w:ascii="Arial" w:cs="Arial" w:eastAsia="Arial" w:hAnsi="Arial"/>
          <w:sz w:val="16"/>
          <w:szCs w:val="16"/>
          <w:color w:val="auto"/>
        </w:rPr>
        <w:t>is a small and solvent company having gross assets of not more than $4.0 million and capital and surplus of not less than $2.0 million.</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other than office furniture and equipment, interests in real estate and leasehold improvements and facilities maintained to conduct the business operations of the business development company, deferred organization and operating expenses, and other noninvestment assets necessary and appropriate to its operations as a business development company, until such time as 70% of our then current gross assets were comprised of qualifying assets. We would not be required, however, to dispose of any non-qualifying assets in such circumstances.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Managerial Assistance to Portfolio Companies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a business development company must have been organized and have its principal place of business in the United States and must be operated for the purpose of making investments in the types of securities described in (1), (2) or (3) above. However, in order to count portfolio securities as qualifying assets for the purpose of the 70% test, the business development company must either control the issuer of the securities or must offer to make available to the issuer of the securities (other than small and solvent companies described above) significant managerial assistance; except that, where the business development company purchases such securities in conjunction with one or more other persons acting together, one of the other persons in the group may make available such managerial assistance. Making available managerial assistance means, among other things,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Relating to Our Business and Structure — We may borrow money, which would magnify the potential for gain or loss on amounts invested and may increase the risk of investing in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GSV Asset Management have each adopted a code of ethics pursuant to Rule 17j-1 under the</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1940 Act and Rule 204A-1 under the Advisers Act, respectively, that establishes procedures for personal investments and restricts certain transactions by our personnel. Our codes of ethics generally do not permit investments by our employees in securities that may be purchased or held by us. You may read and copy these codes of ethics at the SEC’s Public Reference Room in Washington, D.C. You may obtain information on the operation of the Public Reference Room by calling the SEC at (202) 551-8090. In addition, each code of ethics is available on the EDGAR Database on the SEC’s Internet site at </w:t>
      </w:r>
      <w:r>
        <w:rPr>
          <w:rFonts w:ascii="Arial" w:cs="Arial" w:eastAsia="Arial" w:hAnsi="Arial"/>
          <w:sz w:val="17"/>
          <w:szCs w:val="17"/>
          <w:i w:val="1"/>
          <w:iCs w:val="1"/>
          <w:color w:val="auto"/>
        </w:rPr>
        <w:t>http://www.sec.gov</w:t>
      </w:r>
      <w:r>
        <w:rPr>
          <w:rFonts w:ascii="Arial" w:cs="Arial" w:eastAsia="Arial" w:hAnsi="Arial"/>
          <w:sz w:val="17"/>
          <w:szCs w:val="17"/>
          <w:color w:val="auto"/>
        </w:rPr>
        <w:t>. You may also obtain copies of the codes of ethics, after paying a duplicating fee, by electronic request at the following Email address:</w:t>
      </w:r>
      <w:r>
        <w:rPr>
          <w:rFonts w:ascii="Arial" w:cs="Arial" w:eastAsia="Arial" w:hAnsi="Arial"/>
          <w:sz w:val="17"/>
          <w:szCs w:val="17"/>
          <w:i w:val="1"/>
          <w:iCs w:val="1"/>
          <w:color w:val="auto"/>
        </w:rPr>
        <w:t xml:space="preserve"> publicinfo@sec.gov</w:t>
      </w:r>
      <w:r>
        <w:rPr>
          <w:rFonts w:ascii="Arial" w:cs="Arial" w:eastAsia="Arial" w:hAnsi="Arial"/>
          <w:sz w:val="17"/>
          <w:szCs w:val="17"/>
          <w:color w:val="auto"/>
        </w:rPr>
        <w:t>, or by writing the SEC’s Public Reference Section, 100 F Street, N.E., Washington, D.C. 20549.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Policies and Procedures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and our investment adviser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Stephen D. Bard currently serves as our chief compliance officer.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Sarbanes-Oxley Act of 2002</w:t>
      </w:r>
    </w:p>
    <w:p>
      <w:pPr>
        <w:spacing w:after="0" w:line="225"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The Sarbanes-Oxley Act of 2002 imposes a wide variety of regulatory requirements on publicly-held companies and their insiders. Many of these requirements affect us. For example:</w:t>
      </w:r>
    </w:p>
    <w:p>
      <w:pPr>
        <w:spacing w:after="0" w:line="1" w:lineRule="exact"/>
        <w:rPr>
          <w:sz w:val="20"/>
          <w:szCs w:val="20"/>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 over financial reporting beginning in 2012, and must obtain an audit of the effectiveness of internal control over financial reporting performed by our independent registered public accounting firm should we become an accelerated filer; and</w:t>
      </w:r>
    </w:p>
    <w:p>
      <w:pPr>
        <w:spacing w:after="0" w:line="1"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9" w:name="page20"/>
    <w:bookmarkEnd w:id="19"/>
    <w:p>
      <w:pPr>
        <w:jc w:val="both"/>
        <w:ind w:right="20" w:firstLine="648"/>
        <w:spacing w:after="0" w:line="264"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delegated our proxy voting responsibility to GSV Asset Management. The Proxy Voting Policies and Procedures of GSV Asset Management are set forth below. The guidelines will be reviewed periodically by GSV Asset Management and our non-interested directors, and, accordingly, are subject to change. For purposes of these Proxy Voting Policies and Procedures described below, ‘‘we,’’ ‘‘our’’ and ‘‘us’’ refers to GSV Asset Management.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Proxy Policies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proxy voting decisions will be made by the senior officers who are responsible for monitoring each of our clients’ investments. To ensure that our vote is not the product of a conflict of interest, we will require that: (1) anyone involved in the decision making process disclose to our managing members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GSV Asset Management, 2965 Woodside Road, Woodside, CA 94062.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Principles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may be relevant to certain types of holders subject to special treatment under U.S. federal income tax laws, including stockholders subject to the alternative minimum tax, tax-exempt organizations, insurance companies, dealers in securities, a trader in securities that elects to use a market-to-market method of accounting for its securities holdings, pension plans and trusts, and financial institutions. This summary assumes that investors hold our common stock as capital assets (within the meaning of the Internal Revenue Code of 1986, as amended the ‘‘Code’’). The discussion is based upon the Code, Treasury regulations, and administrative and judicial interpretations, each as of the date of this annual report on Form 10-K and all of which are subject to change, possibly retroactively, which could affect the continuing validity of this discussion.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‘‘U.S. stockholder’’ generally is a beneficial owner of shares of our common stock who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political subdivision thereof (and an entity organized outside of the United States that is treated as a U.S. corporation under specialized sections of the Code);</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trust if a court within the United States is asked to exercise primary supervision over the administration of the trust and one or more United States persons have the authority to control all substantive decisions of the trust (or a trust that has made a valid election to be treated as a U.S. trust); or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 ‘‘Non-U.S. stockholder’’ generally is a beneficial owner of shares of our common stock who is not a U.S. stockholder.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his, her or its tax advisers with respect to the purchase, ownership and disposition of shares of our common stock. Tax matters are complicated and the tax consequences to an investor of an investment in our shares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to be Taxed as a RIC</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intend to elect to be treated as a RIC under Subchapter M of the Code. As a RIC, we generally will not have to pay corporate-level federal income taxes on any income that we distribute to our stockholders as dividends. To qualify as a RIC, we must, among other things, meet certain source-of-income and asset diversification requirements (as described below). In addition, in order to be eligible for pass-through tax treatment as a RIC, we must distribute to our stockholders, for each taxable year, at least 90% of our ‘‘investment company taxable income,’’ which is generally our net ordinary income plus the excess of realized net short-term capital gains over realized net long-term capital losses (the ‘‘Annual Distribution Requirement’’).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as a Regulated Investment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then we will not be subject to federal income tax on the portion of our income we distribute (or are deemed to distribute) to stockholders. We will be subject to U.S. federal income tax at the regular corporate rates on any income or capital gains not distributed (or deemed distributed) to our stockholders.</w:t>
      </w:r>
    </w:p>
    <w:p>
      <w:pPr>
        <w:spacing w:after="0" w:line="1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will be subject to a 4% nondeductible federal excise tax on certain undistributed income unless we distribute in a timely manner an amount at least equal to the sum of (1) 98% of our net ordinary income for each calendar year, (2) 98.2% of our capital gain net income for the one-year period ending October 31 in that calendar year and (3) any income recognized, but not distributed, in preceding years (the ‘‘Excise Tax Avoidance Requirement’’). We generally will endeavor in each year to make sufficient distributions to our stockholders to avoid any U.S. federal excise tax on our earnings.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In order to qualify as a RIC for federal income tax purposes, we must, among other things:</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have in effect an election to be treated as a business development company under the 1940 Act at all times during each taxable year;</w:t>
      </w:r>
    </w:p>
    <w:p>
      <w:pPr>
        <w:spacing w:after="0" w:line="34" w:lineRule="exact"/>
        <w:rPr>
          <w:rFonts w:ascii="Arial" w:cs="Arial" w:eastAsia="Arial" w:hAnsi="Arial"/>
          <w:sz w:val="17"/>
          <w:szCs w:val="17"/>
          <w:color w:val="auto"/>
        </w:rPr>
      </w:pPr>
    </w:p>
    <w:p>
      <w:pPr>
        <w:jc w:val="both"/>
        <w:ind w:left="980" w:hanging="324"/>
        <w:spacing w:after="0" w:line="265"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derive in each taxable year at least 90% of our gross income from dividends, interest, payments with respect to loans of certain securities, gains from the sale of stock or other securities or foreign currencies, net income from certain ‘‘qualified publicly traded partnerships,’’ or other income derived with respect to our business of investing in such stock or securities (the ‘‘90% Income Test’’); and</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 w:lineRule="exact"/>
        <w:rPr>
          <w:rFonts w:ascii="Arial" w:cs="Arial" w:eastAsia="Arial" w:hAnsi="Arial"/>
          <w:sz w:val="18"/>
          <w:szCs w:val="18"/>
          <w:color w:val="auto"/>
        </w:rPr>
      </w:pPr>
    </w:p>
    <w:p>
      <w:pPr>
        <w:jc w:val="both"/>
        <w:ind w:left="980" w:right="2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1" w:lineRule="exact"/>
        <w:rPr>
          <w:rFonts w:ascii="Arial" w:cs="Arial" w:eastAsia="Arial" w:hAnsi="Arial"/>
          <w:sz w:val="18"/>
          <w:szCs w:val="18"/>
          <w:color w:val="auto"/>
        </w:rPr>
      </w:pPr>
    </w:p>
    <w:p>
      <w:pPr>
        <w:jc w:val="both"/>
        <w:ind w:left="980" w:hanging="324"/>
        <w:spacing w:after="0" w:line="277"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‘‘Diversification Tests’’).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Provided that we satisfy the Diversification Tests as of the close of any quarter, we will not fail the Diversification Tests as of the close of a subsequent quarter as a consequence of a discrepancy between the value of our assets and the requirements of the Diversification Tests that is attributable solely to fluctuations in the value of our assets. Rather, we will fail the Diversification Tests as of the end of a subsequent quarter only if such a discrepancy existed immediately after our acquisition of any asset and was wholly or partly the result of that acquisition. In addition, if we fail the Diversification Tests as of the end of any quarter, we will not lose our status as a RIC if we eliminate the discrepancy within thirty days of the end of such quarter and, if we eliminate the discrepancy within that thirty-day period, we will be treated as having satisfied the Diversification Tests as of the end of such quarter for purposes of applying the rule described in the preceding sentence.</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payment-in-kind, or PIK, interest (which represents contractual interest added to the loan balance and due at the end of the loan term) or dividends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 —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w:t>
      </w:r>
    </w:p>
    <w:p>
      <w:pPr>
        <w:spacing w:after="0" w:line="2" w:lineRule="exact"/>
        <w:rPr>
          <w:sz w:val="20"/>
          <w:szCs w:val="20"/>
          <w:color w:val="auto"/>
        </w:rPr>
      </w:pPr>
    </w:p>
    <w:p>
      <w:pPr>
        <w:jc w:val="both"/>
        <w:ind w:firstLine="8"/>
        <w:spacing w:after="0" w:line="255" w:lineRule="auto"/>
        <w:tabs>
          <w:tab w:leader="none" w:pos="3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adversely alter the characterization of certain complex financial transactions; and (vii) produce income that will not be qualifying income for purposes of the 90% Income Test described above. We will monitor our transactions and may make certain tax elections in order to mitigate the potential adverse effect of these provisions.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2" w:name="page23"/>
    <w:bookmarkEnd w:id="22"/>
    <w:p>
      <w:pPr>
        <w:jc w:val="both"/>
        <w:ind w:firstLine="648"/>
        <w:spacing w:after="0" w:line="259" w:lineRule="auto"/>
        <w:rPr>
          <w:sz w:val="20"/>
          <w:szCs w:val="20"/>
          <w:color w:val="auto"/>
        </w:rPr>
      </w:pPr>
      <w:r>
        <w:rPr>
          <w:rFonts w:ascii="Arial" w:cs="Arial" w:eastAsia="Arial" w:hAnsi="Arial"/>
          <w:sz w:val="18"/>
          <w:szCs w:val="18"/>
          <w:color w:val="auto"/>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tax basis in the stock purchased under the warrant will equal the sum of the amount paid for the warrant plus the strike price paid on the exercise of the warrant.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Stockholders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Distributions by us generally are taxable to U.S. stockholders as ordinary income or capital gains. Distributions of our ‘‘investment company taxable income’’ (which is, generally, our net ordinary income plus realized net short-term capital gains in excess of realized net long-term capital losses) will be taxable as ordinary income to U.S. stockholders to the extent of our current and accumulated earnings and profits, whether paid in cash or reinvested in additional common stock. To the extent such distributions paid by us in taxable years beginning before January 1, 2013 to non-corporate stockholders (including individuals) are attributable to dividends from U.S. corporations and certain qualified foreign corporations, such distributions (‘‘Qualifying Dividends’’) may be eligible for a maximum tax rate of 15%. In this regard, it is anticipated that distributions paid by us will generally not be attributable to dividends received by us and, therefore, generally will not qualify for the 15% maximum rate applicable to Qualifying Dividends. Distributions of our net capital gains (which are generally our realized net long-term capital gains in excess of realized net short-term capital losses) made in taxable years beginning before January 1, 2013 and properly reported by us as ‘‘capital gain dividends’’ will be taxable to a U.S. stockholder as long-term capital gains that are currently taxable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dividend reinvestment plan, our stockholders who have not ‘‘opted out’’ of our dividend reinvestment plan will have their cash distributions automatically reinvested in additional shares of our common stock, rather than receiving the cash distributions. Any distributions reinvested under the plan will nevertheless remain taxable to U.S. stockholders. A U.S. stockholder will have an adjusted basis in the additional common shares purchased through the plan equal to the amount of the reinvested distribution. The additional shares will have a new holding period commencing on the day following the day on which the shares are credited to the U.S. stockholder’s account.</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may retain some or all of our realized net long-term capital gains in excess of realized net short-term capital losses, but designate the retained net capital gain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Because we expect to pay tax on any retained capital gains at our regular corporate tax rate, and because that rate is in excess of the maximum rate currently payable by non-corporate taxpayers on long-term capital gains, the amount of tax that individual U.S. stockholders will be treated as having paid will exceed the tax they owe on the capital gain distribution and such excess generally may be refunded or claimed as a credit against the U.S. stockholder’s other U.S. federal income tax obligations. The amount of the deemed distribution net of such tax will be added to the U.S. stockholder’s cost basis for his, her or its common stock. In order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RIC, we are required to apportion any items that are treated differently for alternative minimum tax</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(‘‘AMT’’) purposes between us and our stockholders, and such apportionment may affect our stockholders’ AMT liabilities. Although regulations explaining the precise method of apportionment have not yet been issued by the Internal Revenue Service, we intend in general to apportion these items in the same proportion that dividends paid to each stockholder bear to our taxable income (determined without regard to the dividends paid deduction), unless we determine that a different method for a particular item is warranted under the circumstances.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3" w:name="page24"/>
    <w:bookmarkEnd w:id="23"/>
    <w:p>
      <w:pPr>
        <w:jc w:val="both"/>
        <w:ind w:firstLine="648"/>
        <w:spacing w:after="0" w:line="255"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dividend was declared.</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may represent a return of his, her or its investment. A stockholder generally will recognize taxable gain or loss if the stockholder sells or otherwise disposes of his, her or its shares of our common stock. The amount of gain or loss will be measured by the difference between such stockholder’s adjusted tax basis in the common stock sold and the amount of the proceeds received in exchange. Any gain arising from such sale or disposition generally will be treated as long-term capital gain or loss if the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distributions or otherwise) within 30 days before or after the disposition.</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general, non-corporate U.S. stockholders currently are subject to a maximum federal income tax rate of 15% on their net capital gain (i.e., the excess of realized net long-term capital gains over realized net short-term capital losses) recognized in taxable years beginning before January 1, 2013, including any long-term capital gain derived from an investment in our shares. Such rate is lower than the maximum rate on ordinary income currently payable by individuals. In addition, for taxable years beginning after December 31, 2012, individuals with income in excess of $200,000 ($250,000 in the case of married individuals filing jointly) and certain estates and trusts are generally subject to an additional 3.8% tax on their ‘‘net investment income,’’ which generally includes net income from interest, dividends, annuities, royalties, and rents, and net capital gains (other than certain amounts earned from trades or businesses).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 back such losses for three years or carry forward such losses for five years.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dividends, if any, eligible for the 15% maximum rate). Dividends paid by us generally will not be eligible for the dividends-received deduction or the preferential tax rate applicable to Qualifying Dividends because our income generally will not consist of dividends. Distributions may also be subject to additional state, local and foreign taxes depending on a U.S. stockholder’s particular situation.</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be required to withhold federal income tax (‘‘backup withholding’’) from all taxable distributions to any U.S. stockholder (other than a corporation, a financial institution, or a stockholder that otherwise qualifies for an exemption) (1) who fails to furnish us with a correct taxpayer identification number or a certificate that such stockholder is exempt from backup withholding or (2) with respect to whom the Internal Revenue Service notifies us that such stockholder has failed to properly report certain interest and dividend income to the Internal Revenue Service and to respond to notices to that effect. An individual’s taxpayer identification number is his or her social security number. Any amount withheld under backup withholding is allowed as a credit against the U.S. stockholder’s federal income tax liability, provided that proper information is provided to the Internal Revenue Service.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Non-U.S. Stockholders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4" w:name="page25"/>
    <w:bookmarkEnd w:id="24"/>
    <w:p>
      <w:pPr>
        <w:jc w:val="both"/>
        <w:ind w:firstLine="648"/>
        <w:spacing w:after="0" w:line="272" w:lineRule="auto"/>
        <w:rPr>
          <w:sz w:val="20"/>
          <w:szCs w:val="20"/>
          <w:color w:val="auto"/>
        </w:rPr>
      </w:pPr>
      <w:r>
        <w:rPr>
          <w:rFonts w:ascii="Arial" w:cs="Arial" w:eastAsia="Arial" w:hAnsi="Arial"/>
          <w:sz w:val="17"/>
          <w:szCs w:val="17"/>
          <w:color w:val="auto"/>
        </w:rPr>
        <w:t>Distributions of our ‘‘investment company taxable income’’ to Non-U.S. stockholders (including interest income and realized net short-term capital gains in excess of realized long-term capital losses, which generally would be free of withholding if paid to Non-U.S. stockholders directly) will be subject to withholding of federal tax at a 30% rate (or lower rate provided by an applicable treaty) to the extent of our current and accumulated earnings and profits unless an applicable exception applies. If the distributions are effectively connected with a U.S. trade or business of the Non-U.S. stockholder, we will not be required to withhold federal tax if the Non-U.S. stockholder complies with applicable certification and disclosure requirements, although the distributions will be subject to federal income tax at the rates applicable to U.S. persons. (Special certification requirements apply to a Non-U.S. stockholder that is a foreign partnership or a foreign trust, and such entities are urged to consult their own tax advisers.)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for taxable years prior to December 31, 2011, U.S. source withholding taxes are not imposed on dividends paid by RICs to the extent the dividends were designated as ‘‘interest-related dividends’’ or ‘‘short-term capital gain dividends.’’ Under this exemption, interest-related dividends and short-term capital gain dividends generally represent distributions of interest or short-term capital gains that would not have been subject to U.S. withholding tax at the source if they had been received directly by a foreign person, and that satisfy certain other requirements. The exemption applies to dividends with respect to taxable years of RICs beginning on or before December 31, 2011. No assurance can be given as to whether this exemption will be extended for tax years beginning after December 31, 2011 or as to whether any of our distributions will be designated as eligible for this exemption from withholding tax.</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Actual or deemed distributions of our net capital gains to a stockholder that is a non-U.S. stockholder, and gains realized by a non-U.S. stockholder upon the sale or redemption of our common stock, will not be subject to U.S.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 or, in the case of an individual, the non-U.S. stockholder was present in the United States for 183 days or more during the taxable year and certain other conditions are met.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distribute our net capital gains in the form of deemed rather than actual distributions, a stockholder that is a non-U.S. stockholder will be entitled to a U.S. federal income tax credit or tax refund equal to the stockholder’s allocable share of the corporate-level tax we pay on the capital gains deemed to have been distributed; however,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corporate non-U.S. stockholder, distributions (both actual and deemed), and gains realized upon the sale or redemption of our common stock that are effectively connected to a U.S. trade or business may, under certain circumstances, be subject to an additional ‘‘branch profits tax’’ at a 30% rate (or at a lower rate if provided for by an applicable treaty).</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dividend reinvestment plan, our stockholders who have not ‘‘opted out’’ of our dividend reinvestment plan will have their cash distributions automatically reinvested in additional shares of our common stock, rather than receiving the cash distributions. If the distribution is a distribution of our investment company taxable income, is not properly reported by us as a short-term capital gains dividend or interest-related dividend (assuming extension of the exemption discussed above), and is not effectively connected with a U.S. trade or business of the non-U.S. stockholder (and, if a treaty applies, is not attributable to a permanent establishment), the amount distributed (to the extent of our current and accumulated earnings and profits) will be subject to U.S. federal withholding tax at a 30% rate (or lower rate provided by an applicable treaty) and only the net after-tax amount will be reinvested in common shares. If the distribution is effectively connected with a U.S. trade or business of the non-U.S. stockholder, generally the full amount of the distribution will be reinvested in the plan and will nevertheless be subject to U.S. federal income tax at the ordinary income rates applicable to U.S. persons. The non-U.S. stockholder will have an adjusted basis in the additional common shares purchased through the plan equal to the amount reinvested. The additional shares will have a new holding period commencing on the day following the day on which the shares are credited to the non-U.S. stockholder’s account.</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Recently enacted legislation that becomes effective after December 31, 2012 generally imposes a 30% withholding tax on payments of certain types of payments to foreign financial institutions that fail to enter into an agreement with the United States Treasury to report certain required information with respect to accounts held by United States persons (or held by foreign entities that have United States persons as substantial owners). The types of payments subject to the tax include U.S. source interest and dividends and the gross proceeds from the sale of any property that could produce U.S.-source interest or dividends.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financial institutions unless the foreign entity certifies that it does not have a 10% or greater U.S. owner or provides the withholding agent with identifying information on each 10% or greater U.S. owner. When these provisions become effective, depending on the status of a Non-U.S. Holder and the status of the intermediaries through which they hold their common stock, Non-U.S. Holders could be subject to this 30% withholding tax with respect to distributions on their units and proceeds from the sale of their common stock. Under certain circumstances, a Non-U.S. Holder might be eligible for refunds or credits of such taxes.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firstLine="648"/>
        <w:spacing w:after="0" w:line="273" w:lineRule="auto"/>
        <w:rPr>
          <w:sz w:val="20"/>
          <w:szCs w:val="20"/>
          <w:color w:val="auto"/>
        </w:rPr>
      </w:pPr>
      <w:r>
        <w:rPr>
          <w:rFonts w:ascii="Arial" w:cs="Arial" w:eastAsia="Arial" w:hAnsi="Arial"/>
          <w:sz w:val="17"/>
          <w:szCs w:val="17"/>
          <w:color w:val="auto"/>
        </w:rPr>
        <w:t>A Non-U.S. stockholder who is a non-resident alien individual, and who is otherwise subject to withholding of federal tax, may be subject to information reporting in connection with certain payments on the common stock. A Non-U.S. stockholder may be subject to backup withholding of federal income tax on dividends unless the Non-U.S. stockholder provides us or the dividend paying agent with an IRS Form W-8BEN (or an acceptable substitute form) or otherwise meets documentary evidence requirements for establishing that it is a Non-U.S. stockholder or otherwise establishes an exemption from backup withholding. Any amount withheld under backup withholding is allowed as a credit against the Non-U.S. stockholder’s U.S. federal income tax liability, provided that proper information is provided to the Internal Revenue Service.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Non-U.S. persons should consult their own tax advisers with respect to the U.S. federal income tax and withholding tax, and state, local and foreign tax consequences of an investment in the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Sunset of Reduced Tax Rate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Several of the tax considerations described under the heading ‘‘Material U.S. Federal Income Tax Considerations’’ in the accompanying annual report on Form 10-K are subject to sunset provisions. These sunset provisions generally provide that for taxable years beginning after December 31, 2012, certain provisions in the Code that are currently applicable will revert back to earlier versions of such provisions. As a result, the federal income tax rates applicable to ordinary income, long-term capital gain and qualified dividend income for taxpayers taxed at individual rates will increase beginning January 1, 2013, absent Congressional action. Consequently, prospective investors should consult their own tax advisors regarding the effect of sunset provisions on an investment in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Qualify as a Regulated Investment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we were unable to qualify for treatment as a RIC, we would be subject to tax on all of our taxable income at regular corporate rates, regardless of whether we make any distributions to our stockholders. Distributions would not be required, and any distributions made in taxable years beginning before January 1, 2013 would be taxable to our stockholders as ordinary dividend income, and provided that certain holding periods and other requirements are met, could be eligible for the 15% maximum rate to the extent of our current and accumulated earnings and profits.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10 years, unless we made a special election to pay corporate-level tax on such built-in gain at the time of its requalification as a RIC. If we fail to satisfy the 90% Income Test or the Diversification Test described above, however, we may be able to avoid losing our status as a RIC by timely providing notice of such failure to the Internal Revenue Service, curing such failure and possibly paying an additional tax.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Investing in our common stock involves a number of significant risks. In addition to the other information contained in this annual report on Form 10-K, you should consider carefully the following information before making an investment in our common stock. Although the risks described below represent our material risks, they are not the only risks we face. Additional risks and uncertainties not presently known to us might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investments in the rapidly growing venture capital-backed emerging companies that we are targeting may be extremely risky and we could lose all or part of our investments.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Investment in the rapidly growing venture capital-backed emerging companies that we are targeting involves a number of significant risks, including:</w:t>
      </w:r>
    </w:p>
    <w:p>
      <w:pPr>
        <w:spacing w:after="0" w:line="248" w:lineRule="exact"/>
        <w:rPr>
          <w:sz w:val="20"/>
          <w:szCs w:val="20"/>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companies may have limited financial resources and may be unable to meet their obligations under their existing debt, which may lead to equity financings, possibly at discounted valuations, in which we could be substantially diluted if we do not or cannot participate, bankruptcy or liquidation and the reduction or loss of our equity investment;</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they typically have limited operating histories, narrower, less established product lines and smaller market shares than larger businesses, which tend to render them more vulnerable to competitors’ actions, market conditions and consumer sentiment in respect of their products or services, as well as general economic downturns;</w:t>
      </w:r>
    </w:p>
    <w:p>
      <w:pPr>
        <w:spacing w:after="0" w:line="181"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because they are privately owned, there is generally little publicly available information about these businesses; therefore, although our investment adviser’s agents will perform due diligence investigations on these portfolio companies, their operations and their prospects, we may not learn all of the material information we need to know regarding these businesses and, in the case of investments we acquire on private secondary transactions, we may be unable to obtain financial or other information regarding the companies with respect to which we invest. Furthermore, there can be no assurance that the information that we do obtain with respect to any investment is reliable;</w:t>
      </w:r>
    </w:p>
    <w:p>
      <w:pPr>
        <w:spacing w:after="0" w:line="172"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portfolio company’s failure to satisfy financial or operating covenants imposed by its lenders could lead to defaults and, potentially, termination of its loans and foreclosure on its assets, which could trigger cross-defaults under other agreements and jeopardize our equity investment in such portfolio company. We may incur expenses to the extent necessary to seek recovery of our equity investment or to negotiate new terms with a financially distressed portfolio company.</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our investments are generally not in publicly traded securities, there will be uncertainty regarding the value of our investments, which could adversely affect the determination of our net asset value.</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portfolio investments will generally not be in publicly traded securities. As a result, although we expect that some of our equity investments may trade on private secondary marketplaces, the fair value of our direct investments in portfolio companies will often not be readily determinable. Under the 1940 Act, for our investments for which there are no readily available market quotations, including securities that while listed on a private securities exchange, have not actively traded, we will value such securities at fair value quarterly as determined in good faith by our board of directors based upon the recommendation of the Board of Director’s Valuation Committee in accordance with our written valuation policy. In connection with that determination, members of our investment adviser’s portfolio management team will prepare portfolio company valuations using the most recent portfolio company financial statements and forecasts. The Valuation Committee intends to utilize the services of an independent valuation firm, which will prepare valuations for each of our portfolio investments that are not publicly traded or for which we do not have readily available market quotations, including securities that while listed on a private securities exchange, have not actively traded. However, the board of directors will retain ultimate authority as to the appropriate valuation of each such investment. The types of factors that the Valuation Committee will take into account in providing its fair value recommendation to the board of directors with respect to such non-traded investments will include, as relevant and, to the extent available, the portfolio company’s earnings, the markets in which the portfolio company does business, comparison to valuations of publicly traded companies, comparisons to recent sales of comparable companies, the discounted value of the cash flows of the portfolio company and other relevant factors. This information may not be available because it is difficult to obtain financial and other information with respect to private companies, and even where we are able to obtain such information, there can be no assurance that it is complete or accurate. Because such valuations are inherently uncertain and may be based on estimates, our determinations of fair value may differ materially from the values that would be assessed if a readily available market for these securities existed. Due to this uncertainty, our fair value determinations with respect to any non-traded investments we hold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during a period in which the net asset value understates the value of our investments will receive a lower price for their shares than the value of our investments might warrant.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680" w:gutter="0" w:footer="0" w:header="0"/>
        </w:sectPr>
      </w:pPr>
    </w:p>
    <w:bookmarkStart w:id="27" w:name="page28"/>
    <w:bookmarkEnd w:id="27"/>
    <w:p>
      <w:pPr>
        <w:jc w:val="both"/>
        <w:spacing w:after="0" w:line="266" w:lineRule="auto"/>
        <w:rPr>
          <w:sz w:val="20"/>
          <w:szCs w:val="20"/>
          <w:color w:val="auto"/>
        </w:rPr>
      </w:pPr>
      <w:r>
        <w:rPr>
          <w:rFonts w:ascii="Arial" w:cs="Arial" w:eastAsia="Arial" w:hAnsi="Arial"/>
          <w:sz w:val="18"/>
          <w:szCs w:val="18"/>
          <w:b w:val="1"/>
          <w:bCs w:val="1"/>
          <w:color w:val="auto"/>
        </w:rPr>
        <w:t>We may not realize gains from our equity investments and, because certain of our portfolio companies may incur substantial debt to finance their operations, we may experience a complete loss on our equity investment in the event of a bankruptcy or liquidation of any of our portfolio companies.</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invest principally in the equity and equity-related securities of rapidly growing venture capital-backed emerging companies. However, the equity interests we acquire may not appreciate in value and, in fact, may decline in value. In addition, the private company securities we acquire are often subject to drag-along rights, which could permit other stockholders, under certain circumstances, to force us to liquidate our position in a subject company at a specified price, which could be, in our opinion, inadequate or undesirable or even below our cost basis. In this event, we could realize a loss or fail to realize gain in an amount that we deem appropriate on our investment. Further, capital market volatility and the overall market environment may preclude our portfolio companies from realizing liquidity events and impede our exit from these investments. Accordingly, we may not be able to realize gains from our equity interests, and any gains that we do realize on the disposition of any equity interests may not be sufficient to offset any other losses we experience. We will generally have little, if any, control over the timing of any gains we may realize from our equity investments. In addition, the companies in which we invest may have substantial debt loads. In such cases, we would typically be last in line behind any creditors in a bankruptcy or liquidation, and would likely experience a complete loss on our investment.</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Substantially all of our portfolio companies are currently experiencing operating losses, which may be substantial, and there can be no assurance when or if such companies will operate at a profit.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limited information about the financial performance and profitability of our portfolio companies. While according to public filings with the SEC, certain of our portfolio companies have earned net income in recent periods, we believe that substantially all of our portfolio companies are currently experiencing operating losses. There can be no assurance when or if such companies will operate at a profit.</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lack of liquidity in, and potentially extended holding period of, our many investments may adversely affect our business, and will delay any distributions of gains, if any.</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investments will generally not be in publicly traded securities. Although we expect that some of our equity investments will trade on private secondary marketplaces, certain of the securities we hold will be subject to legal and other restrictions on resale or will otherwise be less liquid than publicly traded securities. In addition, while some portfolio companies may trade on private secondary marketplaces, we can provide no assurance that such a trading market will continue or remain active, or that we will be able to sell our position in any portfolio company at the time we desire to do so and at the price we anticipate. The illiquidity of our investments, including those that are traded on private secondary marketplaces, may make it difficult for us to sell such investments if the need arises. Also, if we are required to liquidate all or a portion of our portfolio quickly, we may realize significantly less than the value at which we have previously recorded our investments. We will have no limitation on the portion of our portfolio that may be invested in illiquid securities, and a substantial portion or all of our portfolio may be invested in such illiquid securities from time to time.</w:t>
      </w:r>
    </w:p>
    <w:p>
      <w:pPr>
        <w:spacing w:after="0" w:line="1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addition, because we will generally invest in equity and equity-related securities, with respect to the majority of our portfolio companies, we do not expect realization events, if any, to occur in the near term. We expect that our holdings of equity securities may require several years to appreciate in value, and we can offer no assurance that such appreciation will occur. Even if such appreciation does occur, it is likely that initial purchasers of our shares could wait for an extended period of time before any appreciation or sale of our investments, and any attendant distributions of gains, may be realized.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8" w:name="page29"/>
    <w:bookmarkEnd w:id="28"/>
    <w:p>
      <w:pPr>
        <w:jc w:val="both"/>
        <w:spacing w:after="0" w:line="282" w:lineRule="auto"/>
        <w:rPr>
          <w:sz w:val="20"/>
          <w:szCs w:val="20"/>
          <w:color w:val="auto"/>
        </w:rPr>
      </w:pPr>
      <w:r>
        <w:rPr>
          <w:rFonts w:ascii="Arial" w:cs="Arial" w:eastAsia="Arial" w:hAnsi="Arial"/>
          <w:sz w:val="18"/>
          <w:szCs w:val="18"/>
          <w:b w:val="1"/>
          <w:bCs w:val="1"/>
          <w:color w:val="auto"/>
        </w:rPr>
        <w:t>Our portfolio may be concentrated in a limited number of portfolio companies or market sectors, which will subject us to a risk of significant loss if the business or market position of these companies deteriorates or market sectors experiences a market downturn.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consequence of our limited number of investments is that the aggregate returns we realize may be significantly adversely affected if a small number of investments perform poorly or if we need to write down the value of any one investment. For example, as of December 31, 2011, over half of our portfolio company investments was comprised of investments in four portfolio companies. Beyond our income tax asset diversification requirements, we do not have fixed guidelines for diversification, and our investments could be concentrated in relatively few issuers. In addition, our investments may be concentrated in a limited number of market sectors, including in technology-related sectors. As a result, a downturn in any market sector in which a significant number of our portfolio companies operate could materially adversely affect us.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Technology-related sectors in which we invest are subject to many risks, including volatility, intense competition, decreasing life cycles, product obsolescence, changing consumer preferences and periodic downturns.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Given the experience of our investment adviser’s senior investment professionals and its Advisory Board members within the technology space, we expect that a number of the companies with respect to which we invest will operate in technology-related sectors. The revenues, income (or losses) and valuations of technology-related companies can and often do fluctuate suddenly and dramatically. In addition, because of rapid technological change, the average selling prices of products and some services provided by technology-related sectors have historically decreased over their productive lives. As a result, the average selling prices of products and services offered by our portfolio companies that operated in technology-related sectors may decrease over time, which could adversely affect their operating results and, correspondingly, the value of any equity securities that we may hold. This could, in turn, materially adversely affect our business, financial condition and results of operations.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limited in our ability to make follow-on investments, and our failure to make follow-on investments in our portfolio companies could impair the value of our portfolio.</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subsequent financing; or (3) attempt to preserve or enhance the value of our investment.</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elect not to make follow-on investments, or may otherwise lack sufficient funds to make those investments or lack access to desired follow-on investment opportunities. We have the discretion to make any follow-on investments, subject to the availability of capital resources and of the investment opportunity.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 or lack access to the desired follow-on investment opportunity.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may be unable to complete follow-on investments in our portfolio companies that have conducted an initial public offering as a result of regulatory or financial restrictions.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Because we will generally not hold controlling equity interests in our portfolio companies, we will likely not be in a position to exercise control over our portfolio companies or to prevent decisions by substantial shareholders or management of our portfolio companies that could decrease the value of our investments.</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Generally, we will not take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In addition, other shareholders, such as venture capital and private equity sponsors, that have substantial investments in our portfolio companies may have interests that differ from that of the portfolio company or its minority shareholders, which may lead them to take actions that could materially and adversely affect the value of our investment in the portfolio company. Due to the lack of liquidity for the equity and equity-related investments that we will typically hold in our portfolio companies, we may not be able to dispose of our investments in the event we disagree with the actions of a portfolio company or its substantial shareholders, and may therefore suffer a decrease in the value of our investments.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Investments in foreign companies may involve significant risks in addition to the risks inherent in U.S. investments.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While we invest primarily in U.S. companies, we may invest on an opportunistic basis in certain non-U.S. companies, including those located in emerging markets, that otherwise meet our investment criteria, although in no event will the aggregate value of our non-U.S. investments exceed 30% of the aggregate value of our total investment portfolio. Investing in foreign companies, and particularly those in emerging markets, may expose us to additional risks not typically associated with investing in U.S. issues.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may have difficulty enforcing our rights as equity holders in foreign jurisdictions. In addition, to the extent we invest in non-U.S. companies, we may face greater exposure to foreign economic developments.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expect that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new company with little operating history, and our investment adviser has only a limited history of investing experience.</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were initially formed in September 2010 and completed our initial public offering on April 28, 2011. As a result, we have limited financial information on which you can evaluate an investment in our company or our prior performance. In addition, our investment adviser, GSV Asset Management, was formed in November 2009, and has only a limited history of investing experience managing a pool of assets substantially smaller in size than the net proceeds that were received in the initial public offering. We are subject to all of the business risks and uncertainties associated with any new business, including the risk that we will not achieve our investment objective and that the value of your investment could decline substantially or fall to zero. We anticipate that it will take us up to six to 12 months to invest substantially all of the net proceeds of our follow-on offering, which closed in February 2012, in our targeted investments. During this period, we will invest in temporary investments, such as cash, cash equivalents, U.S. government securities and other high-quality debt investments that mature in one year or less. In addition, we will retain a portion of the net proceeds from the follow-on offering for purposes of funding our ongoing operations.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intend to continue to qualify as a business development company under the 1940 Act. The 1940 Act imposes numerous constraints on the operations of business development companies. For example, business development companies are required to invest at least 70% of their gross assets in specified types of securities, primarily in private companies or thinly-traded U.S. public companies, cash, cash equivalents, U.S. government securities and other high quality debt investments that mature in one year or less. Furthermore, any failure to comply with the requirements imposed on business development companies by the 1940 Act could cause the SEC to bring an enforcement action against us and/or expose us to claims of private litigants. In addition, upon approval of a majority of our stockholders, we may elect to withdraw our status as a business development company. If we decide to withdraw our election, or if we otherwise fail to qualify, or maintain our qualification, as a business development company, we may be subject to the substantially greater regulation under the 1940 Act as a closed-end investment company. Compliance with such regulations would significantly decrease our operating flexibility, and could significantly increase our costs of doing business. 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dependent upon GSV Asset Management’s senior investment professionals for our future success, particularly Michael T. Moe, Stephen D. Bard and Luben Pampoulov. If we lose any of our investment adviser’s senior investment professionals, our ability to implement our business strategy could be significantly harmed.</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depend on the diligence, skill and network of business contacts of the GSV Asset Management’s senior investment professionals. These senior investment professionals, together with other investment professionals employed by GSV Asset Management, evaluate, negotiate, structure, close, monitor and service our investments. Our future success will depend to a significant extent on the continued service and coordination of our investment adviser’s senior investment professionals, particularly Michael T. Moe, Stephen D. Bard and Luben Pampoulov. None of Messrs. Moe, Bard or Pampoulov is subject to an employment contract, and none receive any compensation from us. None of Messrs. Moe, Bard or Pampoulov devote all of their business time to our operations, and each have other demands on their time as a result of their other activities. The departure of any of these individuals could have a material adverse effect on our ability to achieve our investment objective.</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None of the GSV Asset Management’s senior investment professionals or Advisory Board members, including Michael T. Moe, Stephen D. Bard and Luben Pampoulov, are subject to employment agreements, and there can be no assurance that our investment adviser will be successful in retaining its senior investment professionals.</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None of the members of GSV Asset Management’s senior investment professionals or its Advisory Board members, including Michael T. Moe, Stephen D. Bard and Luben Pampoulov, are subject to employment agreements. As a result, although Messrs. Moe, Bard and Pampoulov comprise the principals of GSV Asset Management, they are free to terminate their employment with GSV Asset Management at any time. In addition, none of our investment adviser’s senior investment professionals or the Advisory Board members, including Messrs. Moe, Bard and Pampoulov, are subject to any non-compete agreements that would restrict their ability to provide investment advisory services to an entity with an investment objective similar to our own in the event they were to terminate their employment with GSV Asset Management, or if GSV Asset Management were to no longer serve as our investment adviser. There can be no assurance that our investment adviser will be successful in retaining its senior investment professionals or the Advisory Board members, including Messrs. Moe, Bard and Pampoulov. The departure of any of Messrs. Moe, Bard or Pampoulov could have a material adverse effect on our ability to achieve our investment objective.</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growth will require that GSV Asset Management retain and attract new investment and administrative personnel in a competitive market. Its ability to attract and retain personnel with the requisite credentials, experience and skills will depend on several factors including, but not limited to, its ability to offer competitive wages, benefits and professional growth opportunities. Many of the entities with which GSV Asset Management will compete for experienced personnel, including investment funds (such as private equity funds and mezzanine funds) and traditional financial services companies, will have greater resources than 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Our financial condition and results of operations will depend on our ability to achieve our investment objective.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newly organized company. As such, we are subject to the business risks and uncertainties associated with any new business enterprise. Our ability to achieve our investment objective will depend on our investment adviser’s ability to identify, analyze and invest in companies that meet our investment criteria. Accomplishing this result on a cost-effective basis is largely a function of our investment adviser’s structuring of the investment process and its ability to provide competent, attentive and efficient services to us. We seek a specified number of investments in rapidly growing venture capital-backed emerging companies, which may be extremely risky. There can be no assurance that GSV Asset Management will be successful in identifying and investing in companies that meet our investment criteria, or that we will achieve our investment objective.</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monitoring the performance of our existing investments, GSV Asset Management is required to offer, and may be called upon, to provide, managerial assistance to some of our portfolio companies. GSV Asset Management also currently manages GSV X Fund, LP (“GSV X Fund”), a global long/short absolute return fund, in which we have no economic interest. These demands on their time may distract them or slow the rate of investment. Even if we are able to grow and build upon our investment operations, any failure to manage our growth effectively could have a material adverse effect on our business, financial condition, results of operations and prospects. The results of our operations will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dividends.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will likely experience fluctuations in our quarterly results and we may be unable to replicate past investment opportunities or make the types of investments we have made to date in future periods.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likely experience fluctuations in our quarterly operating results due to a number of factors, including the rate at which we make new investments, the level of our expenses, variations in and the timing of the recognition of realized and unrealized gains or losses, the degree to which we encounter competition in our markets and general economic conditions. These fluctuations may in certain cases be exaggerated as a result of our focus on realizing capital gains rather than current income from our investments. In addition, there can be no assurance that we will be able to locate or acquire investments that are of a similar nature to those currently in our portfolio. As a result of these factors, results for any period should not be relied upon as being indicative of performance in future periods.</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 model depends upon the development and maintenance of strong referral relationships with private equity and venture capital funds and investment banking firms.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substantially dependent on our informal relationships, which we use to help identify and gain access to investment opportunities. If we fail to maintain our relationships with key firms, or if we fail to establish strong referral relationships with other firms or other sources of investment opportunities, we will not be able to grow our portfolio of equity investments and achieve our investment objective. In addition, persons with whom we have informal relationships are not obligated to inform us of investment opportunities, and therefore such relationships may not lead to the origination of equity or other investments. Any loss or diminishment of such relationships could effectively reduce our ability to identify attractive portfolio companies that meet our investment criteria, either for direct equity investments or for investments through private secondary market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risks relating to investing in securities traded on private secondary marketplaces.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and expect to continue to utilize private secondary marketplaces, such as SharesPost and SecondMarket, to acquire investments in our portfolio. We generally have little or no direct access to financial or other information from the portfolio companies with respect to which we invest through such private secondary marketplaces. As a result, we are dependent upon the relationships and contacts of our investment adviser’s senior investment professionals, its Advisory Board members and our board of directors to obtain the information for our investment adviser to perform research and due diligence, and to monitor our investments after they are made. There can be no assurance that our investment adviser will be able to acquire adequate information on which to make its investment decision with respect to any private secondary marketplace purchases, or that the information it is able to obtain is accurate or complete. Any failure to obtain full and complete information regarding the portfolio companies with respect to which we invest through private secondary marketplaces could cause us to lose part or all of our investment in such companies, which would have a material and adverse effect on our net asset value and results of operations.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2" w:name="page33"/>
    <w:bookmarkEnd w:id="32"/>
    <w:p>
      <w:pPr>
        <w:jc w:val="both"/>
        <w:ind w:firstLine="648"/>
        <w:spacing w:after="0" w:line="271" w:lineRule="auto"/>
        <w:rPr>
          <w:sz w:val="20"/>
          <w:szCs w:val="20"/>
          <w:color w:val="auto"/>
        </w:rPr>
      </w:pPr>
      <w:r>
        <w:rPr>
          <w:rFonts w:ascii="Arial" w:cs="Arial" w:eastAsia="Arial" w:hAnsi="Arial"/>
          <w:sz w:val="17"/>
          <w:szCs w:val="17"/>
          <w:color w:val="auto"/>
        </w:rPr>
        <w:t>In addition, while we believe the ability to trade on private secondary marketplaces provides valuable opportunities for liquidity, there can be no assurance that the portfolio companies with respect to which we invest through private secondary marketplaces will have or maintain active trading markets, and the prices of those securities may be subject to irregular trading activity, wide bid/ask spreads and extended trade settlement periods, which may cause an inability for us to realize full value on our investment. In addition, wide swings in market prices, which are typical of irregularly traded securities, could cause significant and unexpected declines in the value of our portfolio investments. Further, prices in private secondary marketplaces, where limited information is available, may not accurately reflect the true value of a portfolio company, and may in certain cases overstate a portfolio company’s actual value, which may cause us to realize future capital losses on our investment in that portfolio company. If any of the foregoing were to occur, it would likely have a material and adverse effect on our net asset value and results of operations.</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Investments in private companies, including through private secondary marketplaces, also entail additional legal and regulatory risks which expose participants to the risk of liability due to the imbalance of information among participants and participant qualification and other transactional requirements applicable to private securities transactions, the non-compliance with which could result in rescission rights and monetary and other sanctions. The application of these laws within the context of private secondary marketplaces and related market practices are still evolving, and, despite our efforts to comply with applicable laws, we could be exposed to liability. The regulation of private secondary marketplaces is also evolving. Additional state or federal regulation of these markets could result in limits on the operation of or activity on those markets. Conversely, deregulation of these markets could make it easier for investors to invest directly in private companies and affect the attractiveness of our company as an access vehicle for investment in private shares. Private companies may also increasingly seek to limit secondary trading in their stock, such as through contractual transfer restrictions and employment policies. To the extent that these or other developments result in reduced trading activity and/or availability of private company shares, our ability to find investment opportunities and to liquidate our investments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Due to transfer restrictions and the illiquid nature of our investments, we may not be able to purchase or sell our investments when we wish to do so.</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Most of our investments are or will be in equity or equity-linked securities of privately-held companies. The securities we acquire in private companies are typically subject to contractual transfer limitations, which may include prohibitions on transfer without the company’s consent and may require that shares owned by us are held in escrow. In order to complete a purchase of shares we may need to, among other things, give the issuer or its stockholders a particular period of time, often 30 days, in which to exercise a veto right, or a right of first refusal over, the sale of such securities. We may be unable to complete a purchase transaction if the subject company or its stockholders chooses to exercise a veto right or right of first refusal. When we complete an investment, we generally become bound to the contractual transfer limitations imposed on the subject company's stockholders as well as other contractual obligations, such as tag-along rights. These obligations generally expire only upon an IPO by the subject company. As a result, prior to an IPO, our ability to liquidate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tag-along rights to participate in the sale, thereby reducing the number of shares sellable by us. Furthermore, prospective buyers may be deterred from entering into purchase transactions with us due to the delay and uncertainty that these transfer and other limitations create.</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believe that secondary marketplaces may offer an opportunity to liquidate our private company investments, there can be no assurance that a trading market will develop for the securities that we wish to liquidate or that the subject companies will permit their shares to be sold through such marketplaces. Even if some of our portfolio companies complete IPOs, we are typically subject to lock-up provisions that prohibit us from selling our investments into the public market for specified periods of time after IPOs. As a result, the market price of securities that we hold may decline substantially before we are able to sell these securities following an IPO.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firstLine="648"/>
        <w:spacing w:after="0" w:line="259" w:lineRule="auto"/>
        <w:rPr>
          <w:sz w:val="20"/>
          <w:szCs w:val="20"/>
          <w:color w:val="auto"/>
        </w:rPr>
      </w:pPr>
      <w:r>
        <w:rPr>
          <w:rFonts w:ascii="Arial" w:cs="Arial" w:eastAsia="Arial" w:hAnsi="Arial"/>
          <w:sz w:val="18"/>
          <w:szCs w:val="18"/>
          <w:color w:val="auto"/>
        </w:rPr>
        <w:t>Due to the illiquid nature of most of our investments, we may not be able to sell these securities at times when we deem it advantageous to do so, or at all. Because our net asset value is only determined on a quarterly basis and due to the difficulty in assessing this value, our net asset value may not fully reflect the illiquidity of our portfolio, which may change on daily basis, depending on many factors, including the status of the private secondary markets and our particular portfolio at any given time.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There are significant potential risks associated with investing in venture capital and private equity-backed companies with complex capital structures.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invest primarily in rapidly growing venture capital-backed emerging companies, either through private secondary transactions or direct investments in companies. Such private companies frequently have much more complex capital structures than traditional publicly-traded companies, and may have multiple classes of equity securities with differing rights, including with respect to voting and distributions. In addition, it is often difficult to obtain financial and other information with respect to private companies, and even where we are able to obtain such information, there can be no assurance that it is complete or accurate. In certain cases, such private companies may also have preferred stock or senior debt outstanding, which may heighten the risk of investing in the underlying equity of such private companies, particularly in circumstances when we have limited information with respect to such capital structures. Although we believe that our investment adviser’s senior investment professionals, our Advisory Board members and our board of directors have extensive experience evaluating and investing in private companies with such complex capital structures, there can be no assurance that we will be able to adequately evaluate the relative risks and benefits of investing in a particular class of a portfolio company’s equity securities. Any failure on our part to properly evaluate the relative rights and value of a class of securities in which we invest could cause us to lose part or all of our investment, which in turn could have a material and adverse effect on our net asset value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disruption in the capital markets or the credit markets could negatively affect our 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business development company, we need the ability to raise additional capital for investment purposes. Without sufficient access to the capital markets, we may be forced to curtail our business operations or we may not be able to pursue new business opportunities. Disruptive conditions in the financial industry and any new legislation in response to those conditions could restrict our business operations and could adversely impact our results of operations and financial condition.</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Although we do not anticipate borrowing funds for investment purposes, to the extent we do utilize leverage and the fair value of our assets declines substantially, we may fail to maintain the asset coverage ratios imposed upon us by the 1940 Act. Any such failure would affect our ability to issue senior securities, including borrowings, and pay dividends, which could materially impair our business operations. Our liquidity could be impaired further by an inability to access the capital markets. For example, we cannot be certain that we will be able to raise additional equity capital to provide funding for normal operations, including new investments. Reflecting concern about the stability of the financial markets, many institutional investors have reduced or ceased providing funding to certain borrowers. This market turmoil has led to increased market volatility and widespread reduction of business activity generally.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direct equity investment opportunities.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large number of entities compete with us to make the types of direct equity investments that we target as part of our business strategy. We compete for such investments with a large number of private equity and venture capital funds, other equity and non-equity based investment funds, investment banks and other sources of financing, including traditional financial services companies such as commercial banks and specialty finance companies. Many of our competitors are substantially larger than us and have considerably greater financial, technical and marketing resources than we do.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There can be no assurance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direct equity investments that are consistent with our investment objective.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The incentive fee may induce GSV Asset Management to make speculative investments.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incentive fee payable by us to GSV Asset Management may create an incentive for GSV Asset Management to make investments on our behalf that are risky or more speculative than would be the case in the absence of such compensation arrangement. Although no leverage is currently contemplated, the way in which the incentive fee payable to GSV Asset Management is determined, which is calculated as a percentage of the return on invested capital, may encourage GSV Asset Management to use leverage to increase the return on our investments. In addition, while we currently do not use borrowings or other leverage for investment purposes, the fact that our base management fee is payable based upon our gross assets, which would include any borrowings for investment purposes, may encourage GSV Asset Management to use leverage to make additional investments. We will be required, however, to obtain the approval of our board of directors before we incur any future indebtedness. Under certain circumstances, the use of leverage may increase the likelihood of default, which would disfavor holders of our common stock. Such a practice could result in our investing in more speculative securities than would otherwise be the case, which could result in higher investment losses, particularly during cyclical economic downturns.</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addition, our investment adviser has control over the timing of the acquisition and dispositions of our investments, and therefore over when we realize gains and losses on our investments. As a result, our investment adviser may face a conflict of interest in determining when it is appropriate to dispose of a specific investment to the extent doing so may serve to maximize its incentive fee at a point where disposing of such investment may not necessarily be in the best interests of our stockholders. Our board of directors monitors such conflicts of interest in connection with its review of the performance of our investment adviser under our Investment Advisory Agreement, as well as during its quarterly review of our financial performance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borrow money, which would magnify the potential for gain or loss on amounts invested and may increase the risk of investing in us.</w:t>
      </w:r>
    </w:p>
    <w:p>
      <w:pPr>
        <w:spacing w:after="0" w:line="24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Borrowings, also known as leverage, magnify the potential for gain or loss on amounts invested and, therefore, increase the risks associated with investing in our securities. Although we do not currently anticipate incurring leverage, if we do so we may borrow from and issue senior debt securities to banks, insurance companies and other lenders. Lenders of such senior securities would have fixed dollar claims on our assets that are superior to the claims of our common stockholders.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Leverage is generally considered a speculative investment technique. Our ability to service any debt that we incur will depend largely on our financial performance and will be subject to prevailing economic conditions and competitive pressures. Moreover, as the management fee payable to GSV Asset Management will be payable on our gross assets, including those assets acquired through the use of leverage, GSV Asset Management may have a financial incentive to incur leverage which may not be consistent with our stockholders’ interests. In addition, our common stockholders will bear the burden of any increase in our expenses as a result of leverage, including any increase in the management fee payable to GSV Asset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potential conflicts of interest, which could impact our investment returns and limit the flexibility of our investment policies.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entered into an Investment Advisory Agreement with GSV Asset Management. GSV Asset Management is controlled by Michael T. Moe, our president, chief executive officer and chairman of our board of directors, Stephen D. Bard, our chief financial officer, chief compliance officer, treasurer and corporate secretary, and Luben Pampoulov, our vice-president. Messrs. Moe, Bard and Pampoulov, as principals of GSV Asset Management, collectively manage the business and internal affairs of GSV Asset Management. In addition, GSV Capital Service Company provides us with office facilities and administrative services pursuant to an Administration Agreement. Mr. Moe is the managing member of and controls GSV Capital Service Company.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such as, for example, the management of GSV X Fund by GSV Asset Management.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5" w:name="page36"/>
    <w:bookmarkEnd w:id="35"/>
    <w:p>
      <w:pPr>
        <w:jc w:val="both"/>
        <w:ind w:firstLine="648"/>
        <w:spacing w:after="0" w:line="270" w:lineRule="auto"/>
        <w:rPr>
          <w:sz w:val="20"/>
          <w:szCs w:val="20"/>
          <w:color w:val="auto"/>
        </w:rPr>
      </w:pPr>
      <w:r>
        <w:rPr>
          <w:rFonts w:ascii="Arial" w:cs="Arial" w:eastAsia="Arial" w:hAnsi="Arial"/>
          <w:sz w:val="17"/>
          <w:szCs w:val="17"/>
          <w:color w:val="auto"/>
        </w:rPr>
        <w:t>While the investment focus of each of these entities tends to be different from our investment objective, it is possible that new investment opportunities that meet our investment objective may come to the attention of one of these entities, or new entities that may be formed in the future in connection with another investment advisory client or program, and, if so, such opportunity might not be offered, or otherwise made available, to us. However, our executive officers, directors and investment adviser intend to treat us in a fair and equitable manner consistent with their applicable duties under law so that we will not be disadvantaged in relation to any other particular client. In addition, GSV Asset Management does not anticipate that it will ordinarily identify investment opportunities that are appropriate for both GSV Capital and the other funds that are currently or in the future may be managed by GSV Asset Management. However, to the extent it does identify such opportunities, GSV Asset Management will establish a procedure to ensure that such opportunities are allocated between GSV Capital and such other funds in a fair and equitable manner. Our board of directors will monitor on a quarterly basis any such allocation of investment opportunities between GSV Capital and any such other funds.</w:t>
      </w:r>
    </w:p>
    <w:p>
      <w:pPr>
        <w:spacing w:after="0" w:line="18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 of us or our stockholder and may result in actual or perceived conflicts of interest.</w:t>
      </w:r>
    </w:p>
    <w:p>
      <w:pPr>
        <w:spacing w:after="0" w:line="1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us, companies controlled by us and our executive officers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of directors will review these procedures on an annual basis.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also adopted a Code of Ethics which applies to, among others, our senior officers, including our chief executive officer and chief financial officer, as well as all of our officers, directors and employees. Our officers and directors also remain subject to the fiduciary obligations imposed by both the 1940 Act and applicable state corporate law.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 In accordance with Item 404, related parties generally include our directors and executive officers, any nominees for director, any immediate family member of a director or executive officer or nominee for director, and any other person sharing the household of such director, executive officer or nominee for director.</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Finally, we pay GSV Capital Service Company our allocable portion of overhead and other expenses incurred by GSV Capital Service Company in performing its obligations under the Administration Agreement, including a portion of the rent and the compensation of our chief financial officer and chief compliance officer and any administrative support personnel, which creates conflicts of interest that our board of directors must monitor.</w:t>
      </w:r>
    </w:p>
    <w:p>
      <w:pPr>
        <w:spacing w:after="0" w:line="14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Our investment adviser has the right to resign on 60 days’ notice, and we may not be able to find a suitable replacement within that time, resulting in a disruption in our operations that could adversely affect our financial condition, business and results of operations.</w:t>
      </w:r>
    </w:p>
    <w:p>
      <w:pPr>
        <w:spacing w:after="0" w:line="14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investment adviser has the right, under the Investment Advisory Agreement, to resign at any time upon not more than 60 days’ written notice, whether we have found a replacement or not. If our investment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investment adviser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36" w:name="page37"/>
    <w:bookmarkEnd w:id="36"/>
    <w:p>
      <w:pPr>
        <w:jc w:val="both"/>
        <w:ind w:right="20"/>
        <w:spacing w:after="0" w:line="282" w:lineRule="auto"/>
        <w:rPr>
          <w:sz w:val="20"/>
          <w:szCs w:val="20"/>
          <w:color w:val="auto"/>
        </w:rPr>
      </w:pPr>
      <w:r>
        <w:rPr>
          <w:rFonts w:ascii="Arial" w:cs="Arial" w:eastAsia="Arial" w:hAnsi="Arial"/>
          <w:sz w:val="18"/>
          <w:szCs w:val="18"/>
          <w:b w:val="1"/>
          <w:bCs w:val="1"/>
          <w:color w:val="auto"/>
        </w:rPr>
        <w:t>The lack of experience of our investment adviser and its management in operating under the constraints imposed on us as a business development company may hinder the achievement of our investment objectives.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1940 Act imposes numerous constraints on the operations of business development companies. For example, business development companies are required to invest at least 70% of their total assets primarily in securities of U.S.-based private companies or public companies with market capitalizations of less than $250 million, cash, cash equivalents, U.S. government securities and other high quality debt instruments that mature in one year or less. In addition, qualification for taxation as a RIC requires satisfaction of source-of-income, diversification and distribution requirements. GSV Asset Management does not have experience investing under these constraints. These constraints, among others, may hinder GSV Asset Management’s ability to take advantage of attractive investment opportunities and to achieve our investment objective.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have difficulty paying our required distributions if we recognize income before or without receiving cash representing such income.</w:t>
      </w:r>
    </w:p>
    <w:p>
      <w:pPr>
        <w:spacing w:after="0" w:line="24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Although we focus on achieving capital gains from our investments, in certain cases we may receive current income, such as interest or dividends, on our investments. Because in certain cases we may recognize such current income before or without receiving cash representing such income, we may have difficulty satisfying the annual distribution requirement applicable to RICs. Accordingly, we may have to sell some of our investments at times we would not consider advantageous, raise additional debt or equity capital or reduce new investments to meet these distribution requirements. If we are not able to obtain cash from other sources, we may fail to qualify for RIC tax treatment and thus be subject to corporate-level income tax.</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Regulations governing our operation as a business development company affect our ability to, and the way in which we raise additional capital, which may expose us to risks, including the typical risks associated with leverage.</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Although we have not used leverage and have no present intent to issue preferred stock, we may in the future issue debt securities or preferred stock and/or borrow money from banks or other financial institutions, which we refer to collectively as “senior securities,” up to the maximum amount permitted by the 1940 Act. Under the provisions of the 1940 Act, we will be permitted, as a business development company, to issue senior securities in amounts such that our asset coverage ratio, as defined in the 1940 Act, equals at least 200%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Furthermore, any amounts that we use to service our indebtedness would not be available for distributions to our common stockholders.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in the future we issue debt or preferred stock, all of the costs of offering and servicing such debt or preferred stock, including interest or preferential dividend payments thereon, will be borne by our common stockholders. The interests of the holders of any debt or preferred stock we may issue will not necessarily be aligned with the interests of our common stockholders. In particular, the rights of holders of our debt or preferred stock to receive interest, dividends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 In no event, however, will any lender to us have any veto power over, or any vote with respect to, any change in our, or approval of any new, investment objective or investment policies or strategies described in this annual report on Form 10-K.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7" w:name="page38"/>
    <w:bookmarkEnd w:id="37"/>
    <w:p>
      <w:pPr>
        <w:jc w:val="both"/>
        <w:ind w:firstLine="648"/>
        <w:spacing w:after="0" w:line="273" w:lineRule="auto"/>
        <w:rPr>
          <w:sz w:val="20"/>
          <w:szCs w:val="20"/>
          <w:color w:val="auto"/>
        </w:rPr>
      </w:pPr>
      <w:r>
        <w:rPr>
          <w:rFonts w:ascii="Arial" w:cs="Arial" w:eastAsia="Arial" w:hAnsi="Arial"/>
          <w:sz w:val="17"/>
          <w:szCs w:val="17"/>
          <w:color w:val="auto"/>
        </w:rPr>
        <w:t>We are not generally able to issue and sell our common stock at a price below net asset value per share. We may, however, sell our common stock, or warrants, options or rights to acquire our common stock, at a price below the then-current net asset value of our common stock if our board of directors determines that such sale is in the best interests of GSV Capital and its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corporate-level income tax if we are unable to qualify as a regulated investment company, or RIC.</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Although we intend to elect to be treated as a RIC under Subchapter M of the Code beginning in 2011 and to continue to qualify as a RIC in succeeding taxable years, no assurance can be given that we will be able to qualify for and maintain RIC status. In order to qualify for the special treatment accorded to RICs, we must meet certain income source, asset diversification and annual distribution requirements. In order to satisfy the income source requirement, we must derive in each taxable year at least 90% of our gross income from dividends, interest, payments with respect to certain securities loans, gains from the sale of stock or other securities or foreign currencies, income from “qualified publicly traded partnerships” or other income derived with respect to our business of investing in such stock or securities. To qualify as a RIC, we must also meet certain asset diversification requirements at the end of each quarter of our taxable year. Failure to meet these tests may result in our having to dispose of certain investments quickly in order to prevent the loss of RIC status. Because most of our investments will be in private companies, any such dispositions could be made at disadvantageous prices and may result in substantial losses. In order to satisfy the annual distribution requirement for a RIC, we must distribute at least 90% of our ordinary income and realized net short-term capital gains in excess of realized net long-term capital losses, if any, to our stockholders on an annual basis.</w:t>
      </w:r>
    </w:p>
    <w:p>
      <w:pPr>
        <w:spacing w:after="0" w:line="16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Although no leverage is currently contemplated, because we may use additional debt financing in the future, we may be subject to certain asset coverage ratio requirements under the 1940 Act and financial covenants under loan and credit agreements that could, under certain circumstances, restrict us from making distributions necessary to satisfy the annual distribution requirement. If we are unable to obtain cash from other sources, we may fail to qualify for special tax treatment as a RIC and, thus, may be subject to corporate-level income tax on all our income. If we fail to qualify as a RIC for any reason and become subject to corporate income tax, the resulting corporate-level federal taxes could substantially reduce our net assets, the amount of income available for distribution and the amount of our distributions. Such a failure would have a material adverse effect on us and our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 in the event the value of your investment declines, the base management fee will still be payable.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base management fee will be calculated at an annual rate of 2.0% of the value of our gross assets, which we pay monthly in arrears. The base management fee is payable regardless of whether the value of our gross assets or your investment declines. As a result, we will owe GSV Asset Management a base management fee regardless of whether we incurred significant realized capital losses and unrealized capital depreciation (losses) during the period for which the base management fee is paid.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significant costs as a result of being a publicly traded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and other rules implemented by the Securities and Exchange Commission.</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board of directors is authorized to reclassify any unissued shares of stock into one or more classes of preferred stock, which could convey special rights and privileges to its owners.</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charter permits our board of directors to reclassify any authorized but unissued shares of stock into one or more classes of preferred stock. Our board of directors will generally have broad discretion over the size and timing of any such reclassification, subject to a finding that the reclassification and issuance of such preferred stock is in the best interests of GSV Capital and our existing common stockholders. Any issuance of preferred stock would be subject to certain limitations imposed under the 1940 Act, including the requirement that such preferred stock have equal voting rights with our outstanding common stock. See “Description of Securities — Preferred Stock.” We are authorized to issue up to 100,000,000 shares of common stock. Based on 5,520,100 shares issued and outstanding as of December 31, 2011, there were 12,420,100 shares issued and outstanding immediately following the completion of our follow-on offering, which closed in February 2012. In the event our board of directors opts to reclassify a portion of our unissued shares of common stock into a class of preferred stock, those preferred shares would have a preference over our common stock with respect to dividends and liquidation. The cost of any such reclassification would be borne by our existing common stockholders. In addition, the 1940 Act provides that holders of preferred stock are entitled to vote separately from holders of common stock to elect two directors. As a result, our preferred stockholders will have the ability to reject a director that would otherwise be elected by our common stockholders. In addition, while Maryland law generally requires directors to act in the best interests of all of a corporation’s stockholders, there can be no assurance that a director elected by our preferred stockholders will not chose to act in a manner that tends to favors our preferred stockholders, particularly where there is a conflict between the interests of our preferred stockholders and our common stockholders. The class voting rights of any preferred shares we may issue could make it more difficult for us to take some actions that may, in the future, be proposed by the board of directors and/or the holders of our common stock, such as a merger, exchange of securities, liquidation, or alteration of the rights of a class of our securities, if these actions were perceived by the holders of preferred shares as not in their best interests. The issuance of preferred shares convertible into shares of common stock might also reduce the net income and net asset value per share of our common stock upon conversion. These effects, among others, could have an adverse effect on your investment in our common stock.</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112" w:gutter="0" w:footer="0" w:header="0"/>
        </w:sectPr>
      </w:pPr>
    </w:p>
    <w:bookmarkStart w:id="38" w:name="page39"/>
    <w:bookmarkEnd w:id="38"/>
    <w:p>
      <w:pPr>
        <w:jc w:val="both"/>
        <w:ind w:right="20"/>
        <w:spacing w:after="0" w:line="282" w:lineRule="auto"/>
        <w:rPr>
          <w:sz w:val="20"/>
          <w:szCs w:val="20"/>
          <w:color w:val="auto"/>
        </w:rPr>
      </w:pPr>
      <w:r>
        <w:rPr>
          <w:rFonts w:ascii="Arial" w:cs="Arial" w:eastAsia="Arial" w:hAnsi="Arial"/>
          <w:sz w:val="18"/>
          <w:szCs w:val="18"/>
          <w:b w:val="1"/>
          <w:bCs w:val="1"/>
          <w:color w:val="auto"/>
        </w:rPr>
        <w:t>Our board of directors may change our investment objective, operating policies and strategies without prior notice or stockholder approval, the effects of which may be adverse.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has the authority to modify or waive our investment objective, current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Any change in these laws or regulations could have a material adverse effect on our business and the value of your investment.</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charter and bylaws, as well as certain statutory and regulatory requirements, contain certain provisions that may have the effect of discouraging a third party from making an acquisition proposal for us. Our bylaws contain a provision exempting any and all acquisitions by any person of our shares of stock from the Control Share Act under the Maryland General Corporation Law. If our board of directors does not otherwise approve a business combination, the Control Share Act (if we amend our bylaws to be subject to that Act) may discourage others from trying to acquire control of us and increase the difficulty of consummating any offer. Additionally, under our charter, our board of directors is divided into three classes serving staggered terms; our board of directors may, without stockholder action, authorize the issuance of shares of stock in one or more classes or series, including preferred stock; and our board of directors may, without stockholder action, amend our charter to increase the number of shares of stock of any class or series that we have authority to issue. These antitakeover provisions may inhibit a change of control in circumstances that could give the holders of our common stock the opportunity to realize a premium over the market price for our common stock.</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price may be volatile and may decrease substantially.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trading price of our common stock may fluctuate substantially. The price of the common stock that will prevail in the market may be higher or lower than the price you pay, depending on many factors, some of which are beyond our control and may not be directly related to our operating performance. These factors include, but are not limited to, the following: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9" w:name="page40"/>
    <w:bookmarkEnd w:id="39"/>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investor demand for our shares;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regulated investment companies, business development companies or other financial services companies;</w:t>
      </w: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regulatory policies or tax guidelines with respect to regulated investment companies or business development companies;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qualify as a RIC for a particular taxable year, or the loss of RIC status;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actual or anticipated changes in our earnings or fluctuations in our operating results or changes in the expectations of securities analysts;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the valuation of our portfolio investments;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sentiment against technology-related companies;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departures of any of the senior investment professionals or Advisory Board members of GSV Asset Management.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shares have recently traded, and may in the future trade at premiums that may prove to be unsustainable or at discounts from net asset value.</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Shares of business development companies like us may, during some periods, trade at prices higher than their net asset value per share and, during other periods, as frequently occurs with closed-end investment companies, trade at prices lower than their net asset value per share. Our shares have recently traded at a significant premium to our net asset value per share, which premium may be reduced or eliminated if and when certain of our portfolio companies complete initial public offerings. In addition, the perceived value of our investment portfolio may be affected by a number of factors including perceived prospects for individual companies we invest in, market conditions for common stock generally, for initial public offerings and other exit events for venture capital backed companies, and the mix of companies in our investment portfolio over time. Negative or unforeseen developments affecting the perceived value of companies in our investment portfolio could result in a decline in the trading price of our common stock relative to our net asset value per share.</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possibility that our shares will trade at a discount from net asset value or at premiums that are unsustainable are risks separate and distinct from the risk that our net asset value per share will decrease. The risk of purchasing shares of a business development company that might trade at a discount or unsustainable premium is more pronounced for investors who wish to sell their shares in a relatively short period of time because, for those investors, realization of a gain or loss on their investments is likely to be more dependent upon changes in premium or discount levels than upon increases or decreases in net asset value per share.</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There is a risk that you may not receive dividends or that our dividends may not grow over time, particularly since we invest primarily in securities that do not produce current income.</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cannot assure you that we will achieve investment results or maintain a tax status that will allow or require any specified level of cash distributions or year-to-year increases in cash distributions. As we intend to focus on making primarily capital gains-based investments in equity securities, which generally will not be income producing, we do not anticipate that we will pay dividends on a quarterly basis or become a predictable issuer of dividends, and we expect that our dividends, if any, will be less consistent than other business development companies that primarily make debt investments.</w:t>
      </w:r>
    </w:p>
    <w:p>
      <w:pPr>
        <w:spacing w:after="0" w:line="15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have broad discretion over the use of proceeds from our offerings, to the extent they are successful, and will use proceeds in part to satisfy operating expenses.</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significant flexibility in applying the proceeds of our offerings and may use the net proceeds from such offerings in ways with which you may not agree, or for purposes other than those contemplated at the time of the offering. We cannot assure you that we will be able to successfully utilize the proceeds within the timeframe contemplated. We will also pay operating expenses, and may pay other expenses such as due diligence expenses of potential new investments, from net proceeds. Our ability to achieve our investment objective may be limited to the extent that the net proceeds of an offering, pending full investment, are used to pay operating expenses. In addition, we can provide you no assurance that any such offerings will be successful, or that by increasing the size of our available equity capital our aggregate expenses, and correspondingly, our expense ratio, will be lowered.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corporate headquarters are located at 2965 Woodside Road, Woodside, California, in the offices of</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GSV Capital Service Company. We do not own or lease any office space directly; however, we will pay a portion of the rent as allocated to us by GSV Capital Service Company. Our office facilities are suitable and adequate for our business as it is presently conducted.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83"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Our common stock is traded on the NASDAQ Capital Market under the symbol ‘‘GSVC’’. The following table sets forth, for each fiscal quarter since our initial public offering on April 28, 2011, the net asset value, or ‘‘NAV,’’ per share of our common stock, the high and low sales prices for our common stock, and such sales prices as a percentage of NAV per share.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High Sales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Low Sales</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Price as a</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Price as a</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Price Range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Premium</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Premium</w:t>
            </w:r>
          </w:p>
        </w:tc>
        <w:tc>
          <w:tcPr>
            <w:tcW w:w="0" w:type="dxa"/>
            <w:vAlign w:val="bottom"/>
          </w:tcPr>
          <w:p>
            <w:pPr>
              <w:spacing w:after="0"/>
              <w:rPr>
                <w:sz w:val="1"/>
                <w:szCs w:val="1"/>
                <w:color w:val="auto"/>
              </w:rPr>
            </w:pPr>
          </w:p>
        </w:tc>
      </w:tr>
      <w:tr>
        <w:trPr>
          <w:trHeight w:val="217"/>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(Discount) to</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(Discount)</w:t>
            </w:r>
          </w:p>
        </w:tc>
        <w:tc>
          <w:tcPr>
            <w:tcW w:w="0" w:type="dxa"/>
            <w:vAlign w:val="bottom"/>
          </w:tcPr>
          <w:p>
            <w:pPr>
              <w:spacing w:after="0"/>
              <w:rPr>
                <w:sz w:val="1"/>
                <w:szCs w:val="1"/>
                <w:color w:val="auto"/>
              </w:rPr>
            </w:pPr>
          </w:p>
        </w:tc>
      </w:tr>
      <w:tr>
        <w:trPr>
          <w:trHeight w:val="250"/>
        </w:trPr>
        <w:tc>
          <w:tcPr>
            <w:tcW w:w="4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ind w:left="100"/>
              <w:spacing w:after="0" w:line="250" w:lineRule="exact"/>
              <w:rPr>
                <w:sz w:val="20"/>
                <w:szCs w:val="20"/>
                <w:color w:val="auto"/>
              </w:rPr>
            </w:pPr>
            <w:r>
              <w:rPr>
                <w:rFonts w:ascii="Arial" w:cs="Arial" w:eastAsia="Arial" w:hAnsi="Arial"/>
                <w:sz w:val="17"/>
                <w:szCs w:val="17"/>
                <w:color w:val="auto"/>
              </w:rPr>
              <w:t xml:space="preserve">NAV </w:t>
            </w:r>
            <w:r>
              <w:rPr>
                <w:rFonts w:ascii="Arial" w:cs="Arial" w:eastAsia="Arial" w:hAnsi="Arial"/>
                <w:sz w:val="28"/>
                <w:szCs w:val="28"/>
                <w:color w:val="auto"/>
                <w:vertAlign w:val="superscript"/>
              </w:rPr>
              <w:t>(1)</w:t>
            </w:r>
          </w:p>
        </w:tc>
        <w:tc>
          <w:tcPr>
            <w:tcW w:w="240" w:type="dxa"/>
            <w:vAlign w:val="bottom"/>
          </w:tcPr>
          <w:p>
            <w:pPr>
              <w:spacing w:after="0"/>
              <w:rPr>
                <w:sz w:val="21"/>
                <w:szCs w:val="21"/>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High</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Low</w:t>
            </w:r>
          </w:p>
        </w:tc>
        <w:tc>
          <w:tcPr>
            <w:tcW w:w="1500" w:type="dxa"/>
            <w:vAlign w:val="bottom"/>
            <w:gridSpan w:val="2"/>
          </w:tcPr>
          <w:p>
            <w:pPr>
              <w:jc w:val="center"/>
              <w:ind w:right="360"/>
              <w:spacing w:after="0" w:line="250" w:lineRule="exact"/>
              <w:rPr>
                <w:sz w:val="20"/>
                <w:szCs w:val="20"/>
                <w:color w:val="auto"/>
              </w:rPr>
            </w:pPr>
            <w:r>
              <w:rPr>
                <w:rFonts w:ascii="Arial" w:cs="Arial" w:eastAsia="Arial" w:hAnsi="Arial"/>
                <w:sz w:val="17"/>
                <w:szCs w:val="17"/>
                <w:color w:val="auto"/>
                <w:w w:val="92"/>
              </w:rPr>
              <w:t xml:space="preserve">NAV </w:t>
            </w:r>
            <w:r>
              <w:rPr>
                <w:rFonts w:ascii="Arial" w:cs="Arial" w:eastAsia="Arial" w:hAnsi="Arial"/>
                <w:sz w:val="28"/>
                <w:szCs w:val="28"/>
                <w:color w:val="auto"/>
                <w:w w:val="92"/>
                <w:vertAlign w:val="superscript"/>
              </w:rPr>
              <w:t>(2)</w:t>
            </w:r>
          </w:p>
        </w:tc>
        <w:tc>
          <w:tcPr>
            <w:tcW w:w="1360" w:type="dxa"/>
            <w:vAlign w:val="bottom"/>
            <w:gridSpan w:val="2"/>
          </w:tcPr>
          <w:p>
            <w:pPr>
              <w:jc w:val="center"/>
              <w:ind w:right="200"/>
              <w:spacing w:after="0" w:line="250" w:lineRule="exact"/>
              <w:rPr>
                <w:sz w:val="20"/>
                <w:szCs w:val="20"/>
                <w:color w:val="auto"/>
              </w:rPr>
            </w:pPr>
            <w:r>
              <w:rPr>
                <w:rFonts w:ascii="Arial" w:cs="Arial" w:eastAsia="Arial" w:hAnsi="Arial"/>
                <w:sz w:val="17"/>
                <w:szCs w:val="17"/>
                <w:color w:val="auto"/>
                <w:w w:val="93"/>
              </w:rPr>
              <w:t xml:space="preserve">to NAV </w:t>
            </w:r>
            <w:r>
              <w:rPr>
                <w:rFonts w:ascii="Arial" w:cs="Arial" w:eastAsia="Arial" w:hAnsi="Arial"/>
                <w:sz w:val="28"/>
                <w:szCs w:val="28"/>
                <w:color w:val="auto"/>
                <w:w w:val="93"/>
                <w:vertAlign w:val="superscript"/>
              </w:rPr>
              <w:t>(2)</w:t>
            </w:r>
          </w:p>
        </w:tc>
        <w:tc>
          <w:tcPr>
            <w:tcW w:w="0" w:type="dxa"/>
            <w:vAlign w:val="bottom"/>
          </w:tcPr>
          <w:p>
            <w:pPr>
              <w:spacing w:after="0"/>
              <w:rPr>
                <w:sz w:val="1"/>
                <w:szCs w:val="1"/>
                <w:color w:val="auto"/>
              </w:rPr>
            </w:pPr>
          </w:p>
        </w:tc>
      </w:tr>
      <w:tr>
        <w:trPr>
          <w:trHeight w:val="210"/>
        </w:trPr>
        <w:tc>
          <w:tcPr>
            <w:tcW w:w="4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Fiscal 2011</w:t>
            </w:r>
          </w:p>
        </w:tc>
        <w:tc>
          <w:tcPr>
            <w:tcW w:w="18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12.95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17.23</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12.10</w:t>
            </w:r>
          </w:p>
        </w:tc>
        <w:tc>
          <w:tcPr>
            <w:tcW w:w="1500" w:type="dxa"/>
            <w:vAlign w:val="bottom"/>
            <w:gridSpan w:val="2"/>
          </w:tcPr>
          <w:p>
            <w:pPr>
              <w:ind w:left="820"/>
              <w:spacing w:after="0"/>
              <w:rPr>
                <w:sz w:val="20"/>
                <w:szCs w:val="20"/>
                <w:color w:val="auto"/>
              </w:rPr>
            </w:pPr>
            <w:r>
              <w:rPr>
                <w:rFonts w:ascii="Arial" w:cs="Arial" w:eastAsia="Arial" w:hAnsi="Arial"/>
                <w:sz w:val="18"/>
                <w:szCs w:val="18"/>
                <w:color w:val="auto"/>
              </w:rPr>
              <w:t>33.1%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13.26</w:t>
            </w: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19.97</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12.09</w:t>
            </w:r>
          </w:p>
        </w:tc>
        <w:tc>
          <w:tcPr>
            <w:tcW w:w="150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rPr>
              <w:t>50.6</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w w:val="96"/>
              </w:rPr>
              <w:t>Second Quarter (from April 28, 2011 through June 30,</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13.57</w:t>
            </w: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15.35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9.75</w:t>
            </w:r>
          </w:p>
        </w:tc>
        <w:tc>
          <w:tcPr>
            <w:tcW w:w="1500" w:type="dxa"/>
            <w:vAlign w:val="bottom"/>
            <w:gridSpan w:val="2"/>
          </w:tcPr>
          <w:p>
            <w:pPr>
              <w:ind w:left="820"/>
              <w:spacing w:after="0"/>
              <w:rPr>
                <w:sz w:val="20"/>
                <w:szCs w:val="20"/>
                <w:color w:val="auto"/>
              </w:rPr>
            </w:pPr>
            <w:r>
              <w:rPr>
                <w:rFonts w:ascii="Arial" w:cs="Arial" w:eastAsia="Arial" w:hAnsi="Arial"/>
                <w:sz w:val="18"/>
                <w:szCs w:val="18"/>
                <w:color w:val="auto"/>
              </w:rPr>
              <w:t>13.1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194" w:lineRule="auto"/>
        <w:tabs>
          <w:tab w:leader="none" w:pos="34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 per share figures shown are based on outstanding shares at the end of each period.</w:t>
      </w:r>
    </w:p>
    <w:p>
      <w:pPr>
        <w:ind w:left="340" w:hanging="332"/>
        <w:spacing w:after="0" w:line="180" w:lineRule="auto"/>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color w:val="auto"/>
        </w:rPr>
        <w:t>Calculated as the respective high or low sales price divided by NAV per share.</w:t>
      </w: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Shares of business development companies may trade at a market price that is less than the value of the net assets attributable to those shares. The possibility that our shares of common stock will trade at premiums that are unsustainable over the long term or at a discount from net asset value are separate and distinct from the risk that our net asset value will decrease. Since our initial public offering on April 28, 2011, our shares of common stock have traded at both a discount and a premium to the net assets attributable to those shares. As of December 31, 2011, our shares of common stock traded at a premium of approximately 7.7% to our NAV per share of $12.95.</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timing and amount of our dividends, if any, will be determined by our board of directors. Any dividends to our stockholders will be declared out of assets legally available for distribution. We intend to focus on making capital gains-based investments. As a consequence, we do not anticipate that we will pay dividends on a quarterly basis or become a predictable issuer of dividends, and we expect that our dividends, if any, will be much less consistent than other business development companies that primarily make debt investments. However, to the extent there are earnings or realized capital gains to be distributed, we intend to declare and pay a dividend at least annually.</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intend to elect to be treated, and intend to qualify annually thereafter, as a RIC under Subchapter M of the Code, beginning with our 2011 taxable year. To obtain and maintain RIC tax treatment, we must, among other things, distribute at least 90% of our ordinary income and realized net short-term capital gains in excess of realized net long-term capital losses, if any. In order to avoid certain excise taxes imposed on RICs, we currently intend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w:t>
      </w:r>
      <w:r>
        <w:rPr>
          <w:rFonts w:ascii="Arial" w:cs="Arial" w:eastAsia="Arial" w:hAnsi="Arial"/>
          <w:sz w:val="16"/>
          <w:szCs w:val="16"/>
          <w:i w:val="1"/>
          <w:iCs w:val="1"/>
          <w:color w:val="auto"/>
        </w:rPr>
        <w:t>i.e.</w:t>
      </w:r>
      <w:r>
        <w:rPr>
          <w:rFonts w:ascii="Arial" w:cs="Arial" w:eastAsia="Arial" w:hAnsi="Arial"/>
          <w:sz w:val="16"/>
          <w:szCs w:val="16"/>
          <w:color w:val="auto"/>
        </w:rPr>
        <w:t>, net long-term capital gains in excess of net short-term capital losses), if any, at least annually, we may in the future decide to retain such capital gains for investment. If this happens, you will be treated as if you received an actual distribution of the capital gains we retain and reinvested the net after-tax proceeds in us. You also may be eligible to claim a tax credit (or, in certain circumstances, a tax refund) equal to your allocable share of the tax we paid on the capital gains deemed distributed to you. See ‘‘Material U.S. Federal Income Tax Considerations.’’ We can offer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current intention is to make any distributions out of assets legally available therefrom in additional shares of our common stock under our dividend reinvestment plan, unless you elect to receive your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See ‘‘Dividend Reinvestment Plan.’’ Any distributions reinvested under the plan will nevertheless remain taxable to the U.S. stockholder, although no cash distribution has been made.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 If you hold shares in the name of a broker or financial intermediary, you should contact the broker or financial intermediary regarding your election to receive distributions in cash.</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graph compares the return on our common stock with that of the Standard &amp; Poor’s 500 Stock Index and the NASDAQ Stock Index, for the period from April 28, 2011 (the date of our initial public offering) to December 31, 2011. The graph assumes that, on April 28, 2011, a person invested $100 in each of our common stock, the Standard &amp; Poor’s 500 Stock Index and the NASDAQ Stock Index. The graph measures total shareholder return, which takes into account both changes in stock price and dividends. It assumes that dividends are reinvested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118110</wp:posOffset>
            </wp:positionV>
            <wp:extent cx="4124960" cy="25044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24960"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adopted a dividend reinvestment plan, through which all dividends are paid to stockholders in the form of additional shares of our common stock, unless a stockholder elects to receive cash as provided below. In this way, a stockholder can maintain an undiluted investment in us and still allow us to pay out the required distributable income.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action is required on the part of a registered stockholder to receive a distribution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10 days prior to the record date for distributions to stockholders. The plan administrator will set up an account for shares acquired through the plan for each stockholder who has not elected to receive distributions in cash and hold such shares in non-certificated form. Upon request by a participant,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distributions in cash by notifying their broker or other financial intermediary of their election.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only newly-issued shares to implement the plan, whether our shares are trading at a premium or at a discount to net asset value. The number of shares to be issued to a stockholder is determined by dividing the total dollar amount of the distribution payable to such stockholder by the market price per share of our common stock at the close of regular trading on the NASDAQ Capital Market on the valuation date for such distribution. Market price per share on that date will be the closing price for such shares on the NASDAQ Capital Market or, if no sale is reported for such day, at the average of their electronically-reported bid and asked prices.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43" w:name="page44"/>
    <w:bookmarkEnd w:id="43"/>
    <w:p>
      <w:pPr>
        <w:jc w:val="both"/>
        <w:ind w:firstLine="648"/>
        <w:spacing w:after="0" w:line="270" w:lineRule="auto"/>
        <w:rPr>
          <w:sz w:val="20"/>
          <w:szCs w:val="20"/>
          <w:color w:val="auto"/>
        </w:rPr>
      </w:pPr>
      <w:r>
        <w:rPr>
          <w:rFonts w:ascii="Arial" w:cs="Arial" w:eastAsia="Arial" w:hAnsi="Arial"/>
          <w:sz w:val="17"/>
          <w:szCs w:val="17"/>
          <w:color w:val="auto"/>
        </w:rPr>
        <w:t>There is no charge to stockholders for receiving their distributions in the form of additional shares of our common stock. The plan administrator’s fees for handling distributions in stock are paid by us. There are no brokerage charges with respect to shares we have issued directly as a result of distributions payable in stock. If a participant elects by written or telephonic notice to the plan administrator to have the plan administrator sell part or all of the shares held by the plan administrator in the participant’s account and remit the proceeds to the participant, the plan administrator is authorized to deduct a $15 transaction fee plus brokerage commissions from the proceeds. Stockholders who receive distributions in the form of stock are subject to the same federal, state and local tax consequences as are stockholders who elect to receive their distributions in cash. A stockholder’s basis for determining gain or loss upon the sale of stock received in a distribution from us will be equal to the total dollar amount of the distribution payable to the stockholder.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plan may be terminated by us upon notice in writing mailed to each participant at least 30 days prior to any record date for the payment of any dividend or distribution by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selected financial and other data for the period from January 6, 2011 (date of inception) to December 31, 2011 is derived from our financial statements. The data should be read in conjunction with our financial statements and notes thereto and “Management’s Discussion and Analysis of Financial Condition and Results of Operations,” which are included in this Annual Report.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4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500" w:type="dxa"/>
            <w:vAlign w:val="bottom"/>
          </w:tcPr>
          <w:p>
            <w:pPr>
              <w:jc w:val="center"/>
              <w:ind w:right="90"/>
              <w:spacing w:after="0" w:line="271" w:lineRule="exact"/>
              <w:rPr>
                <w:sz w:val="20"/>
                <w:szCs w:val="20"/>
                <w:color w:val="auto"/>
              </w:rPr>
            </w:pPr>
            <w:r>
              <w:rPr>
                <w:rFonts w:ascii="Arial" w:cs="Arial" w:eastAsia="Arial" w:hAnsi="Arial"/>
                <w:sz w:val="18"/>
                <w:szCs w:val="18"/>
                <w:b w:val="1"/>
                <w:bCs w:val="1"/>
                <w:color w:val="auto"/>
                <w:w w:val="80"/>
              </w:rPr>
              <w:t>2011</w:t>
            </w:r>
            <w:r>
              <w:rPr>
                <w:rFonts w:ascii="Arial" w:cs="Arial" w:eastAsia="Arial" w:hAnsi="Arial"/>
                <w:sz w:val="30"/>
                <w:szCs w:val="30"/>
                <w:b w:val="1"/>
                <w:bCs w:val="1"/>
                <w:color w:val="auto"/>
                <w:w w:val="80"/>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Statement Data:</w:t>
            </w:r>
          </w:p>
        </w:tc>
        <w:tc>
          <w:tcPr>
            <w:tcW w:w="244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2,196,192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Net investment loss</w:t>
            </w:r>
          </w:p>
        </w:tc>
        <w:tc>
          <w:tcPr>
            <w:tcW w:w="2440" w:type="dxa"/>
            <w:vAlign w:val="bottom"/>
            <w:shd w:val="clear" w:color="auto" w:fill="CCFFCC"/>
          </w:tcPr>
          <w:p>
            <w:pPr>
              <w:spacing w:after="0"/>
              <w:rPr>
                <w:sz w:val="18"/>
                <w:szCs w:val="18"/>
                <w:color w:val="auto"/>
              </w:rPr>
            </w:pP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(2,033,864)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2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(3,613,664)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244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2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24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91,798,242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Total Net Assets</w:t>
            </w:r>
          </w:p>
        </w:tc>
        <w:tc>
          <w:tcPr>
            <w:tcW w:w="244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71,503,248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244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Per Common Share Data:</w:t>
            </w:r>
          </w:p>
        </w:tc>
        <w:tc>
          <w:tcPr>
            <w:tcW w:w="2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6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 xml:space="preserve">Net decrease in net assets resulting from operations per average share </w:t>
            </w:r>
            <w:r>
              <w:rPr>
                <w:rFonts w:ascii="Arial" w:cs="Arial" w:eastAsia="Arial" w:hAnsi="Arial"/>
                <w:sz w:val="29"/>
                <w:szCs w:val="29"/>
                <w:color w:val="auto"/>
                <w:vertAlign w:val="superscript"/>
              </w:rPr>
              <w:t>(2)</w:t>
            </w:r>
          </w:p>
        </w:tc>
        <w:tc>
          <w:tcPr>
            <w:tcW w:w="24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244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Includes the period from January 6, 2011 (date of inception) to December 31, 2011.</w:t>
      </w:r>
    </w:p>
    <w:p>
      <w:pPr>
        <w:spacing w:after="0" w:line="1" w:lineRule="exact"/>
        <w:rPr>
          <w:rFonts w:ascii="Arial" w:cs="Arial" w:eastAsia="Arial" w:hAnsi="Arial"/>
          <w:sz w:val="30"/>
          <w:szCs w:val="30"/>
          <w:color w:val="auto"/>
          <w:vertAlign w:val="superscript"/>
        </w:rPr>
      </w:pPr>
    </w:p>
    <w:p>
      <w:pPr>
        <w:jc w:val="both"/>
        <w:ind w:left="340" w:hanging="332"/>
        <w:spacing w:after="0" w:line="204" w:lineRule="auto"/>
        <w:tabs>
          <w:tab w:leader="none" w:pos="34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Weighted average common shares for the period from January 6, 2011 (date of inception) to December 31, 2011 was calculated starting from the issuance of 100 shares as of February 28, 2011. Weighted average common shares were 3,377,429 for the period from January 6, 2011 (date of inception) to December 31, 2011.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annual report on Form 10-K contains forward-looking statements that involve substantial risks and uncertainties. These forward-looking statements are not historical facts, but rather are based on current expectations, estimates and projections about GSV Capital,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forward looking statements contained in this annual report on Form 10-K involve risks and uncertainties, including statements as to:</w:t>
      </w:r>
    </w:p>
    <w:p>
      <w:pPr>
        <w:spacing w:after="0" w:line="23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660" w:hanging="328"/>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equity investments in such portfolio companies,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investment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opt to use leverage as part of our investment strategy,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this annual report on Form 10-K and in our filings with the SEC.</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‘‘Risk Factors’’ and elsewhere in this annual report on Form 10-K. You should not place undue reliance on these forward-looking statements, which apply only as of the date of this annual report on Form 10-K.</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an externally managed, non-diversified closed-end management investment company that has elected to be treated as a business development company under the 1940 Act. Our investment objective is to maximize our portfolio’s total return, principally by seeking capital gains on our equity and equity-related investments. We invest principally in the equity securities of rapidly growing venture capital-backed emerging companies. We acquire our investments through secondary marketplaces for private companies, negotiations with selling stockholders and direct investments with prospective portfolio companies. We may also invest on an opportunistic basis in select publicly-traded equity securities or certain non-U.S. companies that otherwise meet our investment criteria. Our investment activities are managed by GSV Asset Management, and GSV Capital Service Company provides the administrative services necessary for us to operate.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both"/>
        <w:ind w:firstLine="648"/>
        <w:spacing w:after="0" w:line="255" w:lineRule="auto"/>
        <w:rPr>
          <w:sz w:val="20"/>
          <w:szCs w:val="20"/>
          <w:color w:val="auto"/>
        </w:rPr>
      </w:pPr>
      <w:r>
        <w:rPr>
          <w:rFonts w:ascii="Arial" w:cs="Arial" w:eastAsia="Arial" w:hAnsi="Arial"/>
          <w:sz w:val="18"/>
          <w:szCs w:val="18"/>
          <w:color w:val="auto"/>
        </w:rPr>
        <w:t>Our investment philosophy is premised on a disciplined approach of identifying high-growth emerging companies across several key industry themes which may include, among others, social media, mobility, cloud computing, software-as-a-service, green technology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evaluates have financial backing from top tier venture capital funds or other financial or strategic sponsors.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We anticipate that substantially all of the net proceeds of our follow-on offering, which closed in February 2012, will be used for the above purposes within six to 12 months, depending on the availability of investment opportunities that are consistent with our investment objectives and market conditions.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seek to create a low-turnover portfolio that we expect will include diversified investments in 20 to 30 companies. As of December 31, 2011, we have completed investments in 21 companies for aggregate consideration of approximately $64.9 million (exclusive of transaction fees and costs), or 85.3% of the net proceeds from our initial public offering and subsequent follow-on offering. We expect that the total number of portfolio companies in which we are invested will increase as our equity capital base grows.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April 28, 2011, we priced our initial public offering of 3,335,000 shares of our common stock at the offering price of $15.00 per share. The initial public offering closed on May 3, 2011, resulting in net proceeds to GSV Capital Corp. of approximately $46.5 million. On September 26, 2011, we priced a follow-on offering of 1,900,000 shares of our common stock at an offering price $14.15 per share. The follow-on offering included the full exercise of the underwriters’ option to purchase an additional 285,000 shares of our common stock, resulting in net proceeds to GSV Capital Corp. of approximately $29.6 million. Our shares are currently listed on the NASDAQ Capital Market under the symbol ‘‘GSVC’’.</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May 26, 2011, we changed our name from NeXt Innovation Corp. to GSV Capital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All of the investments in our portfolio at December 31, 2011 were made during the period from May 16, 2011 to December 31, 2011. The fair value of our investments can be expected to fluctuate in future periods due to changes in our investments and changes in the fair value of the investments.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$2,250,000 in Kno, Inc., an education software company, on May 16,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$712,380, plus transaction costs, in Serious Energy, Inc., a green technology company, on June 6, 2011.</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$280,000, plus transaction costs, in Gilt Groupe, Inc., an eCommerce platform, on June 17,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$6,587,500, plus transaction costs, in Facebook, Inc., a social-networking company, on June 23,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$5,999,996, plus transaction costs, in Chegg, Inc., an online textbook rental company, on June 29, 2011.</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$414,827, plus transaction costs, in Bloom Energy Corporation, a green technology company, on June 30, 2011.</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$166,500, plus transaction costs, in Bloom Energy Corporation on July 8, 2011.</w:t>
      </w:r>
    </w:p>
    <w:p>
      <w:pPr>
        <w:spacing w:after="0" w:line="225"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We closed on an investment of $200,000, plus transaction costs, in Silver Spring Networks, Inc., a green technology company, on July 11, 2011.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6" w:name="page47"/>
    <w:bookmarkEnd w:id="46"/>
    <w:p>
      <w:pPr>
        <w:jc w:val="both"/>
        <w:ind w:firstLine="648"/>
        <w:spacing w:after="0" w:line="277" w:lineRule="auto"/>
        <w:rPr>
          <w:sz w:val="20"/>
          <w:szCs w:val="20"/>
          <w:color w:val="auto"/>
        </w:rPr>
      </w:pPr>
      <w:r>
        <w:rPr>
          <w:rFonts w:ascii="Arial" w:cs="Arial" w:eastAsia="Arial" w:hAnsi="Arial"/>
          <w:sz w:val="18"/>
          <w:szCs w:val="18"/>
          <w:color w:val="auto"/>
        </w:rPr>
        <w:t>We closed on an investment of $2,250,000, plus transaction costs, in SharesPost, Inc., a secondary marketplace for private equity investments, on July 19, 2011.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$1,968,000, plus transaction costs, in Gilt Groupe, Inc., an eCommerce platform, on July 25,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 follow-on investment of $190,000, plus transaction costs, in Bloom Energy Corporation, on August 9, 2011.</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August 15, 2011, we acquired a $4 million unsecured promissory note (‘‘Note’’) issued by PJB Fund LLC, a Delaware limited liability company (‘‘Borrower’’), which note is personally guaranteed by its members on a limited basis. The Note generally has a one-year maturity (which may be extended for an additional six months thereafter) and is subject to being repaid, at Borrower’s election, either by transfer of a certain number of shares of common stock of Zynga, Inc., subject to a cap, transfer of membership interests in Borrower or with a cash amount of equivalent value. The amount payable under the Note (the ‘‘Repayment Amount’’) will be equal to the face amount, plus the greater of accrued interest (at a rate of 10%) or a return based on the relative value of Zynga. At values of Zynga ranging from $6 billion to $14.4 billion (assuming the Note is settled within one year), the Repayment Amount will provide a return of 10% to 20%. At values of Zynga in excess of $14.4 billion, the Repayment Amount return includes 50% of such incremental share price appreciation. To the extent Zynga has a value less than $6 billion, the cap applicable to settlement in shares will effectively allow Borrower to settle the Note for less than the face amount of the loan. To the extent the borrower repays the note in cash, we would have no further direct or indirect interest in Zynga, Inc.</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 follow-on investment of $1,000,008, plus transaction costs, in Bloom Energy Corporation, on August 17,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 follow-on investment of $3,251,250, plus transaction costs, in Gilt Group, Inc. on August 22, 2011.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closed on an investment of $2,035,200, plus transaction costs, in Groupon, Inc., an online provider of daily coupons for various consumer products, on August 22, 2011.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$6,932,493, plus transaction costs, in Twitter, Inc., an online short messaging platform, on August 22, 2011.</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 follow-on investment of $901,430, plus transaction costs, in Silver Spring Networks, Inc., on August 30,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investment of $1,999,997, plus transaction costs, in TrueCar, Inc., an online automotive research destination, on August 30, 2011.</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$250,000, plus transaction costs in ZoomSystems, a producer of automated retail vending machines, on August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$1,000,000, plus transaction costs, in Control 4 Inc., a smart home automation company, on October 4, 2011.</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$2,000,000, plus transaction costs in Grockit Inc., an online test preparation company, on October 7, 2011.</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 follow-on investment of $1,593,000, plus transaction costs, in Twitter, Inc. on October 21,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 follow-on investment of $3,875,000, plus transaction costs, in Facebook, Inc., on November 8,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$500,000, plus transaction costs in The Echo Systems Corp., a social analytics company, on November 14, 2011.</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closed on an investment of $3,500,000, plus transaction costs, in ZocDoc Inc., a company that provides online booking for doctor and dentist appointments, on November 15, 2011.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color w:val="auto"/>
        </w:rPr>
        <w:t>We closed on an investment of $4,999,998, plus transaction costs, in Dropbox, an online storage service, on November 15,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 follow-on investment of $3,588,000, plus transaction costs, in Twitter, Inc., on November 18,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$750,000, plus transaction costs, in DreamBox Learning, Inc., an education technology company, on December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 follow-on investment of $205,000, plus transaction costs, in Kno, Inc., on December 15, 2011.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closed on an investment of $1,000,000, plus transaction costs in StormWind, an electronic marketing and business services platform, on December 15, 2011.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$500,000, plus transaction costs in rSmart, a higher education learning platform, on December 19, 2011.</w:t>
      </w:r>
    </w:p>
    <w:p>
      <w:pPr>
        <w:spacing w:after="0" w:line="2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fair value, as of December 31, 2011, of these investments was $64,078,150. In addition, we held $20,000,044 in one United States Treasury Bill and $7,000,000 in two money market funds as of December 31, 2011. We also held $385,995 in unrestricted cash on December 31,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As January 6, 2011 is our date of inception, there is no comparable period to compare results for the period from January 6, 2011 to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period from January 6, 2011 (date of inception) to December 31, 2011, we had investment income of $162,328, or $0.05 per share, which consisted of $158,389 of interest income and $3,939 of dividend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period from January 6, 2011 (date of inception) to December 31, 2011, we had $2,196,192 in total operating expenses consisting primarily of legal, audit and consulting fees, in addition to organizational expenses, investment management fees and administration fees. The investment advisory fee for the period from January 6, 2011 (date of inception) to December 31, 2011, was $618,865, representing the base fee as provided for in our investment advisory agreement. Costs incurred under our administration agreement for the period from January 6, 2011 (date of inception) to December 31, 2011, were $554,232. Professional fees, consisting of legal, valuation, audit and consulting fees, were approximately $409,983 for the period from January 6, 2011 (date of inception) to December 31,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Decrease in Net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period from January 6, 2011 (date of inception) to December 31, 2011, we had a net change in unrealized depreciation of $1,579,800, or $0.47 per share. Net investment loss was $2,033,864, or $0.60 per share, for the period from January 6, 2011 (date of inception) to December 31, 2011. Net decrease in net assets resulting from operations was $3,613,664, or $1.07 per share, for the period from January 6, 2011 (date of inception) to December 31, 2011.</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per share figures noted above are based on a weighted-average of 3,377,429 shares outstanding for the period from January 6, 2011 (date of inception) to December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2011, we had investments in 21 portfolio companies with costs totaling $65,658,866, two money market funds totaling $7,000,000 and cash in the amount of $385,995.</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28, 2011, we priced our initial public offering of 3,335,000 shares of our common stock at the offering price of $15.00 per share. The initial public offering closed on May 3, 2011, resulting in net proceeds to GSV Capital of approximately $46.5 million. Our shares are currently listed on the NASDAQ Capital Market under the symbol ‘‘GSVC’’.</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8" w:name="page49"/>
    <w:bookmarkEnd w:id="48"/>
    <w:p>
      <w:pPr>
        <w:jc w:val="both"/>
        <w:ind w:firstLine="648"/>
        <w:spacing w:after="0" w:line="264" w:lineRule="auto"/>
        <w:rPr>
          <w:sz w:val="20"/>
          <w:szCs w:val="20"/>
          <w:color w:val="auto"/>
        </w:rPr>
      </w:pPr>
      <w:r>
        <w:rPr>
          <w:rFonts w:ascii="Arial" w:cs="Arial" w:eastAsia="Arial" w:hAnsi="Arial"/>
          <w:sz w:val="18"/>
          <w:szCs w:val="18"/>
          <w:color w:val="auto"/>
        </w:rPr>
        <w:t>On September 26, 2011, we priced a secondary offering, selling 2,185,000 shares at a price of $14.15 per share, including an exercise in full by the underwriters of their option to purchase an additional 285,000 shares of common stock to cover overallotments. The follow-on offering resulted in net proceeds to the Company of approximately $29.6 million.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primary use of cash is to make investments and to pay our operating expenses. We used substantially all of the proceeds of the offerings to invest in portfolio companies as of December 31, 2011, except for amounts retained for purposes of funding our ongoing expenses.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current policy is to maintain cash reserves in an amount sufficient to pay our operating expenses, including investment management fees and costs incurred under the administration agreement, for approximately two years. For a description of the investment advisory and administration services we receive, see ‘‘Related Party Transactions and Certain Relationships’’. We incurred approximately $618,865 in investment management fees and $554,232 in costs incurred under the administration agreement for the period from January 6, 2011 (date of inception) to December 31, 2011.</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December 31, 2011, the fair value of our portfolio investments was equal to the cost of the investments, net of unrealized depreciation representing transaction costs and any fair value adjustments. Two of our investments, Groupon and SharesPost, had fair value adjustments. Groupon conducted an IPO on November 4, 2011. Our shares in Groupon are presently subject to a lock-up agreement that expires on May 1, 2012. The fair value for Groupon was estimated using the close price on a public exchange as of the valuation date, adjusted for a discount due to lack of marketability of 28% that was primarily based on the market price of publicly traded put options with a similar term as the lock-up as of December 31, 2011. Our investment in SharesPost includes Series B preferred shares and warrants. After our investment in SharesPost in July 2011, SharesPost held a subsequent financing for Series B preferred shares, which did not include warrants. Accordingly, only our investment in preferred shares was adjusted due to the subsequent financing. The fair value of our investments can be expected to fluctuate in future periods due to changes in our investments and changes in the fair value of the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2011, we had no off-balance sheet arrangements, including any risk management of commodity pricing or other hedging practices. However, we may employ hedging and other risk management techniques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timing and amount of our dividends, if any, will be determined by our board of directors. Any dividends to our stockholders will be declared out of assets legally available for distribution. We intend to focus on making capital gains-based investments from which we will derive primarily capital gains. As a consequence, we do not anticipate that we will pay dividends on a quarterly basis or become a predictable issuer of dividends, and we expect that our dividends, if any, will be much less consistent than other business development companies that primarily make debt investments. However, if there are earnings or realized capital gains to be distributed, we intend to declare and pay a dividend at least annually.</w:t>
      </w:r>
    </w:p>
    <w:p>
      <w:pPr>
        <w:spacing w:after="0" w:line="1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intend to elect to be treated, and intend to qualify annually thereafter, as a RIC under Subchapter M of the Code, beginning with our 2011 taxable year. To obtain and maintain RIC tax treatment, we must, among other things, distribute at least 90% of our ordinary income and realized net short-term capital gains in excess of realized net long-term capital losses, if any. In order to avoid certain excise taxes imposed on RICs, we currently intend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w:t>
      </w:r>
      <w:r>
        <w:rPr>
          <w:rFonts w:ascii="Arial" w:cs="Arial" w:eastAsia="Arial" w:hAnsi="Arial"/>
          <w:sz w:val="16"/>
          <w:szCs w:val="16"/>
          <w:i w:val="1"/>
          <w:iCs w:val="1"/>
          <w:color w:val="auto"/>
        </w:rPr>
        <w:t>i.e.</w:t>
      </w:r>
      <w:r>
        <w:rPr>
          <w:rFonts w:ascii="Arial" w:cs="Arial" w:eastAsia="Arial" w:hAnsi="Arial"/>
          <w:sz w:val="16"/>
          <w:szCs w:val="16"/>
          <w:color w:val="auto"/>
        </w:rPr>
        <w:t>, net long-term capital gains in excess of net short-term capital losses), if any, at least annually, we may in the future decide to retain such capital gains for investment. If this happens, you will be treated as if you received an actual distribution of the capital gains we retain and reinvested the net after-tax proceeds in us. You also may be eligible to claim a tax credit (or, in certain circumstances, a tax refund) equal to your allocable share of the tax we paid on the capital gains deemed distributed to you. See ‘‘Material U.S. Federal Income Tax Considerations.’’ There is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9" w:name="page50"/>
    <w:bookmarkEnd w:id="49"/>
    <w:p>
      <w:pPr>
        <w:jc w:val="both"/>
        <w:ind w:firstLine="648"/>
        <w:spacing w:after="0" w:line="291" w:lineRule="auto"/>
        <w:rPr>
          <w:sz w:val="20"/>
          <w:szCs w:val="20"/>
          <w:color w:val="auto"/>
        </w:rPr>
      </w:pPr>
      <w:r>
        <w:rPr>
          <w:rFonts w:ascii="Arial" w:cs="Arial" w:eastAsia="Arial" w:hAnsi="Arial"/>
          <w:sz w:val="16"/>
          <w:szCs w:val="16"/>
          <w:color w:val="auto"/>
        </w:rPr>
        <w:t>Our current intention is to make any distributions out of assets legally available therefrom in additional shares of our common stock under our dividend reinvestment plan, unless you elect to receive your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See ‘‘Dividend Reinvestment Plan.’’ Any distributions reinvested under the plan will nevertheless remain taxable to the U.S. stockholder, although no cash distribution has been made. If you hold shares in the name of a broker or financial intermediary, you should contact the broker or financial intermediary regarding your election to receive distributions in cash.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borrowings outstanding as of December 31,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entered into an investment advisory agreement with GSV Asset Management (the ‘‘Advisory Agreement’’) in connection with our initial public offering. Pursuant to the Advisory Agreement, GSV Asset Management will be paid a base annual fee of 2.00% of gross assets, and an annual incentive fee equal to the lesser of (i) 20% of the GSV Capital’s realized capital gains during each calendar year, if any, calculated on an investment-by-investment basis, subject to a non-compounded preferred return, or ‘‘hurdle,’’ and a ‘‘catch-up’’ feature, and (ii) 20% of the GSV Capital’s realized capital gains, if any, on a cumulative basis from inception through the end of each calendar year, computed net of all realized capital losses and unrealized capital depreciation on a cumulative basis, less the aggregate amount of any previously paid incentive fees. GSV Asset Management earned $618,865 in base fees and $0 in incentive fees for the period from January 6, 2011 (date of inception) to December 31, 2011.</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2011, we were owed $13,470 from GSV Asset Management for reimbursement of travel-related expenses paid for by us that were the responsibility of GSV Asset Management.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as of December 31, 2011, we owed GSV Asset Management $78,427 for management fees and reimbursement of other expenses. We owed certain officers and directors $10,782 in reimbursements for travel-related and other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entered into an Administration Agreement with GSV Capital Service Company (the ‘‘Administration Agreement’’) to provide administrative services, including furnishing us with office facilities, equipment, clerical, bookkeeping services and other administrative services, in connection with our initial public offering. We reimburse GSV Capital Service Company an allocable portion of overhead and other expenses in performing its obligations under the Administration Agreement. There were $554,232 in such costs incurred under the Administration Agreement for the period from January 6, 2011 (date of inception) to December 31, 2011.</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also adopted a Code of Ethics which applies to, among others, our senior officers, including our Chief Executive Officer and Chief Financial Officer, as well as all of our officers, directors and employees.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statements included herein are expressed in United States dollars and have been prepared in conformity with accounting principles generally accepted in the United States of America (‘‘GAAP’’).</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ind w:firstLine="648"/>
        <w:spacing w:after="0" w:line="277" w:lineRule="auto"/>
        <w:rPr>
          <w:sz w:val="20"/>
          <w:szCs w:val="20"/>
          <w:color w:val="auto"/>
        </w:rPr>
      </w:pPr>
      <w:r>
        <w:rPr>
          <w:rFonts w:ascii="Arial" w:cs="Arial" w:eastAsia="Arial" w:hAnsi="Arial"/>
          <w:sz w:val="18"/>
          <w:szCs w:val="18"/>
          <w:color w:val="auto"/>
        </w:rPr>
        <w:t>In accordance with Regulation S-X under the Securities Act of 1933 and Securities Exchange Act of 1934, the Company does not consolidate portfolio company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 at Fair Value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carry our investments at fair value, as determined in good faith by our board of directors, in accordance with GAAP. Fair value is the price that one would receive upon selling an investment or pay to transfer a liability in an orderly transaction between market participants at the measurement date in the principal or most advantageous market for the investment or liability. GAAP emphasizes that valuation techniques should maximize the use of observable market inputs and minimize the use of unobservable inputs. Observable inputs are based on market data obtained from sources independent of the entity and should not be limited to information that is only available to the entity making the fair value determination, or to a small group of users. Observable market inputs should be readily available to participants in that market. In addition, observable market inputs should include a level of transparency that is reliable and verifiable.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GAAP fair value measurement guidance classifies the inputs used to measure these fair values into the following hierarchy:</w:t>
      </w:r>
    </w:p>
    <w:p>
      <w:pPr>
        <w:spacing w:after="0" w:line="22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the ability to access.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directly or indirectly for substantially the full term of the asset or liability. Level 2 inputs include the following:</w:t>
      </w:r>
    </w:p>
    <w:p>
      <w:pPr>
        <w:spacing w:after="0" w:line="166"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and</w:t>
      </w:r>
    </w:p>
    <w:p>
      <w:pPr>
        <w:spacing w:after="0" w:line="9"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 both unobservable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to the overall fair value measurement. These inputs reflect management’s own assumptions about the assumptions a market participant would use in pricing the asset or liability.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 asset’s categorization within the valuation hierarchy is based upon the lowest level of input that is significant to the fair value measurement.</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are valued at fair value as determined in good faith by our board of directors.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that determination, portfolio company valuations are prepared using the most currently available data. As appropriate, we obtain updates on each portfolio company’s financial performance, including information such as economic and industry trends, new product development, and other operational issues.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making our good faith determination of the fair value of investments, we consider valuation methodologies consistent with industry practice, including but not limited to (i) publicly available information regarding the valuation of the securities based on recent sales in comparable transactions of private companies, (ii) when management believes there are comparable companies that are publicly traded, a review of these publicly traded companies and applicable market multiples of their equity securities and, (iii) an income approach that estimates value based on the expectation of future cash flows that an asset or business will generate.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engage independent valuation firms to perform valuations of our investments that are not publicly traded or for which there are no readily available market quotations. We also engage independent valuation firms to perform valuations of any securities that trade on private secondary markets, but are not otherwise publicly traded, where there is a lack of appreciable trading or a wide disparity in recently reported trades. We consider the independent valuations, among other factors, in making our fair value determinations.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2011, the Financial Accounting Standards Board (‘‘FASB’’) issued guidance clarifying how to measure and disclose fair value. This guidance amends the application of the ‘‘highest and best use’’ concept to be used only in the measurement of fair value of nonfinancial assets, clarifies that the measurement of the fair value of equity-classified financial instruments should be performed from the perspective of a market participant who holds the instrument as an asset, clarifies that an entity that manages a group of financial assets and liabilities on the basis of its net risk exposure can measure those financial instruments on the basis of its net exposure to those risks, and clarifies when premiums and discounts should be taken into account when measuring fair value. The fair value disclosure requirements also were amended. This accounting standard is effective prospectively for interim and annual reporting periods beginning after December 15, 2011. At this time management is evaluating the implications of the amendment and the impact to the financial statements of GSV Capital Corp.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3, 2011, the Company sold and settled the $20.0 million United States Treasury Bill for a realized loss of $256.</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10, 2012, the Company priced a secondary offering, selling 6,900,000 of common shares at a price of $15.00 per share, including an exercise in full by the underwriters of their option to purchase an additional 900,000 shares of common stock to cover overallotments. The secondary offering resulted in net proceeds to the Company of approximately $96.2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to December 31, 2011, the Company closed on investments of $5.0 million, plus transaction costs as follows: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an investment of $100,000, plus transaction costs, in AlwaysOn Network, LLC, an internet media company headquartered in Kelowna, British Columbia, on January 10, 2012.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an investment of $200,000, plus transaction costs, in Maven Research, Inc., a global knowledge marketplace headquartered in San Francisco, CA, on February 28, 2012.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an investment of $500,000, plus transaction costs, in AltEgo, LLC, an avatar technology and games developer headquartered in Santa Monica, CA, on February 29, 2012.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an investment of $4,000,000, plus transaction costs, in Chegg, Inc., an online textbook rental company headquartered in Santa Clara, CA, on March 7, 2012.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an investment of $150,000, plus transaction costs, in AlwaysOn Network, LLC, an internet media company headquartered in Kelowna, British Columbia, on March 9, 2012.</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 2012, Facebook, Inc. filed a registration statement with the SEC in connection with its proposed initial public offering. The Company owns 350,000 shares of Class B common stock of Facebook, Inc., which are presently subject to a lock-up agreement that will expire 181 days after the date of the final prospectus relating to Facebook, Inc.’s initial public offering, if consummated.</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presently in the final stages of negotiations with a handful of private company investments that it anticipates entering into within the next 30 to 60 days, subject to applicable closing conditions. These equity investments may be made through the secondary market and involve making deposits in escrow accounts until certain conditions are met. Moreover, each underlying issuer has the right to terminate the deal before such conditions are satisfied. Pursuant to the terms of our agreements with each of these prospective issuers, at such time that these conditions are satisfied, the escrow accounts will close, and our equity investments will be effectuated. Subsequent to December 31, 2011, the Company made $4.9 million in such escrow deposits of which $0.9 million are currently outstanding and subject to applicable closing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financial market risks, which could include, to the extent we utilize leverage, changes in interest rates. As we invest primarily in equity rather than debt instruments, we would not expect fluctuations in interest rates to directly impact our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1040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38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Index to Financial Statements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38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FFCC"/>
          </w:tcPr>
          <w:p>
            <w:pPr>
              <w:spacing w:after="0"/>
              <w:rPr>
                <w:sz w:val="20"/>
                <w:szCs w:val="20"/>
                <w:color w:val="auto"/>
              </w:rPr>
            </w:pPr>
            <w:r>
              <w:rPr>
                <w:rFonts w:ascii="Arial" w:cs="Arial" w:eastAsia="Arial" w:hAnsi="Arial"/>
                <w:sz w:val="18"/>
                <w:szCs w:val="18"/>
                <w:color w:val="auto"/>
              </w:rPr>
              <w:t>Statement of Assets and Liabilities as of December 31, 2011</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FFCC"/>
          </w:tcPr>
          <w:p>
            <w:pPr>
              <w:spacing w:after="0"/>
              <w:rPr>
                <w:sz w:val="20"/>
                <w:szCs w:val="20"/>
                <w:color w:val="auto"/>
              </w:rPr>
            </w:pPr>
            <w:r>
              <w:rPr>
                <w:rFonts w:ascii="Arial" w:cs="Arial" w:eastAsia="Arial" w:hAnsi="Arial"/>
                <w:sz w:val="18"/>
                <w:szCs w:val="18"/>
                <w:color w:val="auto"/>
              </w:rPr>
              <w:t>Statement of Operations for the period from January 6, 2011 (date of inception) to December 31, 2011</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FFCC"/>
          </w:tcPr>
          <w:p>
            <w:pPr>
              <w:spacing w:after="0"/>
              <w:rPr>
                <w:sz w:val="20"/>
                <w:szCs w:val="20"/>
                <w:color w:val="auto"/>
              </w:rPr>
            </w:pPr>
            <w:r>
              <w:rPr>
                <w:rFonts w:ascii="Arial" w:cs="Arial" w:eastAsia="Arial" w:hAnsi="Arial"/>
                <w:sz w:val="18"/>
                <w:szCs w:val="18"/>
                <w:color w:val="auto"/>
              </w:rPr>
              <w:t>Statement of Changes in Net Assets for the period from January 6, 2011 (date of inception) to December 31, 2011</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FFCC"/>
          </w:tcPr>
          <w:p>
            <w:pPr>
              <w:spacing w:after="0"/>
              <w:rPr>
                <w:sz w:val="20"/>
                <w:szCs w:val="20"/>
                <w:color w:val="auto"/>
              </w:rPr>
            </w:pPr>
            <w:r>
              <w:rPr>
                <w:rFonts w:ascii="Arial" w:cs="Arial" w:eastAsia="Arial" w:hAnsi="Arial"/>
                <w:sz w:val="18"/>
                <w:szCs w:val="18"/>
                <w:color w:val="auto"/>
              </w:rPr>
              <w:t>Statement of Cash Flows for the period from January 6, 2011 (date of inception) to December 31, 2011</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FFCC"/>
          </w:tcPr>
          <w:p>
            <w:pPr>
              <w:spacing w:after="0"/>
              <w:rPr>
                <w:sz w:val="20"/>
                <w:szCs w:val="20"/>
                <w:color w:val="auto"/>
              </w:rPr>
            </w:pPr>
            <w:r>
              <w:rPr>
                <w:rFonts w:ascii="Arial" w:cs="Arial" w:eastAsia="Arial" w:hAnsi="Arial"/>
                <w:sz w:val="18"/>
                <w:szCs w:val="18"/>
                <w:color w:val="auto"/>
              </w:rPr>
              <w:t>Schedule of Investments as of December 31, 2011</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FFCC"/>
          </w:tcPr>
          <w:p>
            <w:pPr>
              <w:spacing w:after="0"/>
              <w:rPr>
                <w:sz w:val="20"/>
                <w:szCs w:val="20"/>
                <w:color w:val="auto"/>
              </w:rPr>
            </w:pPr>
            <w:r>
              <w:rPr>
                <w:rFonts w:ascii="Arial" w:cs="Arial" w:eastAsia="Arial" w:hAnsi="Arial"/>
                <w:sz w:val="18"/>
                <w:szCs w:val="18"/>
                <w:color w:val="auto"/>
              </w:rPr>
              <w:t>Notes to the Financial Statements</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0380" w:type="dxa"/>
            <w:vAlign w:val="bottom"/>
            <w:tcBorders>
              <w:bottom w:val="single" w:sz="8" w:color="auto"/>
            </w:tcBorders>
          </w:tcPr>
          <w:p>
            <w:pPr>
              <w:jc w:val="right"/>
              <w:ind w:right="4510"/>
              <w:spacing w:after="0"/>
              <w:rPr>
                <w:sz w:val="20"/>
                <w:szCs w:val="20"/>
                <w:color w:val="auto"/>
              </w:rPr>
            </w:pPr>
            <w:r>
              <w:rPr>
                <w:rFonts w:ascii="Arial" w:cs="Arial" w:eastAsia="Arial" w:hAnsi="Arial"/>
                <w:sz w:val="18"/>
                <w:szCs w:val="18"/>
                <w:color w:val="auto"/>
              </w:rPr>
              <w:t>53</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53" w:name="page54"/>
    <w:bookmarkEnd w:id="53"/>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GSV Capital Corp.</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audited the accompanying statement of assets and liabilities of GSV Capital Corp. (formerly NeXt Innovation Corp.), including the schedule of investments, as of December 31, 2011 and the related statements of operations, changes in net assets, and cash flows and the financial highlights (see Note 7) for the period from January 6, 2011 (date of inception) to December 31, 2011. These financial statements and financial highlights are the responsibility of the Company’s management. Our responsibility is to express an opinion on these financial statements and financial highlights based on our audit.</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conducted our audit in accordance with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Our procedures included confirmation of the investments owned as of December 31, 2011 by correspondence with the custodian and broker. We believe that our audit provides a reasonable basis for our opinion.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financial statements and financial highlights referred to above present fairly, in all material respects, the financial position of GSV Capital Corp. (formerly NeXt Innovation Corp.) as of December 31, 2011, and the results of its operations, changes in net assets and its cash flows and financial highlights for the period from January 6, 2011 (date of inception) to December 31, 2011 in conformity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2012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ASSETS AND LIABILITIES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700" w:type="dxa"/>
            <w:vAlign w:val="bottom"/>
          </w:tcPr>
          <w:p>
            <w:pPr>
              <w:spacing w:after="0"/>
              <w:rPr>
                <w:sz w:val="20"/>
                <w:szCs w:val="20"/>
                <w:color w:val="auto"/>
              </w:rPr>
            </w:pPr>
          </w:p>
        </w:tc>
        <w:tc>
          <w:tcPr>
            <w:tcW w:w="1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December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FFCC"/>
          </w:tcPr>
          <w:p>
            <w:pPr>
              <w:ind w:left="240"/>
              <w:spacing w:after="0"/>
              <w:rPr>
                <w:sz w:val="20"/>
                <w:szCs w:val="20"/>
                <w:color w:val="auto"/>
              </w:rPr>
            </w:pPr>
            <w:r>
              <w:rPr>
                <w:rFonts w:ascii="Arial" w:cs="Arial" w:eastAsia="Arial" w:hAnsi="Arial"/>
                <w:sz w:val="18"/>
                <w:szCs w:val="18"/>
                <w:color w:val="auto"/>
              </w:rPr>
              <w:t>Investments in non-control/non-affiliated securities (cost of $65,658,866)</w:t>
            </w:r>
          </w:p>
        </w:tc>
        <w:tc>
          <w:tcPr>
            <w:tcW w:w="440" w:type="dxa"/>
            <w:vAlign w:val="bottom"/>
            <w:shd w:val="clear" w:color="auto" w:fill="CCFFCC"/>
          </w:tcPr>
          <w:p>
            <w:pPr>
              <w:jc w:val="right"/>
              <w:ind w:right="282"/>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64,078,150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Investments in United States treasury bills (cost of $19,999,128)</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20,000,044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Investments in money market funds (cost of $7,000,000)</w:t>
            </w:r>
          </w:p>
        </w:tc>
        <w:tc>
          <w:tcPr>
            <w:tcW w:w="44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7,000,000</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00" w:type="dxa"/>
            <w:vAlign w:val="bottom"/>
          </w:tcPr>
          <w:p>
            <w:pPr>
              <w:ind w:left="360"/>
              <w:spacing w:after="0"/>
              <w:rPr>
                <w:sz w:val="20"/>
                <w:szCs w:val="20"/>
                <w:color w:val="auto"/>
              </w:rPr>
            </w:pPr>
            <w:r>
              <w:rPr>
                <w:rFonts w:ascii="Arial" w:cs="Arial" w:eastAsia="Arial" w:hAnsi="Arial"/>
                <w:sz w:val="18"/>
                <w:szCs w:val="18"/>
                <w:color w:val="auto"/>
              </w:rPr>
              <w:t>Total Investments (cost of $92,657,994)</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91,078,194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7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Cash</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385,995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FFCC"/>
          </w:tcPr>
          <w:p>
            <w:pPr>
              <w:spacing w:after="0"/>
              <w:rPr>
                <w:sz w:val="20"/>
                <w:szCs w:val="20"/>
                <w:color w:val="auto"/>
              </w:rPr>
            </w:pPr>
            <w:r>
              <w:rPr>
                <w:rFonts w:ascii="Arial" w:cs="Arial" w:eastAsia="Arial" w:hAnsi="Arial"/>
                <w:sz w:val="18"/>
                <w:szCs w:val="18"/>
                <w:color w:val="auto"/>
              </w:rPr>
              <w:t>Due from:</w:t>
            </w:r>
          </w:p>
        </w:tc>
        <w:tc>
          <w:tcPr>
            <w:tcW w:w="4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GSV Asset Management</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FFCC"/>
          </w:tcPr>
          <w:p>
            <w:pPr>
              <w:ind w:left="240"/>
              <w:spacing w:after="0"/>
              <w:rPr>
                <w:sz w:val="20"/>
                <w:szCs w:val="20"/>
                <w:color w:val="auto"/>
              </w:rPr>
            </w:pPr>
            <w:r>
              <w:rPr>
                <w:rFonts w:ascii="Arial" w:cs="Arial" w:eastAsia="Arial" w:hAnsi="Arial"/>
                <w:sz w:val="18"/>
                <w:szCs w:val="18"/>
                <w:color w:val="auto"/>
              </w:rPr>
              <w:t>Portfolio company</w:t>
            </w:r>
          </w:p>
        </w:tc>
        <w:tc>
          <w:tcPr>
            <w:tcW w:w="4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9,249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Accrued interest</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FFCC"/>
          </w:tcPr>
          <w:p>
            <w:pPr>
              <w:spacing w:after="0"/>
              <w:rPr>
                <w:sz w:val="20"/>
                <w:szCs w:val="20"/>
                <w:color w:val="auto"/>
              </w:rPr>
            </w:pPr>
            <w:r>
              <w:rPr>
                <w:rFonts w:ascii="Arial" w:cs="Arial" w:eastAsia="Arial" w:hAnsi="Arial"/>
                <w:sz w:val="18"/>
                <w:szCs w:val="18"/>
                <w:color w:val="auto"/>
              </w:rPr>
              <w:t>Prepaid expenses</w:t>
            </w:r>
          </w:p>
        </w:tc>
        <w:tc>
          <w:tcPr>
            <w:tcW w:w="4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92,750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FFCC"/>
          </w:tcPr>
          <w:p>
            <w:pPr>
              <w:spacing w:after="0"/>
              <w:rPr>
                <w:sz w:val="20"/>
                <w:szCs w:val="20"/>
                <w:color w:val="auto"/>
              </w:rPr>
            </w:pPr>
            <w:r>
              <w:rPr>
                <w:rFonts w:ascii="Arial" w:cs="Arial" w:eastAsia="Arial" w:hAnsi="Arial"/>
                <w:sz w:val="18"/>
                <w:szCs w:val="18"/>
                <w:color w:val="auto"/>
              </w:rPr>
              <w:t>Dividend receivable</w:t>
            </w:r>
          </w:p>
        </w:tc>
        <w:tc>
          <w:tcPr>
            <w:tcW w:w="4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00" w:type="dxa"/>
            <w:vAlign w:val="bottom"/>
          </w:tcPr>
          <w:p>
            <w:pPr>
              <w:ind w:left="46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91,798,242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7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FFCC"/>
          </w:tcPr>
          <w:p>
            <w:pPr>
              <w:spacing w:after="0"/>
              <w:rPr>
                <w:sz w:val="20"/>
                <w:szCs w:val="20"/>
                <w:color w:val="auto"/>
              </w:rPr>
            </w:pPr>
            <w:r>
              <w:rPr>
                <w:rFonts w:ascii="Arial" w:cs="Arial" w:eastAsia="Arial" w:hAnsi="Arial"/>
                <w:sz w:val="18"/>
                <w:szCs w:val="18"/>
                <w:color w:val="auto"/>
              </w:rPr>
              <w:t>Due to:</w:t>
            </w:r>
          </w:p>
        </w:tc>
        <w:tc>
          <w:tcPr>
            <w:tcW w:w="4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80"/>
              <w:spacing w:after="0"/>
              <w:rPr>
                <w:sz w:val="20"/>
                <w:szCs w:val="20"/>
                <w:color w:val="auto"/>
              </w:rPr>
            </w:pPr>
            <w:r>
              <w:rPr>
                <w:rFonts w:ascii="Arial" w:cs="Arial" w:eastAsia="Arial" w:hAnsi="Arial"/>
                <w:sz w:val="18"/>
                <w:szCs w:val="18"/>
                <w:color w:val="auto"/>
              </w:rPr>
              <w:t>GSV Asset Management</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FFCC"/>
          </w:tcPr>
          <w:p>
            <w:pPr>
              <w:ind w:left="80"/>
              <w:spacing w:after="0"/>
              <w:rPr>
                <w:sz w:val="20"/>
                <w:szCs w:val="20"/>
                <w:color w:val="auto"/>
              </w:rPr>
            </w:pPr>
            <w:r>
              <w:rPr>
                <w:rFonts w:ascii="Arial" w:cs="Arial" w:eastAsia="Arial" w:hAnsi="Arial"/>
                <w:sz w:val="18"/>
                <w:szCs w:val="18"/>
                <w:color w:val="auto"/>
              </w:rPr>
              <w:t>Other affiliates</w:t>
            </w:r>
          </w:p>
        </w:tc>
        <w:tc>
          <w:tcPr>
            <w:tcW w:w="4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10,782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Payable for unsettled securities transaction</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19,999,128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206,357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Accrued expenses</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00" w:type="dxa"/>
            <w:vAlign w:val="bottom"/>
          </w:tcPr>
          <w:p>
            <w:pPr>
              <w:ind w:left="460"/>
              <w:spacing w:after="0"/>
              <w:rPr>
                <w:sz w:val="20"/>
                <w:szCs w:val="20"/>
                <w:color w:val="auto"/>
              </w:rPr>
            </w:pPr>
            <w:r>
              <w:rPr>
                <w:rFonts w:ascii="Arial" w:cs="Arial" w:eastAsia="Arial" w:hAnsi="Arial"/>
                <w:sz w:val="18"/>
                <w:szCs w:val="18"/>
                <w:b w:val="1"/>
                <w:bCs w:val="1"/>
                <w:color w:val="auto"/>
              </w:rPr>
              <w:t>Total Liabilities</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20,294,994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7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440" w:type="dxa"/>
            <w:vAlign w:val="bottom"/>
            <w:tcBorders>
              <w:bottom w:val="single" w:sz="8" w:color="auto"/>
            </w:tcBorders>
          </w:tcPr>
          <w:p>
            <w:pPr>
              <w:jc w:val="right"/>
              <w:ind w:right="282"/>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71,503,248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70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FFCC"/>
          </w:tcPr>
          <w:p>
            <w:pPr>
              <w:spacing w:after="0"/>
              <w:rPr>
                <w:sz w:val="20"/>
                <w:szCs w:val="20"/>
                <w:color w:val="auto"/>
              </w:rPr>
            </w:pPr>
            <w:r>
              <w:rPr>
                <w:rFonts w:ascii="Arial" w:cs="Arial" w:eastAsia="Arial" w:hAnsi="Arial"/>
                <w:sz w:val="18"/>
                <w:szCs w:val="18"/>
                <w:color w:val="auto"/>
              </w:rPr>
              <w:t>Common Stock, par value $0.01 per share</w:t>
            </w:r>
          </w:p>
        </w:tc>
        <w:tc>
          <w:tcPr>
            <w:tcW w:w="4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(100,000,000 authorized; 5,520,100 issued and outstanding)</w:t>
            </w:r>
          </w:p>
        </w:tc>
        <w:tc>
          <w:tcPr>
            <w:tcW w:w="440" w:type="dxa"/>
            <w:vAlign w:val="bottom"/>
          </w:tcPr>
          <w:p>
            <w:pPr>
              <w:jc w:val="right"/>
              <w:ind w:right="282"/>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FFCC"/>
          </w:tcPr>
          <w:p>
            <w:pPr>
              <w:spacing w:after="0"/>
              <w:rPr>
                <w:sz w:val="20"/>
                <w:szCs w:val="20"/>
                <w:color w:val="auto"/>
              </w:rPr>
            </w:pPr>
            <w:r>
              <w:rPr>
                <w:rFonts w:ascii="Arial" w:cs="Arial" w:eastAsia="Arial" w:hAnsi="Arial"/>
                <w:sz w:val="18"/>
                <w:szCs w:val="18"/>
                <w:color w:val="auto"/>
              </w:rPr>
              <w:t>Paid-in capital in excess of par</w:t>
            </w:r>
          </w:p>
        </w:tc>
        <w:tc>
          <w:tcPr>
            <w:tcW w:w="4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73,027,847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Unrealized depreciation on investments</w:t>
            </w:r>
          </w:p>
        </w:tc>
        <w:tc>
          <w:tcPr>
            <w:tcW w:w="4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(1,579,800)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00" w:type="dxa"/>
            <w:vAlign w:val="bottom"/>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60"/>
              <w:spacing w:after="0"/>
              <w:rPr>
                <w:sz w:val="20"/>
                <w:szCs w:val="20"/>
                <w:color w:val="auto"/>
              </w:rPr>
            </w:pPr>
            <w:r>
              <w:rPr>
                <w:rFonts w:ascii="Arial" w:cs="Arial" w:eastAsia="Arial" w:hAnsi="Arial"/>
                <w:sz w:val="18"/>
                <w:szCs w:val="18"/>
                <w:b w:val="1"/>
                <w:bCs w:val="1"/>
                <w:color w:val="auto"/>
              </w:rPr>
              <w:t>Net Assets</w:t>
            </w:r>
          </w:p>
        </w:tc>
        <w:tc>
          <w:tcPr>
            <w:tcW w:w="440" w:type="dxa"/>
            <w:vAlign w:val="bottom"/>
            <w:tcBorders>
              <w:bottom w:val="single" w:sz="8" w:color="auto"/>
            </w:tcBorders>
          </w:tcPr>
          <w:p>
            <w:pPr>
              <w:jc w:val="right"/>
              <w:ind w:right="282"/>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71,503,248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70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40"/>
              <w:spacing w:after="0"/>
              <w:rPr>
                <w:sz w:val="20"/>
                <w:szCs w:val="20"/>
                <w:color w:val="auto"/>
              </w:rPr>
            </w:pPr>
            <w:r>
              <w:rPr>
                <w:rFonts w:ascii="Arial" w:cs="Arial" w:eastAsia="Arial" w:hAnsi="Arial"/>
                <w:sz w:val="18"/>
                <w:szCs w:val="18"/>
                <w:b w:val="1"/>
                <w:bCs w:val="1"/>
                <w:color w:val="auto"/>
              </w:rPr>
              <w:t>Net Asset Value Per Share</w:t>
            </w:r>
          </w:p>
        </w:tc>
        <w:tc>
          <w:tcPr>
            <w:tcW w:w="440" w:type="dxa"/>
            <w:vAlign w:val="bottom"/>
            <w:tcBorders>
              <w:bottom w:val="single" w:sz="8" w:color="auto"/>
            </w:tcBorders>
          </w:tcPr>
          <w:p>
            <w:pPr>
              <w:jc w:val="right"/>
              <w:ind w:right="282"/>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See Notes to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For the period from</w:t>
            </w:r>
          </w:p>
        </w:tc>
      </w:tr>
      <w:tr>
        <w:trPr>
          <w:trHeight w:val="216"/>
        </w:trPr>
        <w:tc>
          <w:tcPr>
            <w:tcW w:w="8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6, 2011</w:t>
            </w:r>
          </w:p>
        </w:tc>
      </w:tr>
      <w:tr>
        <w:trPr>
          <w:trHeight w:val="216"/>
        </w:trPr>
        <w:tc>
          <w:tcPr>
            <w:tcW w:w="8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(date of inception)</w:t>
            </w:r>
          </w:p>
        </w:tc>
      </w:tr>
      <w:tr>
        <w:trPr>
          <w:trHeight w:val="216"/>
        </w:trPr>
        <w:tc>
          <w:tcPr>
            <w:tcW w:w="8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to December 31,</w:t>
            </w:r>
          </w:p>
        </w:tc>
      </w:tr>
      <w:tr>
        <w:trPr>
          <w:trHeight w:val="234"/>
        </w:trPr>
        <w:tc>
          <w:tcPr>
            <w:tcW w:w="80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r>
      <w:tr>
        <w:trPr>
          <w:trHeight w:val="210"/>
        </w:trPr>
        <w:tc>
          <w:tcPr>
            <w:tcW w:w="800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INVESTMENT INCOME</w:t>
            </w: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00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158,389</w:t>
            </w:r>
          </w:p>
        </w:tc>
      </w:tr>
      <w:tr>
        <w:trPr>
          <w:trHeight w:val="216"/>
        </w:trPr>
        <w:tc>
          <w:tcPr>
            <w:tcW w:w="80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Dividend income</w:t>
            </w: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3,939</w:t>
            </w:r>
          </w:p>
        </w:tc>
      </w:tr>
      <w:tr>
        <w:trPr>
          <w:trHeight w:val="216"/>
        </w:trPr>
        <w:tc>
          <w:tcPr>
            <w:tcW w:w="8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FFCC"/>
          </w:tcPr>
          <w:p>
            <w:pPr>
              <w:ind w:left="420"/>
              <w:spacing w:after="0"/>
              <w:rPr>
                <w:sz w:val="20"/>
                <w:szCs w:val="20"/>
                <w:color w:val="auto"/>
              </w:rPr>
            </w:pPr>
            <w:r>
              <w:rPr>
                <w:rFonts w:ascii="Arial" w:cs="Arial" w:eastAsia="Arial" w:hAnsi="Arial"/>
                <w:sz w:val="18"/>
                <w:szCs w:val="18"/>
                <w:b w:val="1"/>
                <w:bCs w:val="1"/>
                <w:color w:val="auto"/>
              </w:rPr>
              <w:t>Total Investment Income</w:t>
            </w: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162,328</w:t>
            </w:r>
          </w:p>
        </w:tc>
      </w:tr>
      <w:tr>
        <w:trPr>
          <w:trHeight w:val="210"/>
        </w:trPr>
        <w:tc>
          <w:tcPr>
            <w:tcW w:w="8000" w:type="dxa"/>
            <w:vAlign w:val="bottom"/>
            <w:tcBorders>
              <w:top w:val="single" w:sz="8" w:color="CCFFCC"/>
            </w:tcBorders>
          </w:tcPr>
          <w:p>
            <w:pPr>
              <w:spacing w:after="0"/>
              <w:rPr>
                <w:sz w:val="18"/>
                <w:szCs w:val="18"/>
                <w:color w:val="auto"/>
              </w:rPr>
            </w:pPr>
          </w:p>
        </w:tc>
        <w:tc>
          <w:tcPr>
            <w:tcW w:w="17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800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OPERATING EXPENSES</w:t>
            </w: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000" w:type="dxa"/>
            <w:vAlign w:val="bottom"/>
          </w:tcPr>
          <w:p>
            <w:pPr>
              <w:ind w:left="100"/>
              <w:spacing w:after="0"/>
              <w:rPr>
                <w:sz w:val="20"/>
                <w:szCs w:val="20"/>
                <w:color w:val="auto"/>
              </w:rPr>
            </w:pPr>
            <w:r>
              <w:rPr>
                <w:rFonts w:ascii="Arial" w:cs="Arial" w:eastAsia="Arial" w:hAnsi="Arial"/>
                <w:sz w:val="18"/>
                <w:szCs w:val="18"/>
                <w:color w:val="auto"/>
              </w:rPr>
              <w:t>Investment management fees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618,865</w:t>
            </w:r>
          </w:p>
        </w:tc>
      </w:tr>
      <w:tr>
        <w:trPr>
          <w:trHeight w:val="216"/>
        </w:trPr>
        <w:tc>
          <w:tcPr>
            <w:tcW w:w="80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Costs incurred under administration agreement</w:t>
            </w: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554,232</w:t>
            </w:r>
          </w:p>
        </w:tc>
      </w:tr>
      <w:tr>
        <w:trPr>
          <w:trHeight w:val="216"/>
        </w:trPr>
        <w:tc>
          <w:tcPr>
            <w:tcW w:w="8000" w:type="dxa"/>
            <w:vAlign w:val="bottom"/>
          </w:tcPr>
          <w:p>
            <w:pPr>
              <w:ind w:left="100"/>
              <w:spacing w:after="0"/>
              <w:rPr>
                <w:sz w:val="20"/>
                <w:szCs w:val="20"/>
                <w:color w:val="auto"/>
              </w:rPr>
            </w:pPr>
            <w:r>
              <w:rPr>
                <w:rFonts w:ascii="Arial" w:cs="Arial" w:eastAsia="Arial" w:hAnsi="Arial"/>
                <w:sz w:val="18"/>
                <w:szCs w:val="18"/>
                <w:color w:val="auto"/>
              </w:rPr>
              <w:t>Professional fees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409,983</w:t>
            </w:r>
          </w:p>
        </w:tc>
      </w:tr>
      <w:tr>
        <w:trPr>
          <w:trHeight w:val="216"/>
        </w:trPr>
        <w:tc>
          <w:tcPr>
            <w:tcW w:w="80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Organization expenses</w:t>
            </w: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198,831</w:t>
            </w:r>
          </w:p>
        </w:tc>
      </w:tr>
      <w:tr>
        <w:trPr>
          <w:trHeight w:val="216"/>
        </w:trPr>
        <w:tc>
          <w:tcPr>
            <w:tcW w:w="8000" w:type="dxa"/>
            <w:vAlign w:val="bottom"/>
          </w:tcPr>
          <w:p>
            <w:pPr>
              <w:ind w:left="100"/>
              <w:spacing w:after="0"/>
              <w:rPr>
                <w:sz w:val="20"/>
                <w:szCs w:val="20"/>
                <w:color w:val="auto"/>
              </w:rPr>
            </w:pPr>
            <w:r>
              <w:rPr>
                <w:rFonts w:ascii="Arial" w:cs="Arial" w:eastAsia="Arial" w:hAnsi="Arial"/>
                <w:sz w:val="18"/>
                <w:szCs w:val="18"/>
                <w:color w:val="auto"/>
              </w:rPr>
              <w:t>Insurance expense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142,494</w:t>
            </w:r>
          </w:p>
        </w:tc>
      </w:tr>
      <w:tr>
        <w:trPr>
          <w:trHeight w:val="216"/>
        </w:trPr>
        <w:tc>
          <w:tcPr>
            <w:tcW w:w="80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Directors’ fees</w:t>
            </w: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127,500</w:t>
            </w:r>
          </w:p>
        </w:tc>
      </w:tr>
      <w:tr>
        <w:trPr>
          <w:trHeight w:val="216"/>
        </w:trPr>
        <w:tc>
          <w:tcPr>
            <w:tcW w:w="8000" w:type="dxa"/>
            <w:vAlign w:val="bottom"/>
          </w:tcPr>
          <w:p>
            <w:pPr>
              <w:ind w:left="100"/>
              <w:spacing w:after="0"/>
              <w:rPr>
                <w:sz w:val="20"/>
                <w:szCs w:val="20"/>
                <w:color w:val="auto"/>
              </w:rPr>
            </w:pPr>
            <w:r>
              <w:rPr>
                <w:rFonts w:ascii="Arial" w:cs="Arial" w:eastAsia="Arial" w:hAnsi="Arial"/>
                <w:sz w:val="18"/>
                <w:szCs w:val="18"/>
                <w:color w:val="auto"/>
              </w:rPr>
              <w:t>Investor relations expense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89,250</w:t>
            </w:r>
          </w:p>
        </w:tc>
      </w:tr>
      <w:tr>
        <w:trPr>
          <w:trHeight w:val="216"/>
        </w:trPr>
        <w:tc>
          <w:tcPr>
            <w:tcW w:w="80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Other expenses</w:t>
            </w: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55,037</w:t>
            </w:r>
          </w:p>
        </w:tc>
      </w:tr>
      <w:tr>
        <w:trPr>
          <w:trHeight w:val="216"/>
        </w:trPr>
        <w:tc>
          <w:tcPr>
            <w:tcW w:w="8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FFCC"/>
          </w:tcPr>
          <w:p>
            <w:pPr>
              <w:ind w:left="420"/>
              <w:spacing w:after="0"/>
              <w:rPr>
                <w:sz w:val="20"/>
                <w:szCs w:val="20"/>
                <w:color w:val="auto"/>
              </w:rPr>
            </w:pPr>
            <w:r>
              <w:rPr>
                <w:rFonts w:ascii="Arial" w:cs="Arial" w:eastAsia="Arial" w:hAnsi="Arial"/>
                <w:sz w:val="18"/>
                <w:szCs w:val="18"/>
                <w:b w:val="1"/>
                <w:bCs w:val="1"/>
                <w:color w:val="auto"/>
              </w:rPr>
              <w:t>Total Operating Expenses</w:t>
            </w: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2,196,192</w:t>
            </w:r>
          </w:p>
        </w:tc>
      </w:tr>
      <w:tr>
        <w:trPr>
          <w:trHeight w:val="210"/>
        </w:trPr>
        <w:tc>
          <w:tcPr>
            <w:tcW w:w="8000" w:type="dxa"/>
            <w:vAlign w:val="bottom"/>
            <w:tcBorders>
              <w:top w:val="single" w:sz="8" w:color="CCFFCC"/>
            </w:tcBorders>
          </w:tcPr>
          <w:p>
            <w:pPr>
              <w:spacing w:after="0"/>
              <w:rPr>
                <w:sz w:val="18"/>
                <w:szCs w:val="18"/>
                <w:color w:val="auto"/>
              </w:rPr>
            </w:pPr>
          </w:p>
        </w:tc>
        <w:tc>
          <w:tcPr>
            <w:tcW w:w="17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8000" w:type="dxa"/>
            <w:vAlign w:val="bottom"/>
            <w:shd w:val="clear" w:color="auto" w:fill="CCFFCC"/>
          </w:tcPr>
          <w:p>
            <w:pPr>
              <w:ind w:left="420"/>
              <w:spacing w:after="0"/>
              <w:rPr>
                <w:sz w:val="20"/>
                <w:szCs w:val="20"/>
                <w:color w:val="auto"/>
              </w:rPr>
            </w:pPr>
            <w:r>
              <w:rPr>
                <w:rFonts w:ascii="Arial" w:cs="Arial" w:eastAsia="Arial" w:hAnsi="Arial"/>
                <w:sz w:val="18"/>
                <w:szCs w:val="18"/>
                <w:b w:val="1"/>
                <w:bCs w:val="1"/>
                <w:color w:val="auto"/>
              </w:rPr>
              <w:t>Net Investment Loss</w:t>
            </w: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(2,033,864)</w:t>
            </w:r>
          </w:p>
        </w:tc>
      </w:tr>
      <w:tr>
        <w:trPr>
          <w:trHeight w:val="216"/>
        </w:trPr>
        <w:tc>
          <w:tcPr>
            <w:tcW w:w="8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FFCC"/>
          </w:tcPr>
          <w:p>
            <w:pPr>
              <w:ind w:left="420"/>
              <w:spacing w:after="0"/>
              <w:rPr>
                <w:sz w:val="20"/>
                <w:szCs w:val="20"/>
                <w:color w:val="auto"/>
              </w:rPr>
            </w:pPr>
            <w:r>
              <w:rPr>
                <w:rFonts w:ascii="Arial" w:cs="Arial" w:eastAsia="Arial" w:hAnsi="Arial"/>
                <w:sz w:val="18"/>
                <w:szCs w:val="18"/>
                <w:b w:val="1"/>
                <w:bCs w:val="1"/>
                <w:color w:val="auto"/>
              </w:rPr>
              <w:t>Net Change in Unrealized Depreciation on Investments</w:t>
            </w: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(1,579,800)</w:t>
            </w:r>
          </w:p>
        </w:tc>
      </w:tr>
      <w:tr>
        <w:trPr>
          <w:trHeight w:val="210"/>
        </w:trPr>
        <w:tc>
          <w:tcPr>
            <w:tcW w:w="8000" w:type="dxa"/>
            <w:vAlign w:val="bottom"/>
            <w:tcBorders>
              <w:top w:val="single" w:sz="8" w:color="CCFFCC"/>
            </w:tcBorders>
          </w:tcPr>
          <w:p>
            <w:pPr>
              <w:spacing w:after="0"/>
              <w:rPr>
                <w:sz w:val="18"/>
                <w:szCs w:val="18"/>
                <w:color w:val="auto"/>
              </w:rPr>
            </w:pPr>
          </w:p>
        </w:tc>
        <w:tc>
          <w:tcPr>
            <w:tcW w:w="17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56"/>
        </w:trPr>
        <w:tc>
          <w:tcPr>
            <w:tcW w:w="8000" w:type="dxa"/>
            <w:vAlign w:val="bottom"/>
            <w:shd w:val="clear" w:color="auto" w:fill="CCFFCC"/>
          </w:tcPr>
          <w:p>
            <w:pPr>
              <w:ind w:left="42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(3,613,664)</w:t>
            </w:r>
          </w:p>
        </w:tc>
      </w:tr>
      <w:tr>
        <w:trPr>
          <w:trHeight w:val="197"/>
        </w:trPr>
        <w:tc>
          <w:tcPr>
            <w:tcW w:w="8000" w:type="dxa"/>
            <w:vAlign w:val="bottom"/>
            <w:tcBorders>
              <w:top w:val="single" w:sz="8" w:color="CCFFCC"/>
            </w:tcBorders>
          </w:tcPr>
          <w:p>
            <w:pPr>
              <w:spacing w:after="0"/>
              <w:rPr>
                <w:sz w:val="17"/>
                <w:szCs w:val="17"/>
                <w:color w:val="auto"/>
              </w:rPr>
            </w:pPr>
          </w:p>
        </w:tc>
        <w:tc>
          <w:tcPr>
            <w:tcW w:w="1720" w:type="dxa"/>
            <w:vAlign w:val="bottom"/>
            <w:tcBorders>
              <w:top w:val="single" w:sz="8" w:color="CCFFC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r>
      <w:tr>
        <w:trPr>
          <w:trHeight w:val="277"/>
        </w:trPr>
        <w:tc>
          <w:tcPr>
            <w:tcW w:w="8000" w:type="dxa"/>
            <w:vAlign w:val="bottom"/>
            <w:shd w:val="clear" w:color="auto" w:fill="CCFFCC"/>
          </w:tcPr>
          <w:p>
            <w:pPr>
              <w:ind w:left="420"/>
              <w:spacing w:after="0" w:line="256" w:lineRule="exact"/>
              <w:rPr>
                <w:sz w:val="20"/>
                <w:szCs w:val="20"/>
                <w:color w:val="auto"/>
              </w:rPr>
            </w:pPr>
            <w:r>
              <w:rPr>
                <w:rFonts w:ascii="Arial" w:cs="Arial" w:eastAsia="Arial" w:hAnsi="Arial"/>
                <w:sz w:val="18"/>
                <w:szCs w:val="18"/>
                <w:b w:val="1"/>
                <w:bCs w:val="1"/>
                <w:color w:val="auto"/>
              </w:rPr>
              <w:t xml:space="preserve">Net Decrease in Net Assets Resulting From Operations Per Average Share </w:t>
            </w:r>
            <w:r>
              <w:rPr>
                <w:rFonts w:ascii="Arial" w:cs="Arial" w:eastAsia="Arial" w:hAnsi="Arial"/>
                <w:sz w:val="29"/>
                <w:szCs w:val="29"/>
                <w:b w:val="1"/>
                <w:bCs w:val="1"/>
                <w:color w:val="auto"/>
                <w:vertAlign w:val="superscript"/>
              </w:rPr>
              <w:t>(1)</w:t>
            </w:r>
          </w:p>
        </w:tc>
        <w:tc>
          <w:tcPr>
            <w:tcW w:w="1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(1.07)</w:t>
            </w:r>
          </w:p>
        </w:tc>
      </w:tr>
      <w:tr>
        <w:trPr>
          <w:trHeight w:val="20"/>
        </w:trPr>
        <w:tc>
          <w:tcPr>
            <w:tcW w:w="8000" w:type="dxa"/>
            <w:vAlign w:val="bottom"/>
            <w:tcBorders>
              <w:top w:val="single" w:sz="8" w:color="CCFFCC"/>
            </w:tcBorders>
            <w:shd w:val="clear" w:color="auto" w:fill="CCFFCC"/>
          </w:tcPr>
          <w:p>
            <w:pPr>
              <w:spacing w:after="0" w:line="20" w:lineRule="exact"/>
              <w:rPr>
                <w:sz w:val="1"/>
                <w:szCs w:val="1"/>
                <w:color w:val="auto"/>
              </w:rPr>
            </w:pPr>
          </w:p>
        </w:tc>
        <w:tc>
          <w:tcPr>
            <w:tcW w:w="17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23"/>
          <w:szCs w:val="23"/>
          <w:color w:val="auto"/>
          <w:vertAlign w:val="superscript"/>
        </w:rPr>
      </w:pPr>
      <w:r>
        <w:rPr>
          <w:rFonts w:ascii="Arial" w:cs="Arial" w:eastAsia="Arial" w:hAnsi="Arial"/>
          <w:sz w:val="17"/>
          <w:szCs w:val="17"/>
          <w:color w:val="auto"/>
        </w:rPr>
        <w:t>Weighted average common shares for the period from January 6, 2011 (date of inception) to December 31, 2011 was calculated starting from the</w:t>
      </w:r>
    </w:p>
    <w:p>
      <w:pPr>
        <w:spacing w:after="0" w:line="1" w:lineRule="exact"/>
        <w:rPr>
          <w:rFonts w:ascii="Arial" w:cs="Arial" w:eastAsia="Arial" w:hAnsi="Arial"/>
          <w:sz w:val="23"/>
          <w:szCs w:val="23"/>
          <w:color w:val="auto"/>
          <w:vertAlign w:val="superscript"/>
        </w:rPr>
      </w:pPr>
    </w:p>
    <w:p>
      <w:pPr>
        <w:ind w:left="340"/>
        <w:spacing w:after="0"/>
        <w:rPr>
          <w:rFonts w:ascii="Arial" w:cs="Arial" w:eastAsia="Arial" w:hAnsi="Arial"/>
          <w:sz w:val="23"/>
          <w:szCs w:val="23"/>
          <w:color w:val="auto"/>
          <w:vertAlign w:val="superscript"/>
        </w:rPr>
      </w:pPr>
      <w:r>
        <w:rPr>
          <w:rFonts w:ascii="Arial" w:cs="Arial" w:eastAsia="Arial" w:hAnsi="Arial"/>
          <w:sz w:val="18"/>
          <w:szCs w:val="18"/>
          <w:color w:val="FFFFFF"/>
        </w:rPr>
        <w:t>___</w:t>
      </w:r>
      <w:r>
        <w:rPr>
          <w:rFonts w:ascii="Arial" w:cs="Arial" w:eastAsia="Arial" w:hAnsi="Arial"/>
          <w:sz w:val="18"/>
          <w:szCs w:val="18"/>
          <w:color w:val="000000"/>
        </w:rPr>
        <w:t>issuance of 100 shares on February 28, 2011. Weighted average common shares were 3,377,429 for the period.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Notes to the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56" w:name="page57"/>
    <w:bookmarkEnd w:id="56"/>
    <w:p>
      <w:pPr>
        <w:jc w:val="center"/>
        <w:ind w:left="2422"/>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ind w:left="2422"/>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ind w:left="2422"/>
        <w:spacing w:after="0"/>
        <w:rPr>
          <w:sz w:val="20"/>
          <w:szCs w:val="20"/>
          <w:color w:val="auto"/>
        </w:rPr>
      </w:pPr>
      <w:r>
        <w:rPr>
          <w:rFonts w:ascii="Arial" w:cs="Arial" w:eastAsia="Arial" w:hAnsi="Arial"/>
          <w:sz w:val="17"/>
          <w:szCs w:val="17"/>
          <w:b w:val="1"/>
          <w:bCs w:val="1"/>
          <w:color w:val="auto"/>
        </w:rPr>
        <w:t>STATEMENT OF CHANGES IN NET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Change in Unrealized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Share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Proceeds from Common Shares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Offering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Capital Share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Share Activity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Shares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Outstanding at End of Period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Notes to the Financial Statements.</w:t>
      </w:r>
    </w:p>
    <w:p>
      <w:pPr>
        <w:spacing w:after="0" w:line="200" w:lineRule="exact"/>
        <w:rPr>
          <w:sz w:val="20"/>
          <w:szCs w:val="20"/>
          <w:color w:val="auto"/>
        </w:rPr>
      </w:pP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8"/>
        <w:spacing w:after="0"/>
        <w:rPr>
          <w:sz w:val="20"/>
          <w:szCs w:val="20"/>
          <w:color w:val="auto"/>
        </w:rPr>
      </w:pPr>
      <w:r>
        <w:rPr>
          <w:rFonts w:ascii="Arial" w:cs="Arial" w:eastAsia="Arial" w:hAnsi="Arial"/>
          <w:sz w:val="17"/>
          <w:szCs w:val="17"/>
          <w:b w:val="1"/>
          <w:bCs w:val="1"/>
          <w:color w:val="auto"/>
        </w:rPr>
        <w:t>For the period from</w:t>
      </w:r>
    </w:p>
    <w:p>
      <w:pPr>
        <w:spacing w:after="0" w:line="39" w:lineRule="exact"/>
        <w:rPr>
          <w:sz w:val="20"/>
          <w:szCs w:val="20"/>
          <w:color w:val="auto"/>
        </w:rPr>
      </w:pPr>
    </w:p>
    <w:p>
      <w:pPr>
        <w:jc w:val="center"/>
        <w:ind w:right="58"/>
        <w:spacing w:after="0"/>
        <w:rPr>
          <w:sz w:val="20"/>
          <w:szCs w:val="20"/>
          <w:color w:val="auto"/>
        </w:rPr>
      </w:pPr>
      <w:r>
        <w:rPr>
          <w:rFonts w:ascii="Arial" w:cs="Arial" w:eastAsia="Arial" w:hAnsi="Arial"/>
          <w:sz w:val="18"/>
          <w:szCs w:val="18"/>
          <w:b w:val="1"/>
          <w:bCs w:val="1"/>
          <w:color w:val="auto"/>
        </w:rPr>
        <w:t>January 6, 2011</w:t>
      </w:r>
    </w:p>
    <w:p>
      <w:pPr>
        <w:spacing w:after="0" w:line="9" w:lineRule="exact"/>
        <w:rPr>
          <w:sz w:val="20"/>
          <w:szCs w:val="20"/>
          <w:color w:val="auto"/>
        </w:rPr>
      </w:pPr>
    </w:p>
    <w:p>
      <w:pPr>
        <w:jc w:val="center"/>
        <w:ind w:right="58"/>
        <w:spacing w:after="0"/>
        <w:rPr>
          <w:sz w:val="20"/>
          <w:szCs w:val="20"/>
          <w:color w:val="auto"/>
        </w:rPr>
      </w:pPr>
      <w:r>
        <w:rPr>
          <w:rFonts w:ascii="Arial" w:cs="Arial" w:eastAsia="Arial" w:hAnsi="Arial"/>
          <w:sz w:val="18"/>
          <w:szCs w:val="18"/>
          <w:b w:val="1"/>
          <w:bCs w:val="1"/>
          <w:color w:val="auto"/>
        </w:rPr>
        <w:t>(date of inception)</w:t>
      </w:r>
    </w:p>
    <w:p>
      <w:pPr>
        <w:spacing w:after="0" w:line="9" w:lineRule="exact"/>
        <w:rPr>
          <w:sz w:val="20"/>
          <w:szCs w:val="20"/>
          <w:color w:val="auto"/>
        </w:rPr>
      </w:pPr>
    </w:p>
    <w:p>
      <w:pPr>
        <w:jc w:val="center"/>
        <w:ind w:right="58"/>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58"/>
        <w:spacing w:after="0"/>
        <w:rPr>
          <w:sz w:val="20"/>
          <w:szCs w:val="20"/>
          <w:color w:val="auto"/>
        </w:rPr>
      </w:pPr>
      <w:r>
        <w:rPr>
          <w:rFonts w:ascii="Arial" w:cs="Arial" w:eastAsia="Arial" w:hAnsi="Arial"/>
          <w:sz w:val="17"/>
          <w:szCs w:val="17"/>
          <w:b w:val="1"/>
          <w:bCs w:val="1"/>
          <w:u w:val="single" w:color="auto"/>
          <w:color w:val="auto"/>
        </w:rPr>
        <w:t>December 31, 2011</w:t>
      </w:r>
    </w:p>
    <w:p>
      <w:pPr>
        <w:spacing w:after="0" w:line="236" w:lineRule="exact"/>
        <w:rPr>
          <w:sz w:val="20"/>
          <w:szCs w:val="20"/>
          <w:color w:val="auto"/>
        </w:rPr>
      </w:pPr>
    </w:p>
    <w:p>
      <w:pPr>
        <w:ind w:left="822" w:hanging="822"/>
        <w:spacing w:after="0"/>
        <w:tabs>
          <w:tab w:leader="none" w:pos="822" w:val="left"/>
        </w:tabs>
        <w:numPr>
          <w:ilvl w:val="0"/>
          <w:numId w:val="32"/>
        </w:numPr>
        <w:rPr>
          <w:rFonts w:ascii="Arial" w:cs="Arial" w:eastAsia="Arial" w:hAnsi="Arial"/>
          <w:sz w:val="16"/>
          <w:szCs w:val="16"/>
          <w:color w:val="auto"/>
        </w:rPr>
      </w:pPr>
      <w:r>
        <w:rPr>
          <w:rFonts w:ascii="Arial" w:cs="Arial" w:eastAsia="Arial" w:hAnsi="Arial"/>
          <w:sz w:val="16"/>
          <w:szCs w:val="16"/>
          <w:color w:val="auto"/>
        </w:rPr>
        <w:t>(2,033,864)</w:t>
      </w:r>
    </w:p>
    <w:p>
      <w:pPr>
        <w:spacing w:after="0" w:line="46" w:lineRule="exact"/>
        <w:rPr>
          <w:rFonts w:ascii="Arial" w:cs="Arial" w:eastAsia="Arial" w:hAnsi="Arial"/>
          <w:sz w:val="16"/>
          <w:szCs w:val="16"/>
          <w:color w:val="auto"/>
        </w:rPr>
      </w:pPr>
    </w:p>
    <w:p>
      <w:pPr>
        <w:ind w:left="822"/>
        <w:spacing w:after="0"/>
        <w:rPr>
          <w:rFonts w:ascii="Arial" w:cs="Arial" w:eastAsia="Arial" w:hAnsi="Arial"/>
          <w:sz w:val="16"/>
          <w:szCs w:val="16"/>
          <w:color w:val="auto"/>
        </w:rPr>
      </w:pPr>
      <w:r>
        <w:rPr>
          <w:rFonts w:ascii="Arial" w:cs="Arial" w:eastAsia="Arial" w:hAnsi="Arial"/>
          <w:sz w:val="16"/>
          <w:szCs w:val="16"/>
          <w:color w:val="auto"/>
        </w:rPr>
        <w:t>(1,579,800)</w:t>
      </w:r>
    </w:p>
    <w:p>
      <w:pPr>
        <w:spacing w:after="0" w:line="32" w:lineRule="exact"/>
        <w:rPr>
          <w:rFonts w:ascii="Arial" w:cs="Arial" w:eastAsia="Arial" w:hAnsi="Arial"/>
          <w:sz w:val="16"/>
          <w:szCs w:val="16"/>
          <w:color w:val="auto"/>
        </w:rPr>
      </w:pPr>
    </w:p>
    <w:p>
      <w:pPr>
        <w:ind w:left="822"/>
        <w:spacing w:after="0"/>
        <w:rPr>
          <w:rFonts w:ascii="Arial" w:cs="Arial" w:eastAsia="Arial" w:hAnsi="Arial"/>
          <w:sz w:val="16"/>
          <w:szCs w:val="16"/>
          <w:color w:val="auto"/>
        </w:rPr>
      </w:pPr>
      <w:r>
        <w:rPr>
          <w:rFonts w:ascii="Arial" w:cs="Arial" w:eastAsia="Arial" w:hAnsi="Arial"/>
          <w:sz w:val="16"/>
          <w:szCs w:val="16"/>
          <w:color w:val="auto"/>
        </w:rPr>
        <w:t>(3,613,664)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0121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82"/>
        <w:spacing w:after="0"/>
        <w:rPr>
          <w:sz w:val="20"/>
          <w:szCs w:val="20"/>
          <w:color w:val="auto"/>
        </w:rPr>
      </w:pPr>
      <w:r>
        <w:rPr>
          <w:rFonts w:ascii="Arial" w:cs="Arial" w:eastAsia="Arial" w:hAnsi="Arial"/>
          <w:sz w:val="17"/>
          <w:szCs w:val="17"/>
          <w:color w:val="auto"/>
        </w:rPr>
        <w:t>76,175,200</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(1,058,288)</w:t>
      </w:r>
    </w:p>
    <w:p>
      <w:pPr>
        <w:spacing w:after="0" w:line="9" w:lineRule="exact"/>
        <w:rPr>
          <w:sz w:val="20"/>
          <w:szCs w:val="20"/>
          <w:color w:val="auto"/>
        </w:rPr>
      </w:pPr>
    </w:p>
    <w:p>
      <w:pPr>
        <w:ind w:left="782"/>
        <w:spacing w:after="0"/>
        <w:rPr>
          <w:sz w:val="20"/>
          <w:szCs w:val="20"/>
          <w:color w:val="auto"/>
        </w:rPr>
      </w:pPr>
      <w:r>
        <w:rPr>
          <w:rFonts w:ascii="Arial" w:cs="Arial" w:eastAsia="Arial" w:hAnsi="Arial"/>
          <w:sz w:val="17"/>
          <w:szCs w:val="17"/>
          <w:color w:val="auto"/>
        </w:rPr>
        <w:t>75,116,912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10121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782" w:hanging="782"/>
        <w:spacing w:after="0"/>
        <w:tabs>
          <w:tab w:leader="none" w:pos="782" w:val="left"/>
        </w:tabs>
        <w:numPr>
          <w:ilvl w:val="0"/>
          <w:numId w:val="33"/>
        </w:numPr>
        <w:rPr>
          <w:rFonts w:ascii="Arial" w:cs="Arial" w:eastAsia="Arial" w:hAnsi="Arial"/>
          <w:sz w:val="17"/>
          <w:szCs w:val="17"/>
          <w:color w:val="auto"/>
        </w:rPr>
      </w:pPr>
      <w:r>
        <w:rPr>
          <w:rFonts w:ascii="Arial" w:cs="Arial" w:eastAsia="Arial" w:hAnsi="Arial"/>
          <w:sz w:val="17"/>
          <w:szCs w:val="17"/>
          <w:color w:val="auto"/>
        </w:rPr>
        <w:t>71,503,248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10121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wp:posOffset>
            </wp:positionV>
            <wp:extent cx="10121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882"/>
        <w:spacing w:after="0"/>
        <w:rPr>
          <w:sz w:val="20"/>
          <w:szCs w:val="20"/>
          <w:color w:val="auto"/>
        </w:rPr>
      </w:pPr>
      <w:r>
        <w:rPr>
          <w:rFonts w:ascii="Arial" w:cs="Arial" w:eastAsia="Arial" w:hAnsi="Arial"/>
          <w:sz w:val="17"/>
          <w:szCs w:val="17"/>
          <w:color w:val="auto"/>
        </w:rPr>
        <w:t>5,520,100</w:t>
      </w:r>
    </w:p>
    <w:p>
      <w:pPr>
        <w:spacing w:after="0" w:line="35" w:lineRule="exact"/>
        <w:rPr>
          <w:sz w:val="20"/>
          <w:szCs w:val="20"/>
          <w:color w:val="auto"/>
        </w:rPr>
      </w:pPr>
    </w:p>
    <w:p>
      <w:pPr>
        <w:ind w:left="882"/>
        <w:spacing w:after="0"/>
        <w:rPr>
          <w:sz w:val="20"/>
          <w:szCs w:val="20"/>
          <w:color w:val="auto"/>
        </w:rPr>
      </w:pPr>
      <w:r>
        <w:rPr>
          <w:rFonts w:ascii="Arial" w:cs="Arial" w:eastAsia="Arial" w:hAnsi="Arial"/>
          <w:sz w:val="17"/>
          <w:szCs w:val="17"/>
          <w:color w:val="auto"/>
        </w:rPr>
        <w:t>5,520,100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0121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10121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ectPr>
          <w:pgSz w:w="11900" w:h="16838" w:orient="portrait"/>
          <w:cols w:equalWidth="0" w:num="2">
            <w:col w:w="8998" w:space="720"/>
            <w:col w:w="1662"/>
          </w:cols>
          <w:pgMar w:left="240" w:top="1391" w:right="27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For the period from</w:t>
            </w:r>
          </w:p>
        </w:tc>
      </w:tr>
      <w:tr>
        <w:trPr>
          <w:trHeight w:val="216"/>
        </w:trPr>
        <w:tc>
          <w:tcPr>
            <w:tcW w:w="9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January 6, 2011</w:t>
            </w:r>
          </w:p>
        </w:tc>
      </w:tr>
      <w:tr>
        <w:trPr>
          <w:trHeight w:val="216"/>
        </w:trPr>
        <w:tc>
          <w:tcPr>
            <w:tcW w:w="9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(date of inception)</w:t>
            </w:r>
          </w:p>
        </w:tc>
      </w:tr>
      <w:tr>
        <w:trPr>
          <w:trHeight w:val="216"/>
        </w:trPr>
        <w:tc>
          <w:tcPr>
            <w:tcW w:w="9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to December 31,</w:t>
            </w:r>
          </w:p>
        </w:tc>
      </w:tr>
      <w:tr>
        <w:trPr>
          <w:trHeight w:val="234"/>
        </w:trPr>
        <w:tc>
          <w:tcPr>
            <w:tcW w:w="9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r>
      <w:tr>
        <w:trPr>
          <w:trHeight w:val="210"/>
        </w:trPr>
        <w:tc>
          <w:tcPr>
            <w:tcW w:w="9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(3,613,664)</w:t>
            </w:r>
          </w:p>
        </w:tc>
      </w:tr>
      <w:tr>
        <w:trPr>
          <w:trHeight w:val="216"/>
        </w:trPr>
        <w:tc>
          <w:tcPr>
            <w:tcW w:w="9480" w:type="dxa"/>
            <w:vAlign w:val="bottom"/>
            <w:shd w:val="clear" w:color="auto" w:fill="CCFFCC"/>
          </w:tcPr>
          <w:p>
            <w:pPr>
              <w:spacing w:after="0"/>
              <w:rPr>
                <w:sz w:val="20"/>
                <w:szCs w:val="20"/>
                <w:color w:val="auto"/>
              </w:rPr>
            </w:pPr>
            <w:r>
              <w:rPr>
                <w:rFonts w:ascii="Arial" w:cs="Arial" w:eastAsia="Arial" w:hAnsi="Arial"/>
                <w:sz w:val="18"/>
                <w:szCs w:val="18"/>
                <w:color w:val="auto"/>
              </w:rPr>
              <w:t>Adjustments to reconcile net decrease in net assets resulting from</w:t>
            </w: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94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operations to net cash used in operating activities:</w:t>
            </w: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9480" w:type="dxa"/>
            <w:vAlign w:val="bottom"/>
          </w:tcPr>
          <w:p>
            <w:pPr>
              <w:ind w:left="180"/>
              <w:spacing w:after="0"/>
              <w:rPr>
                <w:sz w:val="20"/>
                <w:szCs w:val="20"/>
                <w:color w:val="auto"/>
              </w:rPr>
            </w:pPr>
            <w:r>
              <w:rPr>
                <w:rFonts w:ascii="Arial" w:cs="Arial" w:eastAsia="Arial" w:hAnsi="Arial"/>
                <w:sz w:val="18"/>
                <w:szCs w:val="18"/>
                <w:color w:val="auto"/>
              </w:rPr>
              <w:t>Net change in unrealized depreciation on 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1,579,800</w:t>
            </w:r>
          </w:p>
        </w:tc>
      </w:tr>
      <w:tr>
        <w:trPr>
          <w:trHeight w:val="216"/>
        </w:trPr>
        <w:tc>
          <w:tcPr>
            <w:tcW w:w="94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Purchases of investments in:</w:t>
            </w: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9480" w:type="dxa"/>
            <w:vAlign w:val="bottom"/>
          </w:tcPr>
          <w:p>
            <w:pPr>
              <w:ind w:left="500"/>
              <w:spacing w:after="0"/>
              <w:rPr>
                <w:sz w:val="20"/>
                <w:szCs w:val="20"/>
                <w:color w:val="auto"/>
              </w:rPr>
            </w:pPr>
            <w:r>
              <w:rPr>
                <w:rFonts w:ascii="Arial" w:cs="Arial" w:eastAsia="Arial" w:hAnsi="Arial"/>
                <w:sz w:val="18"/>
                <w:szCs w:val="18"/>
                <w:color w:val="auto"/>
              </w:rPr>
              <w:t>Non-control/non-affiliated securities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(65,658,866)</w:t>
            </w:r>
          </w:p>
        </w:tc>
      </w:tr>
      <w:tr>
        <w:trPr>
          <w:trHeight w:val="216"/>
        </w:trPr>
        <w:tc>
          <w:tcPr>
            <w:tcW w:w="9480" w:type="dxa"/>
            <w:vAlign w:val="bottom"/>
            <w:shd w:val="clear" w:color="auto" w:fill="CCFFCC"/>
          </w:tcPr>
          <w:p>
            <w:pPr>
              <w:ind w:left="50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(11,500,000)</w:t>
            </w:r>
          </w:p>
        </w:tc>
      </w:tr>
      <w:tr>
        <w:trPr>
          <w:trHeight w:val="216"/>
        </w:trPr>
        <w:tc>
          <w:tcPr>
            <w:tcW w:w="9480" w:type="dxa"/>
            <w:vAlign w:val="bottom"/>
          </w:tcPr>
          <w:p>
            <w:pPr>
              <w:ind w:left="180"/>
              <w:spacing w:after="0"/>
              <w:rPr>
                <w:sz w:val="20"/>
                <w:szCs w:val="20"/>
                <w:color w:val="auto"/>
              </w:rPr>
            </w:pPr>
            <w:r>
              <w:rPr>
                <w:rFonts w:ascii="Arial" w:cs="Arial" w:eastAsia="Arial" w:hAnsi="Arial"/>
                <w:sz w:val="18"/>
                <w:szCs w:val="18"/>
                <w:color w:val="auto"/>
              </w:rPr>
              <w:t>Proceeds from sales of investments in: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80" w:type="dxa"/>
            <w:vAlign w:val="bottom"/>
            <w:shd w:val="clear" w:color="auto" w:fill="CCFFCC"/>
          </w:tcPr>
          <w:p>
            <w:pPr>
              <w:ind w:left="50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4,500,000</w:t>
            </w:r>
          </w:p>
        </w:tc>
      </w:tr>
      <w:tr>
        <w:trPr>
          <w:trHeight w:val="216"/>
        </w:trPr>
        <w:tc>
          <w:tcPr>
            <w:tcW w:w="9480" w:type="dxa"/>
            <w:vAlign w:val="bottom"/>
          </w:tcPr>
          <w:p>
            <w:pPr>
              <w:ind w:left="180"/>
              <w:spacing w:after="0"/>
              <w:rPr>
                <w:sz w:val="20"/>
                <w:szCs w:val="20"/>
                <w:color w:val="auto"/>
              </w:rPr>
            </w:pPr>
            <w:r>
              <w:rPr>
                <w:rFonts w:ascii="Arial" w:cs="Arial" w:eastAsia="Arial" w:hAnsi="Arial"/>
                <w:sz w:val="18"/>
                <w:szCs w:val="18"/>
                <w:color w:val="auto"/>
              </w:rPr>
              <w:t>Increase in due from GSV Asset Management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(13,470)</w:t>
            </w:r>
          </w:p>
        </w:tc>
      </w:tr>
      <w:tr>
        <w:trPr>
          <w:trHeight w:val="216"/>
        </w:trPr>
        <w:tc>
          <w:tcPr>
            <w:tcW w:w="94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Increase in due from portfolio company</w:t>
            </w: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(9,249)</w:t>
            </w:r>
          </w:p>
        </w:tc>
      </w:tr>
      <w:tr>
        <w:trPr>
          <w:trHeight w:val="216"/>
        </w:trPr>
        <w:tc>
          <w:tcPr>
            <w:tcW w:w="9480" w:type="dxa"/>
            <w:vAlign w:val="bottom"/>
          </w:tcPr>
          <w:p>
            <w:pPr>
              <w:ind w:left="180"/>
              <w:spacing w:after="0"/>
              <w:rPr>
                <w:sz w:val="20"/>
                <w:szCs w:val="20"/>
                <w:color w:val="auto"/>
              </w:rPr>
            </w:pPr>
            <w:r>
              <w:rPr>
                <w:rFonts w:ascii="Arial" w:cs="Arial" w:eastAsia="Arial" w:hAnsi="Arial"/>
                <w:sz w:val="18"/>
                <w:szCs w:val="18"/>
                <w:color w:val="auto"/>
              </w:rPr>
              <w:t>Increase in accrued interest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(158,389)</w:t>
            </w:r>
          </w:p>
        </w:tc>
      </w:tr>
      <w:tr>
        <w:trPr>
          <w:trHeight w:val="216"/>
        </w:trPr>
        <w:tc>
          <w:tcPr>
            <w:tcW w:w="94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Increase in prepaid expenses</w:t>
            </w: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(92,750)</w:t>
            </w:r>
          </w:p>
        </w:tc>
      </w:tr>
      <w:tr>
        <w:trPr>
          <w:trHeight w:val="216"/>
        </w:trPr>
        <w:tc>
          <w:tcPr>
            <w:tcW w:w="9480" w:type="dxa"/>
            <w:vAlign w:val="bottom"/>
          </w:tcPr>
          <w:p>
            <w:pPr>
              <w:ind w:left="180"/>
              <w:spacing w:after="0"/>
              <w:rPr>
                <w:sz w:val="20"/>
                <w:szCs w:val="20"/>
                <w:color w:val="auto"/>
              </w:rPr>
            </w:pPr>
            <w:r>
              <w:rPr>
                <w:rFonts w:ascii="Arial" w:cs="Arial" w:eastAsia="Arial" w:hAnsi="Arial"/>
                <w:sz w:val="18"/>
                <w:szCs w:val="18"/>
                <w:color w:val="auto"/>
              </w:rPr>
              <w:t>Increase in dividend receivable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(1,063)</w:t>
            </w:r>
          </w:p>
        </w:tc>
      </w:tr>
      <w:tr>
        <w:trPr>
          <w:trHeight w:val="216"/>
        </w:trPr>
        <w:tc>
          <w:tcPr>
            <w:tcW w:w="94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Increase in other assets</w:t>
            </w: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(2,696)</w:t>
            </w:r>
          </w:p>
        </w:tc>
      </w:tr>
      <w:tr>
        <w:trPr>
          <w:trHeight w:val="216"/>
        </w:trPr>
        <w:tc>
          <w:tcPr>
            <w:tcW w:w="9480" w:type="dxa"/>
            <w:vAlign w:val="bottom"/>
          </w:tcPr>
          <w:p>
            <w:pPr>
              <w:ind w:left="180"/>
              <w:spacing w:after="0"/>
              <w:rPr>
                <w:sz w:val="20"/>
                <w:szCs w:val="20"/>
                <w:color w:val="auto"/>
              </w:rPr>
            </w:pPr>
            <w:r>
              <w:rPr>
                <w:rFonts w:ascii="Arial" w:cs="Arial" w:eastAsia="Arial" w:hAnsi="Arial"/>
                <w:sz w:val="18"/>
                <w:szCs w:val="18"/>
                <w:color w:val="auto"/>
              </w:rPr>
              <w:t>Increase in due to GSV Asset Management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78,427</w:t>
            </w:r>
          </w:p>
        </w:tc>
      </w:tr>
      <w:tr>
        <w:trPr>
          <w:trHeight w:val="216"/>
        </w:trPr>
        <w:tc>
          <w:tcPr>
            <w:tcW w:w="94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Increase in due to other affiliates</w:t>
            </w: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10,782</w:t>
            </w:r>
          </w:p>
        </w:tc>
      </w:tr>
      <w:tr>
        <w:trPr>
          <w:trHeight w:val="216"/>
        </w:trPr>
        <w:tc>
          <w:tcPr>
            <w:tcW w:w="9480" w:type="dxa"/>
            <w:vAlign w:val="bottom"/>
          </w:tcPr>
          <w:p>
            <w:pPr>
              <w:ind w:left="180"/>
              <w:spacing w:after="0"/>
              <w:rPr>
                <w:sz w:val="20"/>
                <w:szCs w:val="20"/>
                <w:color w:val="auto"/>
              </w:rPr>
            </w:pPr>
            <w:r>
              <w:rPr>
                <w:rFonts w:ascii="Arial" w:cs="Arial" w:eastAsia="Arial" w:hAnsi="Arial"/>
                <w:sz w:val="18"/>
                <w:szCs w:val="18"/>
                <w:color w:val="auto"/>
              </w:rPr>
              <w:t>Increase in accounts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149,921</w:t>
            </w:r>
          </w:p>
        </w:tc>
      </w:tr>
      <w:tr>
        <w:trPr>
          <w:trHeight w:val="216"/>
        </w:trPr>
        <w:tc>
          <w:tcPr>
            <w:tcW w:w="94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Increase in accrued expenses</w:t>
            </w:r>
          </w:p>
        </w:tc>
        <w:tc>
          <w:tcPr>
            <w:tcW w:w="2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10"/>
        </w:trPr>
        <w:tc>
          <w:tcPr>
            <w:tcW w:w="9480" w:type="dxa"/>
            <w:vAlign w:val="bottom"/>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(74,730,917)</w:t>
            </w:r>
          </w:p>
        </w:tc>
      </w:tr>
      <w:tr>
        <w:trPr>
          <w:trHeight w:val="210"/>
        </w:trPr>
        <w:tc>
          <w:tcPr>
            <w:tcW w:w="94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5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1175"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proceeds from common shares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Offering costs paid</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Increase in Cash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at End of Period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782"/>
        <w:spacing w:after="0"/>
        <w:rPr>
          <w:sz w:val="20"/>
          <w:szCs w:val="20"/>
          <w:color w:val="auto"/>
        </w:rPr>
      </w:pPr>
      <w:r>
        <w:rPr>
          <w:rFonts w:ascii="Arial" w:cs="Arial" w:eastAsia="Arial" w:hAnsi="Arial"/>
          <w:sz w:val="17"/>
          <w:szCs w:val="17"/>
          <w:color w:val="auto"/>
        </w:rPr>
        <w:t>76,175,200</w:t>
      </w:r>
    </w:p>
    <w:p>
      <w:pPr>
        <w:spacing w:after="0" w:line="3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(1,058,288)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75,116,912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10121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1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385,995</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002" w:hanging="1002"/>
        <w:spacing w:after="0"/>
        <w:tabs>
          <w:tab w:leader="none" w:pos="1002" w:val="left"/>
        </w:tabs>
        <w:numPr>
          <w:ilvl w:val="0"/>
          <w:numId w:val="34"/>
        </w:numPr>
        <w:rPr>
          <w:rFonts w:ascii="Arial" w:cs="Arial" w:eastAsia="Arial" w:hAnsi="Arial"/>
          <w:sz w:val="18"/>
          <w:szCs w:val="18"/>
          <w:color w:val="auto"/>
        </w:rPr>
      </w:pPr>
      <w:r>
        <w:rPr>
          <w:rFonts w:ascii="Arial" w:cs="Arial" w:eastAsia="Arial" w:hAnsi="Arial"/>
          <w:sz w:val="18"/>
          <w:szCs w:val="18"/>
          <w:color w:val="auto"/>
        </w:rPr>
        <w:t>385,995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10121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8998" w:space="720"/>
            <w:col w:w="1702"/>
          </w:cols>
          <w:pgMar w:left="240" w:top="1175" w:right="239" w:bottom="1440" w:gutter="0" w:footer="0" w:header="0"/>
          <w:type w:val="continuous"/>
        </w:sectPr>
      </w:pP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shd w:val="clear" w:color="auto" w:fill="CCFFCC"/>
          </w:tcPr>
          <w:p>
            <w:pPr>
              <w:spacing w:after="0"/>
              <w:rPr>
                <w:sz w:val="18"/>
                <w:szCs w:val="18"/>
                <w:color w:val="auto"/>
              </w:rPr>
            </w:pPr>
          </w:p>
        </w:tc>
        <w:tc>
          <w:tcPr>
            <w:tcW w:w="41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b w:val="1"/>
                <w:bCs w:val="1"/>
                <w:color w:val="auto"/>
              </w:rPr>
              <w:t>Non-Cash Items</w:t>
            </w:r>
          </w:p>
        </w:tc>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100" w:type="dxa"/>
            <w:vAlign w:val="bottom"/>
            <w:shd w:val="clear" w:color="auto" w:fill="CCFFCC"/>
          </w:tcPr>
          <w:p>
            <w:pPr>
              <w:spacing w:after="0"/>
              <w:rPr>
                <w:sz w:val="20"/>
                <w:szCs w:val="20"/>
                <w:color w:val="auto"/>
              </w:rPr>
            </w:pPr>
            <w:r>
              <w:rPr>
                <w:rFonts w:ascii="Arial" w:cs="Arial" w:eastAsia="Arial" w:hAnsi="Arial"/>
                <w:sz w:val="18"/>
                <w:szCs w:val="18"/>
                <w:color w:val="auto"/>
              </w:rPr>
              <w:t>Increase in deferred offering costs</w:t>
            </w:r>
          </w:p>
        </w:tc>
        <w:tc>
          <w:tcPr>
            <w:tcW w:w="418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(56,436)</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Increase in accounts payable</w:t>
            </w:r>
          </w:p>
        </w:tc>
        <w:tc>
          <w:tcPr>
            <w:tcW w:w="41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56,436</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Shares / Par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gridSpan w:val="12"/>
          </w:tcPr>
          <w:p>
            <w:pPr>
              <w:ind w:left="560"/>
              <w:spacing w:after="0"/>
              <w:rPr>
                <w:sz w:val="20"/>
                <w:szCs w:val="20"/>
                <w:color w:val="auto"/>
              </w:rPr>
            </w:pPr>
            <w:r>
              <w:rPr>
                <w:rFonts w:ascii="Arial" w:cs="Arial" w:eastAsia="Arial" w:hAnsi="Arial"/>
                <w:sz w:val="18"/>
                <w:szCs w:val="18"/>
                <w:b w:val="1"/>
                <w:bCs w:val="1"/>
                <w:color w:val="auto"/>
              </w:rPr>
              <w:t>Portfolio Investments*</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3"/>
              </w:rPr>
              <w:t>Headquarters / Industry</w:t>
            </w:r>
          </w:p>
        </w:tc>
        <w:tc>
          <w:tcPr>
            <w:tcW w:w="48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9"/>
              </w:rPr>
              <w:t>% of Net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00" w:type="dxa"/>
            <w:vAlign w:val="bottom"/>
            <w:tcBorders>
              <w:bottom w:val="single" w:sz="8" w:color="auto"/>
            </w:tcBorders>
            <w:gridSpan w:val="11"/>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0"/>
              </w:rPr>
              <w:t>Bloom Energy Corporation</w:t>
            </w:r>
          </w:p>
        </w:tc>
        <w:tc>
          <w:tcPr>
            <w:tcW w:w="920" w:type="dxa"/>
            <w:vAlign w:val="bottom"/>
            <w:tcBorders>
              <w:bottom w:val="single" w:sz="8" w:color="CCFFCC"/>
            </w:tcBorders>
            <w:shd w:val="clear" w:color="auto" w:fill="CCFFCC"/>
          </w:tcPr>
          <w:p>
            <w:pPr>
              <w:spacing w:after="0"/>
              <w:rPr>
                <w:sz w:val="17"/>
                <w:szCs w:val="17"/>
                <w:color w:val="auto"/>
              </w:rPr>
            </w:pPr>
          </w:p>
        </w:tc>
        <w:tc>
          <w:tcPr>
            <w:tcW w:w="2580" w:type="dxa"/>
            <w:vAlign w:val="bottom"/>
            <w:tcBorders>
              <w:bottom w:val="single" w:sz="8" w:color="CCFFCC"/>
            </w:tcBorders>
            <w:shd w:val="clear" w:color="auto" w:fill="CCFFCC"/>
          </w:tcPr>
          <w:p>
            <w:pPr>
              <w:jc w:val="center"/>
              <w:spacing w:after="0" w:line="176" w:lineRule="exact"/>
              <w:rPr>
                <w:sz w:val="20"/>
                <w:szCs w:val="20"/>
                <w:color w:val="auto"/>
              </w:rPr>
            </w:pPr>
            <w:r>
              <w:rPr>
                <w:rFonts w:ascii="Arial" w:cs="Arial" w:eastAsia="Arial" w:hAnsi="Arial"/>
                <w:sz w:val="18"/>
                <w:szCs w:val="18"/>
                <w:color w:val="auto"/>
                <w:w w:val="92"/>
              </w:rPr>
              <w:t>Sunnyvale, CA</w:t>
            </w:r>
          </w:p>
        </w:tc>
        <w:tc>
          <w:tcPr>
            <w:tcW w:w="480" w:type="dxa"/>
            <w:vAlign w:val="bottom"/>
            <w:tcBorders>
              <w:bottom w:val="single" w:sz="8" w:color="CCFFCC"/>
            </w:tcBorders>
            <w:shd w:val="clear" w:color="auto" w:fill="CCFFCC"/>
          </w:tcPr>
          <w:p>
            <w:pPr>
              <w:spacing w:after="0"/>
              <w:rPr>
                <w:sz w:val="17"/>
                <w:szCs w:val="17"/>
                <w:color w:val="auto"/>
              </w:rPr>
            </w:pPr>
          </w:p>
        </w:tc>
        <w:tc>
          <w:tcPr>
            <w:tcW w:w="114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98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108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6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12"/>
          </w:tcPr>
          <w:p>
            <w:pPr>
              <w:spacing w:after="0"/>
              <w:rPr>
                <w:sz w:val="20"/>
                <w:szCs w:val="20"/>
                <w:color w:val="auto"/>
              </w:rPr>
            </w:pPr>
            <w:r>
              <w:rPr>
                <w:rFonts w:ascii="Arial" w:cs="Arial" w:eastAsia="Arial" w:hAnsi="Arial"/>
                <w:sz w:val="18"/>
                <w:szCs w:val="18"/>
                <w:color w:val="auto"/>
              </w:rPr>
              <w:t>Common shares</w:t>
            </w: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Fuel Cell Energy</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96,389</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1,815,818</w:t>
            </w:r>
          </w:p>
        </w:tc>
        <w:tc>
          <w:tcPr>
            <w:tcW w:w="6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1,771,335</w:t>
            </w:r>
          </w:p>
        </w:tc>
        <w:tc>
          <w:tcPr>
            <w:tcW w:w="1260" w:type="dxa"/>
            <w:vAlign w:val="bottom"/>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20" w:type="dxa"/>
            <w:vAlign w:val="bottom"/>
            <w:gridSpan w:val="12"/>
          </w:tcPr>
          <w:p>
            <w:pPr>
              <w:spacing w:after="0" w:line="176" w:lineRule="exact"/>
              <w:rPr>
                <w:sz w:val="20"/>
                <w:szCs w:val="20"/>
                <w:color w:val="auto"/>
              </w:rPr>
            </w:pPr>
            <w:r>
              <w:rPr>
                <w:rFonts w:ascii="Arial" w:cs="Arial" w:eastAsia="Arial" w:hAnsi="Arial"/>
                <w:sz w:val="18"/>
                <w:szCs w:val="18"/>
                <w:b w:val="1"/>
                <w:bCs w:val="1"/>
                <w:color w:val="auto"/>
              </w:rPr>
              <w:t>Chegg, Inc.</w:t>
            </w:r>
          </w:p>
        </w:tc>
        <w:tc>
          <w:tcPr>
            <w:tcW w:w="2580" w:type="dxa"/>
            <w:vAlign w:val="bottom"/>
          </w:tcPr>
          <w:p>
            <w:pPr>
              <w:jc w:val="center"/>
              <w:spacing w:after="0" w:line="176" w:lineRule="exact"/>
              <w:rPr>
                <w:sz w:val="20"/>
                <w:szCs w:val="20"/>
                <w:color w:val="auto"/>
              </w:rPr>
            </w:pPr>
            <w:r>
              <w:rPr>
                <w:rFonts w:ascii="Arial" w:cs="Arial" w:eastAsia="Arial" w:hAnsi="Arial"/>
                <w:sz w:val="18"/>
                <w:szCs w:val="18"/>
                <w:color w:val="auto"/>
                <w:w w:val="90"/>
              </w:rPr>
              <w:t>Santa Clara, CA</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12"/>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5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Textbook Rental</w:t>
            </w:r>
          </w:p>
        </w:tc>
        <w:tc>
          <w:tcPr>
            <w:tcW w:w="48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774,193</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6,003,694</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5,999,996</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tcBorders>
              <w:bottom w:val="single" w:sz="8" w:color="auto"/>
            </w:tcBorders>
            <w:gridSpan w:val="5"/>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0"/>
              </w:rPr>
              <w:t>Control 4 Inc.</w:t>
            </w:r>
          </w:p>
        </w:tc>
        <w:tc>
          <w:tcPr>
            <w:tcW w:w="1960" w:type="dxa"/>
            <w:vAlign w:val="bottom"/>
            <w:tcBorders>
              <w:bottom w:val="single" w:sz="8" w:color="CCFFCC"/>
            </w:tcBorders>
            <w:gridSpan w:val="7"/>
            <w:shd w:val="clear" w:color="auto" w:fill="CCFFCC"/>
          </w:tcPr>
          <w:p>
            <w:pPr>
              <w:spacing w:after="0"/>
              <w:rPr>
                <w:sz w:val="17"/>
                <w:szCs w:val="17"/>
                <w:color w:val="auto"/>
              </w:rPr>
            </w:pPr>
          </w:p>
        </w:tc>
        <w:tc>
          <w:tcPr>
            <w:tcW w:w="2580" w:type="dxa"/>
            <w:vAlign w:val="bottom"/>
            <w:tcBorders>
              <w:bottom w:val="single" w:sz="8" w:color="CCFFCC"/>
            </w:tcBorders>
            <w:shd w:val="clear" w:color="auto" w:fill="CCFFCC"/>
          </w:tcPr>
          <w:p>
            <w:pPr>
              <w:jc w:val="center"/>
              <w:spacing w:after="0" w:line="176" w:lineRule="exact"/>
              <w:rPr>
                <w:sz w:val="20"/>
                <w:szCs w:val="20"/>
                <w:color w:val="auto"/>
              </w:rPr>
            </w:pPr>
            <w:r>
              <w:rPr>
                <w:rFonts w:ascii="Arial" w:cs="Arial" w:eastAsia="Arial" w:hAnsi="Arial"/>
                <w:sz w:val="18"/>
                <w:szCs w:val="18"/>
                <w:color w:val="auto"/>
                <w:w w:val="93"/>
              </w:rPr>
              <w:t>Salt Lake City, UT</w:t>
            </w:r>
          </w:p>
        </w:tc>
        <w:tc>
          <w:tcPr>
            <w:tcW w:w="480" w:type="dxa"/>
            <w:vAlign w:val="bottom"/>
            <w:tcBorders>
              <w:bottom w:val="single" w:sz="8" w:color="CCFFCC"/>
            </w:tcBorders>
            <w:shd w:val="clear" w:color="auto" w:fill="CCFFCC"/>
          </w:tcPr>
          <w:p>
            <w:pPr>
              <w:spacing w:after="0"/>
              <w:rPr>
                <w:sz w:val="17"/>
                <w:szCs w:val="17"/>
                <w:color w:val="auto"/>
              </w:rPr>
            </w:pPr>
          </w:p>
        </w:tc>
        <w:tc>
          <w:tcPr>
            <w:tcW w:w="114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98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108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6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12"/>
          </w:tcPr>
          <w:p>
            <w:pPr>
              <w:spacing w:after="0"/>
              <w:rPr>
                <w:sz w:val="20"/>
                <w:szCs w:val="20"/>
                <w:color w:val="auto"/>
              </w:rPr>
            </w:pPr>
            <w:r>
              <w:rPr>
                <w:rFonts w:ascii="Arial" w:cs="Arial" w:eastAsia="Arial" w:hAnsi="Arial"/>
                <w:sz w:val="18"/>
                <w:szCs w:val="18"/>
                <w:color w:val="auto"/>
              </w:rPr>
              <w:t>Common shares</w:t>
            </w:r>
          </w:p>
        </w:tc>
        <w:tc>
          <w:tcPr>
            <w:tcW w:w="2580" w:type="dxa"/>
            <w:vAlign w:val="bottom"/>
          </w:tcPr>
          <w:p>
            <w:pPr>
              <w:jc w:val="center"/>
              <w:spacing w:after="0"/>
              <w:rPr>
                <w:sz w:val="20"/>
                <w:szCs w:val="20"/>
                <w:color w:val="auto"/>
              </w:rPr>
            </w:pPr>
            <w:r>
              <w:rPr>
                <w:rFonts w:ascii="Arial" w:cs="Arial" w:eastAsia="Arial" w:hAnsi="Arial"/>
                <w:sz w:val="18"/>
                <w:szCs w:val="18"/>
                <w:color w:val="auto"/>
                <w:w w:val="92"/>
              </w:rPr>
              <w:t>Home Automation</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666,667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1,034,827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126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20" w:type="dxa"/>
            <w:vAlign w:val="bottom"/>
            <w:gridSpan w:val="12"/>
          </w:tcPr>
          <w:p>
            <w:pPr>
              <w:spacing w:after="0" w:line="176" w:lineRule="exact"/>
              <w:rPr>
                <w:sz w:val="20"/>
                <w:szCs w:val="20"/>
                <w:color w:val="auto"/>
              </w:rPr>
            </w:pPr>
            <w:r>
              <w:rPr>
                <w:rFonts w:ascii="Arial" w:cs="Arial" w:eastAsia="Arial" w:hAnsi="Arial"/>
                <w:sz w:val="18"/>
                <w:szCs w:val="18"/>
                <w:b w:val="1"/>
                <w:bCs w:val="1"/>
                <w:color w:val="auto"/>
              </w:rPr>
              <w:t>DreamBox Learning, Inc.</w:t>
            </w:r>
          </w:p>
        </w:tc>
        <w:tc>
          <w:tcPr>
            <w:tcW w:w="2580" w:type="dxa"/>
            <w:vAlign w:val="bottom"/>
          </w:tcPr>
          <w:p>
            <w:pPr>
              <w:jc w:val="center"/>
              <w:spacing w:after="0" w:line="176" w:lineRule="exact"/>
              <w:rPr>
                <w:sz w:val="20"/>
                <w:szCs w:val="20"/>
                <w:color w:val="auto"/>
              </w:rPr>
            </w:pPr>
            <w:r>
              <w:rPr>
                <w:rFonts w:ascii="Arial" w:cs="Arial" w:eastAsia="Arial" w:hAnsi="Arial"/>
                <w:sz w:val="18"/>
                <w:szCs w:val="18"/>
                <w:color w:val="auto"/>
                <w:w w:val="92"/>
              </w:rPr>
              <w:t>Bellevue, WA</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12"/>
            <w:shd w:val="clear" w:color="auto" w:fill="CCFFCC"/>
          </w:tcPr>
          <w:p>
            <w:pPr>
              <w:spacing w:after="0"/>
              <w:rPr>
                <w:sz w:val="20"/>
                <w:szCs w:val="20"/>
                <w:color w:val="auto"/>
              </w:rPr>
            </w:pPr>
            <w:r>
              <w:rPr>
                <w:rFonts w:ascii="Arial" w:cs="Arial" w:eastAsia="Arial" w:hAnsi="Arial"/>
                <w:sz w:val="18"/>
                <w:szCs w:val="18"/>
                <w:color w:val="auto"/>
              </w:rPr>
              <w:t>Preferred shares, Series A</w:t>
            </w:r>
          </w:p>
        </w:tc>
        <w:tc>
          <w:tcPr>
            <w:tcW w:w="25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Education Technology</w:t>
            </w:r>
          </w:p>
        </w:tc>
        <w:tc>
          <w:tcPr>
            <w:tcW w:w="48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3,579,610</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757,955</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750,000</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20" w:type="dxa"/>
            <w:vAlign w:val="bottom"/>
            <w:gridSpan w:val="12"/>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Dropbox, Inc.</w:t>
            </w:r>
          </w:p>
        </w:tc>
        <w:tc>
          <w:tcPr>
            <w:tcW w:w="258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0"/>
              </w:rPr>
              <w:t>San Francisco, CA</w:t>
            </w:r>
          </w:p>
        </w:tc>
        <w:tc>
          <w:tcPr>
            <w:tcW w:w="48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260" w:type="dxa"/>
            <w:vAlign w:val="bottom"/>
            <w:shd w:val="clear" w:color="auto" w:fill="CCFF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258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12"/>
          </w:tcPr>
          <w:p>
            <w:pPr>
              <w:spacing w:after="0"/>
              <w:rPr>
                <w:sz w:val="20"/>
                <w:szCs w:val="20"/>
                <w:color w:val="auto"/>
              </w:rPr>
            </w:pPr>
            <w:r>
              <w:rPr>
                <w:rFonts w:ascii="Arial" w:cs="Arial" w:eastAsia="Arial" w:hAnsi="Arial"/>
                <w:sz w:val="18"/>
                <w:szCs w:val="18"/>
                <w:color w:val="auto"/>
              </w:rPr>
              <w:t>Preferred shares, Series A</w:t>
            </w: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Online Storage</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552,486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5,015,333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4,999,998</w:t>
            </w:r>
          </w:p>
        </w:tc>
        <w:tc>
          <w:tcPr>
            <w:tcW w:w="1260" w:type="dxa"/>
            <w:vAlign w:val="bottom"/>
          </w:tcPr>
          <w:p>
            <w:pPr>
              <w:jc w:val="right"/>
              <w:spacing w:after="0"/>
              <w:rPr>
                <w:sz w:val="20"/>
                <w:szCs w:val="20"/>
                <w:color w:val="auto"/>
              </w:rPr>
            </w:pPr>
            <w:r>
              <w:rPr>
                <w:rFonts w:ascii="Arial" w:cs="Arial" w:eastAsia="Arial" w:hAnsi="Arial"/>
                <w:sz w:val="18"/>
                <w:szCs w:val="18"/>
                <w:color w:val="auto"/>
              </w:rPr>
              <w:t>6.99%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20" w:type="dxa"/>
            <w:vAlign w:val="bottom"/>
            <w:gridSpan w:val="12"/>
          </w:tcPr>
          <w:p>
            <w:pPr>
              <w:spacing w:after="0" w:line="176" w:lineRule="exact"/>
              <w:rPr>
                <w:sz w:val="20"/>
                <w:szCs w:val="20"/>
                <w:color w:val="auto"/>
              </w:rPr>
            </w:pPr>
            <w:r>
              <w:rPr>
                <w:rFonts w:ascii="Arial" w:cs="Arial" w:eastAsia="Arial" w:hAnsi="Arial"/>
                <w:sz w:val="18"/>
                <w:szCs w:val="18"/>
                <w:b w:val="1"/>
                <w:bCs w:val="1"/>
                <w:color w:val="auto"/>
              </w:rPr>
              <w:t>Facebook, Inc.</w:t>
            </w:r>
          </w:p>
        </w:tc>
        <w:tc>
          <w:tcPr>
            <w:tcW w:w="2580" w:type="dxa"/>
            <w:vAlign w:val="bottom"/>
          </w:tcPr>
          <w:p>
            <w:pPr>
              <w:jc w:val="center"/>
              <w:spacing w:after="0" w:line="176" w:lineRule="exact"/>
              <w:rPr>
                <w:sz w:val="20"/>
                <w:szCs w:val="20"/>
                <w:color w:val="auto"/>
              </w:rPr>
            </w:pPr>
            <w:r>
              <w:rPr>
                <w:rFonts w:ascii="Arial" w:cs="Arial" w:eastAsia="Arial" w:hAnsi="Arial"/>
                <w:sz w:val="18"/>
                <w:szCs w:val="18"/>
                <w:color w:val="auto"/>
                <w:w w:val="95"/>
              </w:rPr>
              <w:t>Palo Alto, CA</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12"/>
            <w:shd w:val="clear" w:color="auto" w:fill="CCFFCC"/>
          </w:tcPr>
          <w:p>
            <w:pPr>
              <w:spacing w:after="0"/>
              <w:rPr>
                <w:sz w:val="20"/>
                <w:szCs w:val="20"/>
                <w:color w:val="auto"/>
              </w:rPr>
            </w:pPr>
            <w:r>
              <w:rPr>
                <w:rFonts w:ascii="Arial" w:cs="Arial" w:eastAsia="Arial" w:hAnsi="Arial"/>
                <w:sz w:val="18"/>
                <w:szCs w:val="18"/>
                <w:color w:val="auto"/>
              </w:rPr>
              <w:t>Common shares, Class B</w:t>
            </w:r>
          </w:p>
        </w:tc>
        <w:tc>
          <w:tcPr>
            <w:tcW w:w="25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4"/>
              </w:rPr>
              <w:t>Social Networking</w:t>
            </w:r>
          </w:p>
        </w:tc>
        <w:tc>
          <w:tcPr>
            <w:tcW w:w="48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350,000</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10,465,981</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10,462,500</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20" w:type="dxa"/>
            <w:vAlign w:val="bottom"/>
            <w:gridSpan w:val="12"/>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Gilt Groupe, Inc.</w:t>
            </w:r>
          </w:p>
        </w:tc>
        <w:tc>
          <w:tcPr>
            <w:tcW w:w="258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5"/>
              </w:rPr>
              <w:t>New York, NY</w:t>
            </w:r>
          </w:p>
        </w:tc>
        <w:tc>
          <w:tcPr>
            <w:tcW w:w="48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Borders>
              <w:top w:val="single" w:sz="8" w:color="auto"/>
            </w:tcBorders>
            <w:gridSpan w:val="8"/>
          </w:tcPr>
          <w:p>
            <w:pPr>
              <w:spacing w:after="0" w:line="201" w:lineRule="exact"/>
              <w:rPr>
                <w:sz w:val="20"/>
                <w:szCs w:val="20"/>
                <w:color w:val="auto"/>
              </w:rPr>
            </w:pPr>
            <w:r>
              <w:rPr>
                <w:rFonts w:ascii="Arial" w:cs="Arial" w:eastAsia="Arial" w:hAnsi="Arial"/>
                <w:sz w:val="18"/>
                <w:szCs w:val="18"/>
                <w:color w:val="auto"/>
                <w:w w:val="96"/>
              </w:rPr>
              <w:t>Common shares</w:t>
            </w:r>
          </w:p>
        </w:tc>
        <w:tc>
          <w:tcPr>
            <w:tcW w:w="1720" w:type="dxa"/>
            <w:vAlign w:val="bottom"/>
            <w:tcBorders>
              <w:top w:val="single" w:sz="8" w:color="CCFFCC"/>
            </w:tcBorders>
            <w:gridSpan w:val="4"/>
          </w:tcPr>
          <w:p>
            <w:pPr>
              <w:spacing w:after="0"/>
              <w:rPr>
                <w:sz w:val="17"/>
                <w:szCs w:val="17"/>
                <w:color w:val="auto"/>
              </w:rPr>
            </w:pPr>
          </w:p>
        </w:tc>
        <w:tc>
          <w:tcPr>
            <w:tcW w:w="2580" w:type="dxa"/>
            <w:vAlign w:val="bottom"/>
            <w:tcBorders>
              <w:top w:val="single" w:sz="8" w:color="CCFFCC"/>
            </w:tcBorders>
          </w:tcPr>
          <w:p>
            <w:pPr>
              <w:jc w:val="center"/>
              <w:spacing w:after="0" w:line="201" w:lineRule="exact"/>
              <w:rPr>
                <w:sz w:val="20"/>
                <w:szCs w:val="20"/>
                <w:color w:val="auto"/>
              </w:rPr>
            </w:pPr>
            <w:r>
              <w:rPr>
                <w:rFonts w:ascii="Arial" w:cs="Arial" w:eastAsia="Arial" w:hAnsi="Arial"/>
                <w:sz w:val="18"/>
                <w:szCs w:val="18"/>
                <w:color w:val="auto"/>
                <w:w w:val="88"/>
              </w:rPr>
              <w:t>e-Commerce</w:t>
            </w:r>
          </w:p>
        </w:tc>
        <w:tc>
          <w:tcPr>
            <w:tcW w:w="480" w:type="dxa"/>
            <w:vAlign w:val="bottom"/>
            <w:tcBorders>
              <w:top w:val="single" w:sz="8" w:color="CCFFCC"/>
            </w:tcBorders>
          </w:tcPr>
          <w:p>
            <w:pPr>
              <w:spacing w:after="0"/>
              <w:rPr>
                <w:sz w:val="17"/>
                <w:szCs w:val="17"/>
                <w:color w:val="auto"/>
              </w:rPr>
            </w:pPr>
          </w:p>
        </w:tc>
        <w:tc>
          <w:tcPr>
            <w:tcW w:w="114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980" w:type="dxa"/>
            <w:vAlign w:val="bottom"/>
            <w:tcBorders>
              <w:top w:val="single" w:sz="8" w:color="CCFFCC"/>
            </w:tcBorders>
          </w:tcPr>
          <w:p>
            <w:pPr>
              <w:spacing w:after="0"/>
              <w:rPr>
                <w:sz w:val="17"/>
                <w:szCs w:val="17"/>
                <w:color w:val="auto"/>
              </w:rPr>
            </w:pPr>
          </w:p>
        </w:tc>
        <w:tc>
          <w:tcPr>
            <w:tcW w:w="6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1080" w:type="dxa"/>
            <w:vAlign w:val="bottom"/>
            <w:tcBorders>
              <w:top w:val="single" w:sz="8" w:color="CCFFCC"/>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260" w:type="dxa"/>
            <w:vAlign w:val="bottom"/>
            <w:tcBorders>
              <w:top w:val="single" w:sz="8" w:color="CCFFC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7"/>
              </w:rPr>
              <w:t>Flash Sales</w:t>
            </w:r>
          </w:p>
        </w:tc>
        <w:tc>
          <w:tcPr>
            <w:tcW w:w="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203,100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5,576,979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5,499,250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20" w:type="dxa"/>
            <w:vAlign w:val="bottom"/>
            <w:gridSpan w:val="12"/>
          </w:tcPr>
          <w:p>
            <w:pPr>
              <w:spacing w:after="0" w:line="176" w:lineRule="exact"/>
              <w:rPr>
                <w:sz w:val="20"/>
                <w:szCs w:val="20"/>
                <w:color w:val="auto"/>
              </w:rPr>
            </w:pPr>
            <w:r>
              <w:rPr>
                <w:rFonts w:ascii="Arial" w:cs="Arial" w:eastAsia="Arial" w:hAnsi="Arial"/>
                <w:sz w:val="18"/>
                <w:szCs w:val="18"/>
                <w:b w:val="1"/>
                <w:bCs w:val="1"/>
                <w:color w:val="auto"/>
              </w:rPr>
              <w:t>Grockit, Inc.</w:t>
            </w:r>
          </w:p>
        </w:tc>
        <w:tc>
          <w:tcPr>
            <w:tcW w:w="2580" w:type="dxa"/>
            <w:vAlign w:val="bottom"/>
          </w:tcPr>
          <w:p>
            <w:pPr>
              <w:jc w:val="center"/>
              <w:spacing w:after="0" w:line="176" w:lineRule="exact"/>
              <w:rPr>
                <w:sz w:val="20"/>
                <w:szCs w:val="20"/>
                <w:color w:val="auto"/>
              </w:rPr>
            </w:pPr>
            <w:r>
              <w:rPr>
                <w:rFonts w:ascii="Arial" w:cs="Arial" w:eastAsia="Arial" w:hAnsi="Arial"/>
                <w:sz w:val="18"/>
                <w:szCs w:val="18"/>
                <w:color w:val="auto"/>
                <w:w w:val="90"/>
              </w:rPr>
              <w:t>San Francisco, CA</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gridSpan w:val="12"/>
            <w:shd w:val="clear" w:color="auto" w:fill="CCFFCC"/>
          </w:tcPr>
          <w:p>
            <w:pPr>
              <w:spacing w:after="0" w:line="201" w:lineRule="exact"/>
              <w:rPr>
                <w:sz w:val="20"/>
                <w:szCs w:val="20"/>
                <w:color w:val="auto"/>
              </w:rPr>
            </w:pPr>
            <w:r>
              <w:rPr>
                <w:rFonts w:ascii="Arial" w:cs="Arial" w:eastAsia="Arial" w:hAnsi="Arial"/>
                <w:sz w:val="18"/>
                <w:szCs w:val="18"/>
                <w:color w:val="auto"/>
              </w:rPr>
              <w:t>Preferred shares, Series B</w:t>
            </w:r>
          </w:p>
        </w:tc>
        <w:tc>
          <w:tcPr>
            <w:tcW w:w="258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1"/>
              </w:rPr>
              <w:t>Online Test</w:t>
            </w:r>
          </w:p>
        </w:tc>
        <w:tc>
          <w:tcPr>
            <w:tcW w:w="48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25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Preparation</w:t>
            </w:r>
          </w:p>
        </w:tc>
        <w:tc>
          <w:tcPr>
            <w:tcW w:w="48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2,728,252</w:t>
            </w:r>
          </w:p>
        </w:tc>
        <w:tc>
          <w:tcPr>
            <w:tcW w:w="1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2,005,945</w:t>
            </w: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2,000,000</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12"/>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Groupon, Inc. </w:t>
            </w:r>
            <w:r>
              <w:rPr>
                <w:rFonts w:ascii="Arial" w:cs="Arial" w:eastAsia="Arial" w:hAnsi="Arial"/>
                <w:sz w:val="25"/>
                <w:szCs w:val="25"/>
                <w:b w:val="1"/>
                <w:bCs w:val="1"/>
                <w:color w:val="auto"/>
                <w:vertAlign w:val="superscript"/>
              </w:rPr>
              <w:t>(2)</w:t>
            </w:r>
          </w:p>
        </w:tc>
        <w:tc>
          <w:tcPr>
            <w:tcW w:w="25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4"/>
              </w:rPr>
              <w:t>Chicago, IL</w:t>
            </w:r>
          </w:p>
        </w:tc>
        <w:tc>
          <w:tcPr>
            <w:tcW w:w="4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258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12"/>
          </w:tcPr>
          <w:p>
            <w:pPr>
              <w:spacing w:after="0"/>
              <w:rPr>
                <w:sz w:val="20"/>
                <w:szCs w:val="20"/>
                <w:color w:val="auto"/>
              </w:rPr>
            </w:pPr>
            <w:r>
              <w:rPr>
                <w:rFonts w:ascii="Arial" w:cs="Arial" w:eastAsia="Arial" w:hAnsi="Arial"/>
                <w:sz w:val="18"/>
                <w:szCs w:val="18"/>
                <w:color w:val="auto"/>
              </w:rPr>
              <w:t>Common shares</w:t>
            </w: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Online Deals</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2,128,585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1,188,288</w:t>
            </w:r>
          </w:p>
        </w:tc>
        <w:tc>
          <w:tcPr>
            <w:tcW w:w="126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20" w:type="dxa"/>
            <w:vAlign w:val="bottom"/>
            <w:gridSpan w:val="12"/>
          </w:tcPr>
          <w:p>
            <w:pPr>
              <w:spacing w:after="0" w:line="176" w:lineRule="exact"/>
              <w:rPr>
                <w:sz w:val="20"/>
                <w:szCs w:val="20"/>
                <w:color w:val="auto"/>
              </w:rPr>
            </w:pPr>
            <w:r>
              <w:rPr>
                <w:rFonts w:ascii="Arial" w:cs="Arial" w:eastAsia="Arial" w:hAnsi="Arial"/>
                <w:sz w:val="18"/>
                <w:szCs w:val="18"/>
                <w:b w:val="1"/>
                <w:bCs w:val="1"/>
                <w:color w:val="auto"/>
              </w:rPr>
              <w:t>Kno, Inc.</w:t>
            </w:r>
          </w:p>
        </w:tc>
        <w:tc>
          <w:tcPr>
            <w:tcW w:w="2580" w:type="dxa"/>
            <w:vAlign w:val="bottom"/>
          </w:tcPr>
          <w:p>
            <w:pPr>
              <w:jc w:val="center"/>
              <w:spacing w:after="0" w:line="176" w:lineRule="exact"/>
              <w:rPr>
                <w:sz w:val="20"/>
                <w:szCs w:val="20"/>
                <w:color w:val="auto"/>
              </w:rPr>
            </w:pPr>
            <w:r>
              <w:rPr>
                <w:rFonts w:ascii="Arial" w:cs="Arial" w:eastAsia="Arial" w:hAnsi="Arial"/>
                <w:sz w:val="18"/>
                <w:szCs w:val="18"/>
                <w:color w:val="auto"/>
                <w:w w:val="90"/>
              </w:rPr>
              <w:t>Santa Clara, CA</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12"/>
            <w:shd w:val="clear" w:color="auto" w:fill="CCFFCC"/>
          </w:tcPr>
          <w:p>
            <w:pPr>
              <w:spacing w:after="0"/>
              <w:rPr>
                <w:sz w:val="20"/>
                <w:szCs w:val="20"/>
                <w:color w:val="auto"/>
              </w:rPr>
            </w:pPr>
            <w:r>
              <w:rPr>
                <w:rFonts w:ascii="Arial" w:cs="Arial" w:eastAsia="Arial" w:hAnsi="Arial"/>
                <w:sz w:val="18"/>
                <w:szCs w:val="18"/>
                <w:color w:val="auto"/>
              </w:rPr>
              <w:t>Preferred shares, Series C</w:t>
            </w:r>
          </w:p>
        </w:tc>
        <w:tc>
          <w:tcPr>
            <w:tcW w:w="25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Digital</w:t>
            </w:r>
          </w:p>
        </w:tc>
        <w:tc>
          <w:tcPr>
            <w:tcW w:w="48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440,313</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2,262,006</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2,250,000</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12"/>
          </w:tcPr>
          <w:p>
            <w:pPr>
              <w:spacing w:after="0"/>
              <w:rPr>
                <w:sz w:val="20"/>
                <w:szCs w:val="20"/>
                <w:color w:val="auto"/>
              </w:rPr>
            </w:pPr>
            <w:r>
              <w:rPr>
                <w:rFonts w:ascii="Arial" w:cs="Arial" w:eastAsia="Arial" w:hAnsi="Arial"/>
                <w:sz w:val="18"/>
                <w:szCs w:val="18"/>
                <w:color w:val="auto"/>
              </w:rPr>
              <w:t>Common shares</w:t>
            </w: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Textbooks</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214,303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205,000</w:t>
            </w:r>
          </w:p>
        </w:tc>
        <w:tc>
          <w:tcPr>
            <w:tcW w:w="1260" w:type="dxa"/>
            <w:vAlign w:val="bottom"/>
          </w:tcPr>
          <w:p>
            <w:pPr>
              <w:jc w:val="right"/>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FFCC"/>
            </w:tcBorders>
            <w:gridSpan w:val="12"/>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2580" w:type="dxa"/>
            <w:vAlign w:val="bottom"/>
            <w:tcBorders>
              <w:top w:val="single" w:sz="8" w:color="CCFFCC"/>
            </w:tcBorders>
            <w:shd w:val="clear" w:color="auto" w:fill="CCFFCC"/>
          </w:tcPr>
          <w:p>
            <w:pPr>
              <w:spacing w:after="0"/>
              <w:rPr>
                <w:sz w:val="18"/>
                <w:szCs w:val="18"/>
                <w:color w:val="auto"/>
              </w:rPr>
            </w:pPr>
          </w:p>
        </w:tc>
        <w:tc>
          <w:tcPr>
            <w:tcW w:w="48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2,476,309</w:t>
            </w:r>
          </w:p>
        </w:tc>
        <w:tc>
          <w:tcPr>
            <w:tcW w:w="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2,455,000</w:t>
            </w:r>
          </w:p>
        </w:tc>
        <w:tc>
          <w:tcPr>
            <w:tcW w:w="2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12"/>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PJB Fund LLC </w:t>
            </w:r>
            <w:r>
              <w:rPr>
                <w:rFonts w:ascii="Arial" w:cs="Arial" w:eastAsia="Arial" w:hAnsi="Arial"/>
                <w:sz w:val="25"/>
                <w:szCs w:val="25"/>
                <w:b w:val="1"/>
                <w:bCs w:val="1"/>
                <w:color w:val="auto"/>
                <w:vertAlign w:val="superscript"/>
              </w:rPr>
              <w:t>(1) (3)</w:t>
            </w:r>
          </w:p>
        </w:tc>
        <w:tc>
          <w:tcPr>
            <w:tcW w:w="25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San Francisco, CA</w:t>
            </w:r>
          </w:p>
        </w:tc>
        <w:tc>
          <w:tcPr>
            <w:tcW w:w="4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258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12"/>
          </w:tcPr>
          <w:p>
            <w:pPr>
              <w:spacing w:after="0"/>
              <w:rPr>
                <w:sz w:val="20"/>
                <w:szCs w:val="20"/>
                <w:color w:val="auto"/>
              </w:rPr>
            </w:pPr>
            <w:r>
              <w:rPr>
                <w:rFonts w:ascii="Arial" w:cs="Arial" w:eastAsia="Arial" w:hAnsi="Arial"/>
                <w:sz w:val="18"/>
                <w:szCs w:val="18"/>
                <w:color w:val="auto"/>
              </w:rPr>
              <w:t>Structured note, 10%, due 8/15/2012</w:t>
            </w:r>
          </w:p>
        </w:tc>
        <w:tc>
          <w:tcPr>
            <w:tcW w:w="2580" w:type="dxa"/>
            <w:vAlign w:val="bottom"/>
          </w:tcPr>
          <w:p>
            <w:pPr>
              <w:jc w:val="center"/>
              <w:spacing w:after="0"/>
              <w:rPr>
                <w:sz w:val="20"/>
                <w:szCs w:val="20"/>
                <w:color w:val="auto"/>
              </w:rPr>
            </w:pPr>
            <w:r>
              <w:rPr>
                <w:rFonts w:ascii="Arial" w:cs="Arial" w:eastAsia="Arial" w:hAnsi="Arial"/>
                <w:sz w:val="18"/>
                <w:szCs w:val="18"/>
                <w:color w:val="auto"/>
                <w:w w:val="92"/>
              </w:rPr>
              <w:t>Social Gaming</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4,000,000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4,029,259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4,000,000</w:t>
            </w:r>
          </w:p>
        </w:tc>
        <w:tc>
          <w:tcPr>
            <w:tcW w:w="1260" w:type="dxa"/>
            <w:vAlign w:val="bottom"/>
          </w:tcPr>
          <w:p>
            <w:pPr>
              <w:jc w:val="right"/>
              <w:spacing w:after="0"/>
              <w:rPr>
                <w:sz w:val="20"/>
                <w:szCs w:val="20"/>
                <w:color w:val="auto"/>
              </w:rPr>
            </w:pPr>
            <w:r>
              <w:rPr>
                <w:rFonts w:ascii="Arial" w:cs="Arial" w:eastAsia="Arial" w:hAnsi="Arial"/>
                <w:sz w:val="18"/>
                <w:szCs w:val="18"/>
                <w:color w:val="auto"/>
              </w:rPr>
              <w:t>5.59%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20" w:type="dxa"/>
            <w:vAlign w:val="bottom"/>
            <w:gridSpan w:val="12"/>
          </w:tcPr>
          <w:p>
            <w:pPr>
              <w:spacing w:after="0" w:line="176" w:lineRule="exact"/>
              <w:rPr>
                <w:sz w:val="20"/>
                <w:szCs w:val="20"/>
                <w:color w:val="auto"/>
              </w:rPr>
            </w:pPr>
            <w:r>
              <w:rPr>
                <w:rFonts w:ascii="Arial" w:cs="Arial" w:eastAsia="Arial" w:hAnsi="Arial"/>
                <w:sz w:val="18"/>
                <w:szCs w:val="18"/>
                <w:b w:val="1"/>
                <w:bCs w:val="1"/>
                <w:color w:val="auto"/>
              </w:rPr>
              <w:t>Serious Energy, Inc.</w:t>
            </w:r>
          </w:p>
        </w:tc>
        <w:tc>
          <w:tcPr>
            <w:tcW w:w="2580" w:type="dxa"/>
            <w:vAlign w:val="bottom"/>
          </w:tcPr>
          <w:p>
            <w:pPr>
              <w:jc w:val="center"/>
              <w:spacing w:after="0" w:line="176" w:lineRule="exact"/>
              <w:rPr>
                <w:sz w:val="20"/>
                <w:szCs w:val="20"/>
                <w:color w:val="auto"/>
              </w:rPr>
            </w:pPr>
            <w:r>
              <w:rPr>
                <w:rFonts w:ascii="Arial" w:cs="Arial" w:eastAsia="Arial" w:hAnsi="Arial"/>
                <w:sz w:val="18"/>
                <w:szCs w:val="18"/>
                <w:color w:val="auto"/>
                <w:w w:val="92"/>
              </w:rPr>
              <w:t>Sunnyvale, CA</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12"/>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5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Green Materials</w:t>
            </w:r>
          </w:p>
        </w:tc>
        <w:tc>
          <w:tcPr>
            <w:tcW w:w="48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178,095</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739,130</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712,380</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rPr>
              <w:t>Shares / Par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Borders>
              <w:bottom w:val="single" w:sz="8" w:color="auto"/>
            </w:tcBorders>
            <w:gridSpan w:val="9"/>
          </w:tcPr>
          <w:p>
            <w:pPr>
              <w:ind w:left="600"/>
              <w:spacing w:after="0"/>
              <w:rPr>
                <w:sz w:val="20"/>
                <w:szCs w:val="20"/>
                <w:color w:val="auto"/>
              </w:rPr>
            </w:pPr>
            <w:r>
              <w:rPr>
                <w:rFonts w:ascii="Arial" w:cs="Arial" w:eastAsia="Arial" w:hAnsi="Arial"/>
                <w:sz w:val="18"/>
                <w:szCs w:val="18"/>
                <w:b w:val="1"/>
                <w:bCs w:val="1"/>
                <w:color w:val="auto"/>
              </w:rPr>
              <w:t>Portfolio Investments*</w:t>
            </w:r>
          </w:p>
        </w:tc>
        <w:tc>
          <w:tcPr>
            <w:tcW w:w="2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Headquarters / Industry</w:t>
            </w: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Fair Value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of Net Assets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3060" w:type="dxa"/>
            <w:vAlign w:val="bottom"/>
            <w:gridSpan w:val="10"/>
          </w:tcPr>
          <w:p>
            <w:pPr>
              <w:spacing w:after="0"/>
              <w:rPr>
                <w:sz w:val="20"/>
                <w:szCs w:val="20"/>
                <w:color w:val="auto"/>
              </w:rPr>
            </w:pPr>
            <w:r>
              <w:rPr>
                <w:rFonts w:ascii="Arial" w:cs="Arial" w:eastAsia="Arial" w:hAnsi="Arial"/>
                <w:sz w:val="18"/>
                <w:szCs w:val="18"/>
                <w:b w:val="1"/>
                <w:bCs w:val="1"/>
                <w:color w:val="auto"/>
              </w:rPr>
              <w:t>SharesPost, Inc.</w:t>
            </w:r>
          </w:p>
        </w:tc>
        <w:tc>
          <w:tcPr>
            <w:tcW w:w="2780" w:type="dxa"/>
            <w:vAlign w:val="bottom"/>
          </w:tcPr>
          <w:p>
            <w:pPr>
              <w:jc w:val="center"/>
              <w:ind w:right="30"/>
              <w:spacing w:after="0"/>
              <w:rPr>
                <w:sz w:val="20"/>
                <w:szCs w:val="20"/>
                <w:color w:val="auto"/>
              </w:rPr>
            </w:pPr>
            <w:r>
              <w:rPr>
                <w:rFonts w:ascii="Arial" w:cs="Arial" w:eastAsia="Arial" w:hAnsi="Arial"/>
                <w:sz w:val="18"/>
                <w:szCs w:val="18"/>
                <w:color w:val="auto"/>
                <w:w w:val="91"/>
              </w:rPr>
              <w:t>San Bruno, CA</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Preferred shares, Series B</w:t>
            </w:r>
          </w:p>
        </w:tc>
        <w:tc>
          <w:tcPr>
            <w:tcW w:w="278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96"/>
              </w:rPr>
              <w:t>Online</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1,776,970</w:t>
            </w:r>
          </w:p>
        </w:tc>
        <w:tc>
          <w:tcPr>
            <w:tcW w:w="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2,257,984</w:t>
            </w:r>
          </w:p>
        </w:tc>
        <w:tc>
          <w:tcPr>
            <w:tcW w:w="60" w:type="dxa"/>
            <w:vAlign w:val="bottom"/>
            <w:shd w:val="clear" w:color="auto" w:fill="CCFFCC"/>
          </w:tcPr>
          <w:p>
            <w:pPr>
              <w:spacing w:after="0"/>
              <w:rPr>
                <w:sz w:val="18"/>
                <w:szCs w:val="18"/>
                <w:color w:val="auto"/>
              </w:rPr>
            </w:pP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2,256,752</w:t>
            </w: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gridSpan w:val="9"/>
          </w:tcPr>
          <w:p>
            <w:pPr>
              <w:spacing w:after="0" w:line="201" w:lineRule="exact"/>
              <w:rPr>
                <w:sz w:val="20"/>
                <w:szCs w:val="20"/>
                <w:color w:val="auto"/>
              </w:rPr>
            </w:pPr>
            <w:r>
              <w:rPr>
                <w:rFonts w:ascii="Arial" w:cs="Arial" w:eastAsia="Arial" w:hAnsi="Arial"/>
                <w:sz w:val="18"/>
                <w:szCs w:val="18"/>
                <w:color w:val="auto"/>
              </w:rPr>
              <w:t>Common warrants, $0.13 strike price,</w:t>
            </w:r>
          </w:p>
        </w:tc>
        <w:tc>
          <w:tcPr>
            <w:tcW w:w="278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1"/>
              </w:rPr>
              <w:t>Marketplace</w:t>
            </w: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gridSpan w:val="10"/>
          </w:tcPr>
          <w:p>
            <w:pPr>
              <w:spacing w:after="0"/>
              <w:rPr>
                <w:sz w:val="20"/>
                <w:szCs w:val="20"/>
                <w:color w:val="auto"/>
              </w:rPr>
            </w:pPr>
            <w:r>
              <w:rPr>
                <w:rFonts w:ascii="Arial" w:cs="Arial" w:eastAsia="Arial" w:hAnsi="Arial"/>
                <w:sz w:val="18"/>
                <w:szCs w:val="18"/>
                <w:color w:val="auto"/>
              </w:rPr>
              <w:t>expire 6/15/2018</w:t>
            </w:r>
          </w:p>
        </w:tc>
        <w:tc>
          <w:tcPr>
            <w:tcW w:w="2780" w:type="dxa"/>
            <w:vAlign w:val="bottom"/>
          </w:tcPr>
          <w:p>
            <w:pPr>
              <w:jc w:val="center"/>
              <w:ind w:right="30"/>
              <w:spacing w:after="0"/>
              <w:rPr>
                <w:sz w:val="20"/>
                <w:szCs w:val="20"/>
                <w:color w:val="auto"/>
              </w:rPr>
            </w:pPr>
            <w:r>
              <w:rPr>
                <w:rFonts w:ascii="Arial" w:cs="Arial" w:eastAsia="Arial" w:hAnsi="Arial"/>
                <w:sz w:val="18"/>
                <w:szCs w:val="18"/>
                <w:color w:val="auto"/>
                <w:w w:val="92"/>
              </w:rPr>
              <w:t>(Finance)</w:t>
            </w:r>
          </w:p>
        </w:tc>
        <w:tc>
          <w:tcPr>
            <w:tcW w:w="1520" w:type="dxa"/>
            <w:vAlign w:val="bottom"/>
          </w:tcPr>
          <w:p>
            <w:pPr>
              <w:jc w:val="right"/>
              <w:spacing w:after="0"/>
              <w:rPr>
                <w:sz w:val="20"/>
                <w:szCs w:val="20"/>
                <w:color w:val="auto"/>
              </w:rPr>
            </w:pPr>
            <w:r>
              <w:rPr>
                <w:rFonts w:ascii="Arial" w:cs="Arial" w:eastAsia="Arial" w:hAnsi="Arial"/>
                <w:sz w:val="18"/>
                <w:szCs w:val="18"/>
                <w:color w:val="auto"/>
              </w:rPr>
              <w:t>770,934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23,128</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17,731</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CCFFCC"/>
            </w:tcBorders>
            <w:gridSpan w:val="9"/>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2780" w:type="dxa"/>
            <w:vAlign w:val="bottom"/>
            <w:tcBorders>
              <w:top w:val="single" w:sz="8" w:color="CCFFCC"/>
            </w:tcBorders>
            <w:shd w:val="clear" w:color="auto" w:fill="CCFFCC"/>
          </w:tcPr>
          <w:p>
            <w:pPr>
              <w:spacing w:after="0"/>
              <w:rPr>
                <w:sz w:val="18"/>
                <w:szCs w:val="18"/>
                <w:color w:val="auto"/>
              </w:rPr>
            </w:pPr>
          </w:p>
        </w:tc>
        <w:tc>
          <w:tcPr>
            <w:tcW w:w="15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2,281,112</w:t>
            </w:r>
          </w:p>
        </w:tc>
        <w:tc>
          <w:tcPr>
            <w:tcW w:w="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2,274,483</w:t>
            </w:r>
          </w:p>
        </w:tc>
        <w:tc>
          <w:tcPr>
            <w:tcW w:w="22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auto"/>
            </w:tcBorders>
            <w:gridSpan w:val="8"/>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0"/>
              </w:rPr>
              <w:t>Silver Spring Networks, Inc.</w:t>
            </w:r>
          </w:p>
        </w:tc>
        <w:tc>
          <w:tcPr>
            <w:tcW w:w="860" w:type="dxa"/>
            <w:vAlign w:val="bottom"/>
            <w:tcBorders>
              <w:bottom w:val="single" w:sz="8" w:color="CCFFCC"/>
            </w:tcBorders>
            <w:shd w:val="clear" w:color="auto" w:fill="CCFFCC"/>
          </w:tcPr>
          <w:p>
            <w:pPr>
              <w:spacing w:after="0"/>
              <w:rPr>
                <w:sz w:val="17"/>
                <w:szCs w:val="17"/>
                <w:color w:val="auto"/>
              </w:rPr>
            </w:pPr>
          </w:p>
        </w:tc>
        <w:tc>
          <w:tcPr>
            <w:tcW w:w="2780" w:type="dxa"/>
            <w:vAlign w:val="bottom"/>
            <w:tcBorders>
              <w:bottom w:val="single" w:sz="8" w:color="CCFFCC"/>
            </w:tcBorders>
            <w:shd w:val="clear" w:color="auto" w:fill="CCFFCC"/>
          </w:tcPr>
          <w:p>
            <w:pPr>
              <w:jc w:val="center"/>
              <w:ind w:right="30"/>
              <w:spacing w:after="0" w:line="176" w:lineRule="exact"/>
              <w:rPr>
                <w:sz w:val="20"/>
                <w:szCs w:val="20"/>
                <w:color w:val="auto"/>
              </w:rPr>
            </w:pPr>
            <w:r>
              <w:rPr>
                <w:rFonts w:ascii="Arial" w:cs="Arial" w:eastAsia="Arial" w:hAnsi="Arial"/>
                <w:sz w:val="18"/>
                <w:szCs w:val="18"/>
                <w:color w:val="auto"/>
                <w:w w:val="93"/>
              </w:rPr>
              <w:t>Redwood City, CA</w:t>
            </w:r>
          </w:p>
        </w:tc>
        <w:tc>
          <w:tcPr>
            <w:tcW w:w="15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98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106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2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9"/>
          </w:tcPr>
          <w:p>
            <w:pPr>
              <w:spacing w:after="0"/>
              <w:rPr>
                <w:sz w:val="20"/>
                <w:szCs w:val="20"/>
                <w:color w:val="auto"/>
              </w:rPr>
            </w:pPr>
            <w:r>
              <w:rPr>
                <w:rFonts w:ascii="Arial" w:cs="Arial" w:eastAsia="Arial" w:hAnsi="Arial"/>
                <w:sz w:val="18"/>
                <w:szCs w:val="18"/>
                <w:color w:val="auto"/>
              </w:rPr>
              <w:t>Common shares</w:t>
            </w:r>
          </w:p>
        </w:tc>
        <w:tc>
          <w:tcPr>
            <w:tcW w:w="2780" w:type="dxa"/>
            <w:vAlign w:val="bottom"/>
          </w:tcPr>
          <w:p>
            <w:pPr>
              <w:jc w:val="center"/>
              <w:ind w:right="30"/>
              <w:spacing w:after="0"/>
              <w:rPr>
                <w:sz w:val="20"/>
                <w:szCs w:val="20"/>
                <w:color w:val="auto"/>
              </w:rPr>
            </w:pPr>
            <w:r>
              <w:rPr>
                <w:rFonts w:ascii="Arial" w:cs="Arial" w:eastAsia="Arial" w:hAnsi="Arial"/>
                <w:sz w:val="18"/>
                <w:szCs w:val="18"/>
                <w:color w:val="auto"/>
                <w:w w:val="94"/>
              </w:rPr>
              <w:t>Smart Grid</w:t>
            </w:r>
          </w:p>
        </w:tc>
        <w:tc>
          <w:tcPr>
            <w:tcW w:w="1520" w:type="dxa"/>
            <w:vAlign w:val="bottom"/>
          </w:tcPr>
          <w:p>
            <w:pPr>
              <w:jc w:val="right"/>
              <w:spacing w:after="0"/>
              <w:rPr>
                <w:sz w:val="20"/>
                <w:szCs w:val="20"/>
                <w:color w:val="auto"/>
              </w:rPr>
            </w:pPr>
            <w:r>
              <w:rPr>
                <w:rFonts w:ascii="Arial" w:cs="Arial" w:eastAsia="Arial" w:hAnsi="Arial"/>
                <w:sz w:val="18"/>
                <w:szCs w:val="18"/>
                <w:color w:val="auto"/>
              </w:rPr>
              <w:t>110,143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1,153,381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1,101,430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78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4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rPr>
              <w:t>StormWind, LLC</w:t>
            </w:r>
          </w:p>
        </w:tc>
        <w:tc>
          <w:tcPr>
            <w:tcW w:w="27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0"/>
              </w:rPr>
              <w:t>Scottsdale, AZ</w:t>
            </w: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Preferred shares, Series B</w:t>
            </w:r>
          </w:p>
        </w:tc>
        <w:tc>
          <w:tcPr>
            <w:tcW w:w="278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93"/>
              </w:rPr>
              <w:t>Electronic</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1,711,111</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959,209</w:t>
            </w: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946,335</w:t>
            </w: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gridSpan w:val="9"/>
          </w:tcPr>
          <w:p>
            <w:pPr>
              <w:spacing w:after="0" w:line="201" w:lineRule="exact"/>
              <w:rPr>
                <w:sz w:val="20"/>
                <w:szCs w:val="20"/>
                <w:color w:val="auto"/>
              </w:rPr>
            </w:pPr>
            <w:r>
              <w:rPr>
                <w:rFonts w:ascii="Arial" w:cs="Arial" w:eastAsia="Arial" w:hAnsi="Arial"/>
                <w:sz w:val="18"/>
                <w:szCs w:val="18"/>
                <w:color w:val="auto"/>
              </w:rPr>
              <w:t>Preferred warrants, $0.64 strike price,</w:t>
            </w:r>
          </w:p>
        </w:tc>
        <w:tc>
          <w:tcPr>
            <w:tcW w:w="278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Marketing and Business Services</w:t>
            </w: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gridSpan w:val="10"/>
          </w:tcPr>
          <w:p>
            <w:pPr>
              <w:spacing w:after="0"/>
              <w:rPr>
                <w:sz w:val="20"/>
                <w:szCs w:val="20"/>
                <w:color w:val="auto"/>
              </w:rPr>
            </w:pPr>
            <w:r>
              <w:rPr>
                <w:rFonts w:ascii="Arial" w:cs="Arial" w:eastAsia="Arial" w:hAnsi="Arial"/>
                <w:sz w:val="18"/>
                <w:szCs w:val="18"/>
                <w:color w:val="auto"/>
              </w:rPr>
              <w:t>expire 12/1/2012</w:t>
            </w:r>
          </w:p>
        </w:tc>
        <w:tc>
          <w:tcPr>
            <w:tcW w:w="27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1,568,518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53,665</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53,665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CCFFCC"/>
            </w:tcBorders>
            <w:gridSpan w:val="9"/>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2780" w:type="dxa"/>
            <w:vAlign w:val="bottom"/>
            <w:tcBorders>
              <w:top w:val="single" w:sz="8" w:color="CCFFCC"/>
            </w:tcBorders>
            <w:shd w:val="clear" w:color="auto" w:fill="CCFFCC"/>
          </w:tcPr>
          <w:p>
            <w:pPr>
              <w:spacing w:after="0"/>
              <w:rPr>
                <w:sz w:val="18"/>
                <w:szCs w:val="18"/>
                <w:color w:val="auto"/>
              </w:rPr>
            </w:pPr>
          </w:p>
        </w:tc>
        <w:tc>
          <w:tcPr>
            <w:tcW w:w="15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1,012,874</w:t>
            </w:r>
          </w:p>
        </w:tc>
        <w:tc>
          <w:tcPr>
            <w:tcW w:w="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9"/>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The Echo System Corp. </w:t>
            </w:r>
            <w:r>
              <w:rPr>
                <w:rFonts w:ascii="Arial" w:cs="Arial" w:eastAsia="Arial" w:hAnsi="Arial"/>
                <w:sz w:val="25"/>
                <w:szCs w:val="25"/>
                <w:b w:val="1"/>
                <w:bCs w:val="1"/>
                <w:color w:val="auto"/>
                <w:vertAlign w:val="superscript"/>
              </w:rPr>
              <w:t>(1)</w:t>
            </w:r>
          </w:p>
        </w:tc>
        <w:tc>
          <w:tcPr>
            <w:tcW w:w="278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97"/>
              </w:rPr>
              <w:t>New York, NY</w:t>
            </w:r>
          </w:p>
        </w:tc>
        <w:tc>
          <w:tcPr>
            <w:tcW w:w="1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2780" w:type="dxa"/>
            <w:vAlign w:val="bottom"/>
            <w:tcBorders>
              <w:top w:val="single" w:sz="8" w:color="CCFFCC"/>
            </w:tcBorders>
            <w:shd w:val="clear" w:color="auto" w:fill="CCFFCC"/>
          </w:tcPr>
          <w:p>
            <w:pPr>
              <w:spacing w:after="0" w:line="20" w:lineRule="exact"/>
              <w:rPr>
                <w:sz w:val="1"/>
                <w:szCs w:val="1"/>
                <w:color w:val="auto"/>
              </w:rPr>
            </w:pPr>
          </w:p>
        </w:tc>
        <w:tc>
          <w:tcPr>
            <w:tcW w:w="15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40" w:type="dxa"/>
            <w:vAlign w:val="bottom"/>
            <w:gridSpan w:val="9"/>
          </w:tcPr>
          <w:p>
            <w:pPr>
              <w:spacing w:after="0" w:line="201" w:lineRule="exact"/>
              <w:rPr>
                <w:sz w:val="20"/>
                <w:szCs w:val="20"/>
                <w:color w:val="auto"/>
              </w:rPr>
            </w:pPr>
            <w:r>
              <w:rPr>
                <w:rFonts w:ascii="Arial" w:cs="Arial" w:eastAsia="Arial" w:hAnsi="Arial"/>
                <w:sz w:val="18"/>
                <w:szCs w:val="18"/>
                <w:color w:val="auto"/>
                <w:w w:val="93"/>
              </w:rPr>
              <w:t>Structured note, 6%, due 1/28/2013, and</w:t>
            </w:r>
          </w:p>
        </w:tc>
        <w:tc>
          <w:tcPr>
            <w:tcW w:w="278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3"/>
              </w:rPr>
              <w:t>Social Analytics</w:t>
            </w: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gridSpan w:val="10"/>
          </w:tcPr>
          <w:p>
            <w:pPr>
              <w:spacing w:after="0"/>
              <w:rPr>
                <w:sz w:val="20"/>
                <w:szCs w:val="20"/>
                <w:color w:val="auto"/>
              </w:rPr>
            </w:pPr>
            <w:r>
              <w:rPr>
                <w:rFonts w:ascii="Arial" w:cs="Arial" w:eastAsia="Arial" w:hAnsi="Arial"/>
                <w:sz w:val="18"/>
                <w:szCs w:val="18"/>
                <w:color w:val="auto"/>
              </w:rPr>
              <w:t>warrant, $0.20 strike price, expires</w:t>
            </w: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gridSpan w:val="2"/>
          </w:tcPr>
          <w:p>
            <w:pPr>
              <w:spacing w:after="0"/>
              <w:rPr>
                <w:sz w:val="20"/>
                <w:szCs w:val="20"/>
                <w:color w:val="auto"/>
              </w:rPr>
            </w:pPr>
            <w:r>
              <w:rPr>
                <w:rFonts w:ascii="Arial" w:cs="Arial" w:eastAsia="Arial" w:hAnsi="Arial"/>
                <w:sz w:val="18"/>
                <w:szCs w:val="18"/>
                <w:color w:val="auto"/>
              </w:rPr>
              <w:t>11/14/2016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505,823</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78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4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rPr>
              <w:t>The rSmart Group, Inc.</w:t>
            </w:r>
          </w:p>
        </w:tc>
        <w:tc>
          <w:tcPr>
            <w:tcW w:w="27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0"/>
              </w:rPr>
              <w:t>Scottsdale, AZ</w:t>
            </w: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40" w:type="dxa"/>
            <w:vAlign w:val="bottom"/>
            <w:gridSpan w:val="9"/>
            <w:shd w:val="clear" w:color="auto" w:fill="CCFFCC"/>
          </w:tcPr>
          <w:p>
            <w:pPr>
              <w:spacing w:after="0" w:line="201" w:lineRule="exact"/>
              <w:rPr>
                <w:sz w:val="20"/>
                <w:szCs w:val="20"/>
                <w:color w:val="auto"/>
              </w:rPr>
            </w:pPr>
            <w:r>
              <w:rPr>
                <w:rFonts w:ascii="Arial" w:cs="Arial" w:eastAsia="Arial" w:hAnsi="Arial"/>
                <w:sz w:val="18"/>
                <w:szCs w:val="18"/>
                <w:color w:val="auto"/>
              </w:rPr>
              <w:t>Preferred shares, Series B</w:t>
            </w:r>
          </w:p>
        </w:tc>
        <w:tc>
          <w:tcPr>
            <w:tcW w:w="2780" w:type="dxa"/>
            <w:vAlign w:val="bottom"/>
            <w:shd w:val="clear" w:color="auto" w:fill="CCFFCC"/>
          </w:tcPr>
          <w:p>
            <w:pPr>
              <w:jc w:val="center"/>
              <w:ind w:right="30"/>
              <w:spacing w:after="0" w:line="201" w:lineRule="exact"/>
              <w:rPr>
                <w:sz w:val="20"/>
                <w:szCs w:val="20"/>
                <w:color w:val="auto"/>
              </w:rPr>
            </w:pPr>
            <w:r>
              <w:rPr>
                <w:rFonts w:ascii="Arial" w:cs="Arial" w:eastAsia="Arial" w:hAnsi="Arial"/>
                <w:sz w:val="18"/>
                <w:szCs w:val="18"/>
                <w:color w:val="auto"/>
                <w:w w:val="91"/>
              </w:rPr>
              <w:t>Higher Education</w:t>
            </w:r>
          </w:p>
        </w:tc>
        <w:tc>
          <w:tcPr>
            <w:tcW w:w="15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278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94"/>
              </w:rPr>
              <w:t>Learning Platform</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480,769</w:t>
            </w: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513,311</w:t>
            </w:r>
          </w:p>
        </w:tc>
        <w:tc>
          <w:tcPr>
            <w:tcW w:w="1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FFCC"/>
          </w:tcPr>
          <w:p>
            <w:pPr>
              <w:spacing w:after="0"/>
              <w:rPr>
                <w:sz w:val="20"/>
                <w:szCs w:val="20"/>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40" w:type="dxa"/>
            <w:vAlign w:val="bottom"/>
            <w:gridSpan w:val="9"/>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TrueCar, Inc.</w:t>
            </w:r>
          </w:p>
        </w:tc>
        <w:tc>
          <w:tcPr>
            <w:tcW w:w="2780" w:type="dxa"/>
            <w:vAlign w:val="bottom"/>
            <w:shd w:val="clear" w:color="auto" w:fill="CCFFCC"/>
          </w:tcPr>
          <w:p>
            <w:pPr>
              <w:jc w:val="center"/>
              <w:ind w:right="30"/>
              <w:spacing w:after="0" w:line="176" w:lineRule="exact"/>
              <w:rPr>
                <w:sz w:val="20"/>
                <w:szCs w:val="20"/>
                <w:color w:val="auto"/>
              </w:rPr>
            </w:pPr>
            <w:r>
              <w:rPr>
                <w:rFonts w:ascii="Arial" w:cs="Arial" w:eastAsia="Arial" w:hAnsi="Arial"/>
                <w:sz w:val="18"/>
                <w:szCs w:val="18"/>
                <w:color w:val="auto"/>
                <w:w w:val="92"/>
              </w:rPr>
              <w:t>Santa Monica, CA</w:t>
            </w:r>
          </w:p>
        </w:tc>
        <w:tc>
          <w:tcPr>
            <w:tcW w:w="15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106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220" w:type="dxa"/>
            <w:vAlign w:val="bottom"/>
            <w:shd w:val="clear" w:color="auto" w:fill="CCFF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2780" w:type="dxa"/>
            <w:vAlign w:val="bottom"/>
            <w:tcBorders>
              <w:top w:val="single" w:sz="8" w:color="CCFFCC"/>
            </w:tcBorders>
            <w:shd w:val="clear" w:color="auto" w:fill="CCFFCC"/>
          </w:tcPr>
          <w:p>
            <w:pPr>
              <w:spacing w:after="0" w:line="20" w:lineRule="exact"/>
              <w:rPr>
                <w:sz w:val="1"/>
                <w:szCs w:val="1"/>
                <w:color w:val="auto"/>
              </w:rPr>
            </w:pPr>
          </w:p>
        </w:tc>
        <w:tc>
          <w:tcPr>
            <w:tcW w:w="15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40" w:type="dxa"/>
            <w:vAlign w:val="bottom"/>
            <w:gridSpan w:val="9"/>
          </w:tcPr>
          <w:p>
            <w:pPr>
              <w:spacing w:after="0" w:line="201" w:lineRule="exact"/>
              <w:rPr>
                <w:sz w:val="20"/>
                <w:szCs w:val="20"/>
                <w:color w:val="auto"/>
              </w:rPr>
            </w:pPr>
            <w:r>
              <w:rPr>
                <w:rFonts w:ascii="Arial" w:cs="Arial" w:eastAsia="Arial" w:hAnsi="Arial"/>
                <w:sz w:val="18"/>
                <w:szCs w:val="18"/>
                <w:color w:val="auto"/>
              </w:rPr>
              <w:t>Common shares</w:t>
            </w:r>
          </w:p>
        </w:tc>
        <w:tc>
          <w:tcPr>
            <w:tcW w:w="278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6"/>
              </w:rPr>
              <w:t>Online</w:t>
            </w: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780" w:type="dxa"/>
            <w:vAlign w:val="bottom"/>
          </w:tcPr>
          <w:p>
            <w:pPr>
              <w:jc w:val="center"/>
              <w:ind w:right="30"/>
              <w:spacing w:after="0"/>
              <w:rPr>
                <w:sz w:val="20"/>
                <w:szCs w:val="20"/>
                <w:color w:val="auto"/>
              </w:rPr>
            </w:pPr>
            <w:r>
              <w:rPr>
                <w:rFonts w:ascii="Arial" w:cs="Arial" w:eastAsia="Arial" w:hAnsi="Arial"/>
                <w:sz w:val="18"/>
                <w:szCs w:val="18"/>
                <w:color w:val="auto"/>
                <w:w w:val="90"/>
              </w:rPr>
              <w:t>Marketplace (Cars)</w:t>
            </w:r>
          </w:p>
        </w:tc>
        <w:tc>
          <w:tcPr>
            <w:tcW w:w="1520" w:type="dxa"/>
            <w:vAlign w:val="bottom"/>
          </w:tcPr>
          <w:p>
            <w:pPr>
              <w:jc w:val="right"/>
              <w:spacing w:after="0"/>
              <w:rPr>
                <w:sz w:val="20"/>
                <w:szCs w:val="20"/>
                <w:color w:val="auto"/>
              </w:rPr>
            </w:pPr>
            <w:r>
              <w:rPr>
                <w:rFonts w:ascii="Arial" w:cs="Arial" w:eastAsia="Arial" w:hAnsi="Arial"/>
                <w:sz w:val="18"/>
                <w:szCs w:val="18"/>
                <w:color w:val="auto"/>
              </w:rPr>
              <w:t>377,358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2,014,551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1,999,997</w:t>
            </w:r>
          </w:p>
        </w:tc>
        <w:tc>
          <w:tcPr>
            <w:tcW w:w="2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78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4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rPr>
              <w:t>Twitter, Inc.</w:t>
            </w:r>
          </w:p>
        </w:tc>
        <w:tc>
          <w:tcPr>
            <w:tcW w:w="27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San Francisco, CA</w:t>
            </w: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40" w:type="dxa"/>
            <w:vAlign w:val="bottom"/>
            <w:gridSpan w:val="9"/>
            <w:shd w:val="clear" w:color="auto" w:fill="CCFFCC"/>
          </w:tcPr>
          <w:p>
            <w:pPr>
              <w:spacing w:after="0" w:line="201" w:lineRule="exact"/>
              <w:rPr>
                <w:sz w:val="20"/>
                <w:szCs w:val="20"/>
                <w:color w:val="auto"/>
              </w:rPr>
            </w:pPr>
            <w:r>
              <w:rPr>
                <w:rFonts w:ascii="Arial" w:cs="Arial" w:eastAsia="Arial" w:hAnsi="Arial"/>
                <w:sz w:val="18"/>
                <w:szCs w:val="18"/>
                <w:color w:val="auto"/>
              </w:rPr>
              <w:t>Common shares</w:t>
            </w:r>
          </w:p>
        </w:tc>
        <w:tc>
          <w:tcPr>
            <w:tcW w:w="2780" w:type="dxa"/>
            <w:vAlign w:val="bottom"/>
            <w:shd w:val="clear" w:color="auto" w:fill="CCFFCC"/>
          </w:tcPr>
          <w:p>
            <w:pPr>
              <w:jc w:val="center"/>
              <w:ind w:right="30"/>
              <w:spacing w:after="0" w:line="201" w:lineRule="exact"/>
              <w:rPr>
                <w:sz w:val="20"/>
                <w:szCs w:val="20"/>
                <w:color w:val="auto"/>
              </w:rPr>
            </w:pPr>
            <w:r>
              <w:rPr>
                <w:rFonts w:ascii="Arial" w:cs="Arial" w:eastAsia="Arial" w:hAnsi="Arial"/>
                <w:sz w:val="18"/>
                <w:szCs w:val="18"/>
                <w:color w:val="auto"/>
                <w:w w:val="93"/>
              </w:rPr>
              <w:t>Social</w:t>
            </w:r>
          </w:p>
        </w:tc>
        <w:tc>
          <w:tcPr>
            <w:tcW w:w="15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2780" w:type="dxa"/>
            <w:vAlign w:val="bottom"/>
            <w:shd w:val="clear" w:color="auto" w:fill="CCFFCC"/>
          </w:tcPr>
          <w:p>
            <w:pPr>
              <w:jc w:val="center"/>
              <w:ind w:right="10"/>
              <w:spacing w:after="0"/>
              <w:rPr>
                <w:sz w:val="20"/>
                <w:szCs w:val="20"/>
                <w:color w:val="auto"/>
              </w:rPr>
            </w:pPr>
            <w:r>
              <w:rPr>
                <w:rFonts w:ascii="Arial" w:cs="Arial" w:eastAsia="Arial" w:hAnsi="Arial"/>
                <w:sz w:val="18"/>
                <w:szCs w:val="18"/>
                <w:color w:val="auto"/>
                <w:w w:val="92"/>
              </w:rPr>
              <w:t>Communication</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735,600</w:t>
            </w: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12,304,345</w:t>
            </w:r>
          </w:p>
        </w:tc>
        <w:tc>
          <w:tcPr>
            <w:tcW w:w="1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12,113,493</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tcBorders>
              <w:bottom w:val="single" w:sz="8" w:color="auto"/>
            </w:tcBorders>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88"/>
              </w:rPr>
              <w:t>ZocDoc Inc.</w:t>
            </w:r>
          </w:p>
        </w:tc>
        <w:tc>
          <w:tcPr>
            <w:tcW w:w="2120" w:type="dxa"/>
            <w:vAlign w:val="bottom"/>
            <w:tcBorders>
              <w:bottom w:val="single" w:sz="8" w:color="CCFFCC"/>
            </w:tcBorders>
            <w:gridSpan w:val="8"/>
            <w:shd w:val="clear" w:color="auto" w:fill="CCFFCC"/>
          </w:tcPr>
          <w:p>
            <w:pPr>
              <w:spacing w:after="0"/>
              <w:rPr>
                <w:sz w:val="17"/>
                <w:szCs w:val="17"/>
                <w:color w:val="auto"/>
              </w:rPr>
            </w:pPr>
          </w:p>
        </w:tc>
        <w:tc>
          <w:tcPr>
            <w:tcW w:w="2780" w:type="dxa"/>
            <w:vAlign w:val="bottom"/>
            <w:tcBorders>
              <w:bottom w:val="single" w:sz="8" w:color="CCFFCC"/>
            </w:tcBorders>
            <w:shd w:val="clear" w:color="auto" w:fill="CCFFCC"/>
          </w:tcPr>
          <w:p>
            <w:pPr>
              <w:jc w:val="center"/>
              <w:ind w:right="30"/>
              <w:spacing w:after="0" w:line="176" w:lineRule="exact"/>
              <w:rPr>
                <w:sz w:val="20"/>
                <w:szCs w:val="20"/>
                <w:color w:val="auto"/>
              </w:rPr>
            </w:pPr>
            <w:r>
              <w:rPr>
                <w:rFonts w:ascii="Arial" w:cs="Arial" w:eastAsia="Arial" w:hAnsi="Arial"/>
                <w:sz w:val="18"/>
                <w:szCs w:val="18"/>
                <w:color w:val="auto"/>
                <w:w w:val="97"/>
              </w:rPr>
              <w:t>New York, NY</w:t>
            </w:r>
          </w:p>
        </w:tc>
        <w:tc>
          <w:tcPr>
            <w:tcW w:w="15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98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106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2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gridSpan w:val="9"/>
          </w:tcPr>
          <w:p>
            <w:pPr>
              <w:spacing w:after="0" w:line="201" w:lineRule="exact"/>
              <w:rPr>
                <w:sz w:val="20"/>
                <w:szCs w:val="20"/>
                <w:color w:val="auto"/>
              </w:rPr>
            </w:pPr>
            <w:r>
              <w:rPr>
                <w:rFonts w:ascii="Arial" w:cs="Arial" w:eastAsia="Arial" w:hAnsi="Arial"/>
                <w:sz w:val="18"/>
                <w:szCs w:val="18"/>
                <w:color w:val="auto"/>
              </w:rPr>
              <w:t>Preferred shares</w:t>
            </w:r>
          </w:p>
        </w:tc>
        <w:tc>
          <w:tcPr>
            <w:tcW w:w="278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5"/>
              </w:rPr>
              <w:t>Online Medical</w:t>
            </w: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780" w:type="dxa"/>
            <w:vAlign w:val="bottom"/>
          </w:tcPr>
          <w:p>
            <w:pPr>
              <w:jc w:val="center"/>
              <w:ind w:right="30"/>
              <w:spacing w:after="0"/>
              <w:rPr>
                <w:sz w:val="20"/>
                <w:szCs w:val="20"/>
                <w:color w:val="auto"/>
              </w:rPr>
            </w:pPr>
            <w:r>
              <w:rPr>
                <w:rFonts w:ascii="Arial" w:cs="Arial" w:eastAsia="Arial" w:hAnsi="Arial"/>
                <w:sz w:val="18"/>
                <w:szCs w:val="18"/>
                <w:color w:val="auto"/>
                <w:w w:val="92"/>
              </w:rPr>
              <w:t>Scheduling</w:t>
            </w:r>
          </w:p>
        </w:tc>
        <w:tc>
          <w:tcPr>
            <w:tcW w:w="1520" w:type="dxa"/>
            <w:vAlign w:val="bottom"/>
          </w:tcPr>
          <w:p>
            <w:pPr>
              <w:jc w:val="right"/>
              <w:spacing w:after="0"/>
              <w:rPr>
                <w:sz w:val="20"/>
                <w:szCs w:val="20"/>
                <w:color w:val="auto"/>
              </w:rPr>
            </w:pPr>
            <w:r>
              <w:rPr>
                <w:rFonts w:ascii="Arial" w:cs="Arial" w:eastAsia="Arial" w:hAnsi="Arial"/>
                <w:sz w:val="18"/>
                <w:szCs w:val="18"/>
                <w:color w:val="auto"/>
              </w:rPr>
              <w:t>200,000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3,563,178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3,500,000</w:t>
            </w:r>
          </w:p>
        </w:tc>
        <w:tc>
          <w:tcPr>
            <w:tcW w:w="2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78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4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rPr>
              <w:t>ZoomSystems</w:t>
            </w:r>
          </w:p>
        </w:tc>
        <w:tc>
          <w:tcPr>
            <w:tcW w:w="27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San Francisco, CA</w:t>
            </w: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40" w:type="dxa"/>
            <w:vAlign w:val="bottom"/>
            <w:gridSpan w:val="9"/>
            <w:shd w:val="clear" w:color="auto" w:fill="CCFFCC"/>
          </w:tcPr>
          <w:p>
            <w:pPr>
              <w:spacing w:after="0" w:line="201" w:lineRule="exact"/>
              <w:rPr>
                <w:sz w:val="20"/>
                <w:szCs w:val="20"/>
                <w:color w:val="auto"/>
              </w:rPr>
            </w:pPr>
            <w:r>
              <w:rPr>
                <w:rFonts w:ascii="Arial" w:cs="Arial" w:eastAsia="Arial" w:hAnsi="Arial"/>
                <w:sz w:val="18"/>
                <w:szCs w:val="18"/>
                <w:color w:val="auto"/>
              </w:rPr>
              <w:t>Preferred shares, Series A</w:t>
            </w:r>
          </w:p>
        </w:tc>
        <w:tc>
          <w:tcPr>
            <w:tcW w:w="2780" w:type="dxa"/>
            <w:vAlign w:val="bottom"/>
            <w:shd w:val="clear" w:color="auto" w:fill="CCFFCC"/>
          </w:tcPr>
          <w:p>
            <w:pPr>
              <w:jc w:val="center"/>
              <w:ind w:right="30"/>
              <w:spacing w:after="0" w:line="201" w:lineRule="exact"/>
              <w:rPr>
                <w:sz w:val="20"/>
                <w:szCs w:val="20"/>
                <w:color w:val="auto"/>
              </w:rPr>
            </w:pPr>
            <w:r>
              <w:rPr>
                <w:rFonts w:ascii="Arial" w:cs="Arial" w:eastAsia="Arial" w:hAnsi="Arial"/>
                <w:sz w:val="18"/>
                <w:szCs w:val="18"/>
                <w:color w:val="auto"/>
                <w:w w:val="93"/>
              </w:rPr>
              <w:t>Smart e-tail</w:t>
            </w:r>
          </w:p>
        </w:tc>
        <w:tc>
          <w:tcPr>
            <w:tcW w:w="15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278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93"/>
              </w:rPr>
              <w:t>(Retail)</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1,250,000</w:t>
            </w:r>
          </w:p>
        </w:tc>
        <w:tc>
          <w:tcPr>
            <w:tcW w:w="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260,476</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FFCC"/>
          </w:tcPr>
          <w:p>
            <w:pPr>
              <w:spacing w:after="0"/>
              <w:rPr>
                <w:sz w:val="20"/>
                <w:szCs w:val="20"/>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44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360" w:type="dxa"/>
            <w:vAlign w:val="bottom"/>
            <w:tcBorders>
              <w:bottom w:val="single" w:sz="8" w:color="CCFFCC"/>
            </w:tcBorders>
          </w:tcPr>
          <w:p>
            <w:pPr>
              <w:spacing w:after="0"/>
              <w:rPr>
                <w:sz w:val="18"/>
                <w:szCs w:val="18"/>
                <w:color w:val="auto"/>
              </w:rPr>
            </w:pPr>
          </w:p>
        </w:tc>
        <w:tc>
          <w:tcPr>
            <w:tcW w:w="860" w:type="dxa"/>
            <w:vAlign w:val="bottom"/>
            <w:tcBorders>
              <w:bottom w:val="single" w:sz="8" w:color="CCFFCC"/>
            </w:tcBorders>
          </w:tcPr>
          <w:p>
            <w:pPr>
              <w:spacing w:after="0"/>
              <w:rPr>
                <w:sz w:val="18"/>
                <w:szCs w:val="18"/>
                <w:color w:val="auto"/>
              </w:rPr>
            </w:pPr>
          </w:p>
        </w:tc>
        <w:tc>
          <w:tcPr>
            <w:tcW w:w="2780" w:type="dxa"/>
            <w:vAlign w:val="bottom"/>
            <w:tcBorders>
              <w:bottom w:val="single" w:sz="8" w:color="CCFFCC"/>
            </w:tcBorders>
          </w:tcPr>
          <w:p>
            <w:pPr>
              <w:spacing w:after="0"/>
              <w:rPr>
                <w:sz w:val="18"/>
                <w:szCs w:val="18"/>
                <w:color w:val="auto"/>
              </w:rPr>
            </w:pPr>
          </w:p>
        </w:tc>
        <w:tc>
          <w:tcPr>
            <w:tcW w:w="152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CCFFCC"/>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9"/>
            <w:shd w:val="clear" w:color="auto" w:fill="CCFFCC"/>
          </w:tcPr>
          <w:p>
            <w:pPr>
              <w:spacing w:after="0"/>
              <w:rPr>
                <w:sz w:val="20"/>
                <w:szCs w:val="20"/>
                <w:color w:val="auto"/>
              </w:rPr>
            </w:pPr>
            <w:r>
              <w:rPr>
                <w:rFonts w:ascii="Arial" w:cs="Arial" w:eastAsia="Arial" w:hAnsi="Arial"/>
                <w:sz w:val="18"/>
                <w:szCs w:val="18"/>
                <w:b w:val="1"/>
                <w:bCs w:val="1"/>
                <w:color w:val="auto"/>
              </w:rPr>
              <w:t>Total Portfolio Investments</w:t>
            </w:r>
          </w:p>
        </w:tc>
        <w:tc>
          <w:tcPr>
            <w:tcW w:w="278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65,658,866</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64,078,150</w:t>
            </w:r>
          </w:p>
        </w:tc>
        <w:tc>
          <w:tcPr>
            <w:tcW w:w="220" w:type="dxa"/>
            <w:vAlign w:val="bottom"/>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Shares / Par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gridSpan w:val="3"/>
          </w:tcPr>
          <w:p>
            <w:pPr>
              <w:ind w:left="680"/>
              <w:spacing w:after="0"/>
              <w:rPr>
                <w:sz w:val="20"/>
                <w:szCs w:val="20"/>
                <w:color w:val="auto"/>
              </w:rPr>
            </w:pPr>
            <w:r>
              <w:rPr>
                <w:rFonts w:ascii="Arial" w:cs="Arial" w:eastAsia="Arial" w:hAnsi="Arial"/>
                <w:sz w:val="18"/>
                <w:szCs w:val="18"/>
                <w:b w:val="1"/>
                <w:bCs w:val="1"/>
                <w:color w:val="auto"/>
              </w:rPr>
              <w:t>Non-Portfolio Investments</w:t>
            </w:r>
          </w:p>
        </w:tc>
        <w:tc>
          <w:tcPr>
            <w:tcW w:w="2360" w:type="dxa"/>
            <w:vAlign w:val="bottom"/>
          </w:tcPr>
          <w:p>
            <w:pPr>
              <w:ind w:left="200"/>
              <w:spacing w:after="0"/>
              <w:rPr>
                <w:sz w:val="20"/>
                <w:szCs w:val="20"/>
                <w:color w:val="auto"/>
              </w:rPr>
            </w:pPr>
            <w:r>
              <w:rPr>
                <w:rFonts w:ascii="Arial" w:cs="Arial" w:eastAsia="Arial" w:hAnsi="Arial"/>
                <w:sz w:val="18"/>
                <w:szCs w:val="18"/>
                <w:b w:val="1"/>
                <w:bCs w:val="1"/>
                <w:color w:val="auto"/>
              </w:rPr>
              <w:t>Headquarters / Industry</w:t>
            </w:r>
          </w:p>
        </w:tc>
        <w:tc>
          <w:tcPr>
            <w:tcW w:w="42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Fair Value</w:t>
            </w:r>
          </w:p>
        </w:tc>
        <w:tc>
          <w:tcPr>
            <w:tcW w:w="11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Net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3"/>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United States Treasury </w:t>
            </w:r>
            <w:r>
              <w:rPr>
                <w:rFonts w:ascii="Arial" w:cs="Arial" w:eastAsia="Arial" w:hAnsi="Arial"/>
                <w:sz w:val="25"/>
                <w:szCs w:val="25"/>
                <w:b w:val="1"/>
                <w:bCs w:val="1"/>
                <w:color w:val="auto"/>
                <w:vertAlign w:val="superscript"/>
              </w:rPr>
              <w:t>(1)</w:t>
            </w:r>
          </w:p>
        </w:tc>
        <w:tc>
          <w:tcPr>
            <w:tcW w:w="23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236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w w:val="96"/>
              </w:rPr>
              <w:t>United States Treasury Bill, 0%, due 1/26/2012</w:t>
            </w:r>
          </w:p>
        </w:tc>
        <w:tc>
          <w:tcPr>
            <w:tcW w:w="2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20,000,000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19,999,128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20,000,044</w:t>
            </w:r>
          </w:p>
        </w:tc>
        <w:tc>
          <w:tcPr>
            <w:tcW w:w="1100" w:type="dxa"/>
            <w:vAlign w:val="bottom"/>
          </w:tcPr>
          <w:p>
            <w:pPr>
              <w:jc w:val="right"/>
              <w:spacing w:after="0"/>
              <w:rPr>
                <w:sz w:val="20"/>
                <w:szCs w:val="20"/>
                <w:color w:val="auto"/>
              </w:rPr>
            </w:pPr>
            <w:r>
              <w:rPr>
                <w:rFonts w:ascii="Arial" w:cs="Arial" w:eastAsia="Arial" w:hAnsi="Arial"/>
                <w:sz w:val="18"/>
                <w:szCs w:val="18"/>
                <w:color w:val="auto"/>
              </w:rPr>
              <w:t>27.97%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23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xml:space="preserve">Money Market Funds </w:t>
            </w:r>
            <w:r>
              <w:rPr>
                <w:rFonts w:ascii="Arial" w:cs="Arial" w:eastAsia="Arial" w:hAnsi="Arial"/>
                <w:sz w:val="25"/>
                <w:szCs w:val="25"/>
                <w:b w:val="1"/>
                <w:bCs w:val="1"/>
                <w:color w:val="auto"/>
                <w:vertAlign w:val="superscript"/>
              </w:rPr>
              <w:t>(1)</w:t>
            </w:r>
          </w:p>
        </w:tc>
        <w:tc>
          <w:tcPr>
            <w:tcW w:w="2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Fidelity Institutional Money Market Funds</w:t>
            </w:r>
          </w:p>
        </w:tc>
        <w:tc>
          <w:tcPr>
            <w:tcW w:w="23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Money Market Portfolio</w:t>
            </w:r>
          </w:p>
        </w:tc>
        <w:tc>
          <w:tcPr>
            <w:tcW w:w="2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3,500,000</w:t>
            </w:r>
          </w:p>
        </w:tc>
        <w:tc>
          <w:tcPr>
            <w:tcW w:w="110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Prime Money Market Portfolio</w:t>
            </w:r>
          </w:p>
        </w:tc>
        <w:tc>
          <w:tcPr>
            <w:tcW w:w="23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3,500,000</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3,500,000</w:t>
            </w:r>
          </w:p>
        </w:tc>
        <w:tc>
          <w:tcPr>
            <w:tcW w:w="6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3,500,000</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bottom w:val="single" w:sz="8" w:color="CCFFCC"/>
            </w:tcBorders>
            <w:gridSpan w:val="3"/>
          </w:tcPr>
          <w:p>
            <w:pPr>
              <w:spacing w:after="0"/>
              <w:rPr>
                <w:sz w:val="20"/>
                <w:szCs w:val="20"/>
                <w:color w:val="auto"/>
              </w:rPr>
            </w:pPr>
            <w:r>
              <w:rPr>
                <w:rFonts w:ascii="Arial" w:cs="Arial" w:eastAsia="Arial" w:hAnsi="Arial"/>
                <w:sz w:val="18"/>
                <w:szCs w:val="18"/>
                <w:color w:val="auto"/>
              </w:rPr>
              <w:t>Total Money Market Funds</w:t>
            </w:r>
          </w:p>
        </w:tc>
        <w:tc>
          <w:tcPr>
            <w:tcW w:w="2360" w:type="dxa"/>
            <w:vAlign w:val="bottom"/>
            <w:tcBorders>
              <w:bottom w:val="single" w:sz="8" w:color="CCFFCC"/>
            </w:tcBorders>
          </w:tcPr>
          <w:p>
            <w:pPr>
              <w:spacing w:after="0"/>
              <w:rPr>
                <w:sz w:val="18"/>
                <w:szCs w:val="18"/>
                <w:color w:val="auto"/>
              </w:rPr>
            </w:pPr>
          </w:p>
        </w:tc>
        <w:tc>
          <w:tcPr>
            <w:tcW w:w="420" w:type="dxa"/>
            <w:vAlign w:val="bottom"/>
            <w:tcBorders>
              <w:bottom w:val="single" w:sz="8" w:color="CCFFCC"/>
            </w:tcBorders>
          </w:tcPr>
          <w:p>
            <w:pPr>
              <w:spacing w:after="0"/>
              <w:rPr>
                <w:sz w:val="18"/>
                <w:szCs w:val="18"/>
                <w:color w:val="auto"/>
              </w:rPr>
            </w:pPr>
          </w:p>
        </w:tc>
        <w:tc>
          <w:tcPr>
            <w:tcW w:w="110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7,000,000</w:t>
            </w:r>
          </w:p>
        </w:tc>
        <w:tc>
          <w:tcPr>
            <w:tcW w:w="60" w:type="dxa"/>
            <w:vAlign w:val="bottom"/>
            <w:tcBorders>
              <w:bottom w:val="single" w:sz="8" w:color="CCFFCC"/>
            </w:tcBorders>
          </w:tcPr>
          <w:p>
            <w:pPr>
              <w:spacing w:after="0"/>
              <w:rPr>
                <w:sz w:val="18"/>
                <w:szCs w:val="18"/>
                <w:color w:val="auto"/>
              </w:rPr>
            </w:pPr>
          </w:p>
        </w:tc>
        <w:tc>
          <w:tcPr>
            <w:tcW w:w="220" w:type="dxa"/>
            <w:vAlign w:val="bottom"/>
            <w:tcBorders>
              <w:bottom w:val="single" w:sz="8" w:color="CCFFCC"/>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7,000,000</w:t>
            </w:r>
          </w:p>
        </w:tc>
        <w:tc>
          <w:tcPr>
            <w:tcW w:w="220" w:type="dxa"/>
            <w:vAlign w:val="bottom"/>
            <w:tcBorders>
              <w:bottom w:val="single" w:sz="8" w:color="CCFFCC"/>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23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Total Investments</w:t>
            </w:r>
          </w:p>
        </w:tc>
        <w:tc>
          <w:tcPr>
            <w:tcW w:w="2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92,657,994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91,078,194</w:t>
            </w:r>
          </w:p>
        </w:tc>
        <w:tc>
          <w:tcPr>
            <w:tcW w:w="1100" w:type="dxa"/>
            <w:vAlign w:val="bottom"/>
          </w:tcPr>
          <w:p>
            <w:pPr>
              <w:jc w:val="right"/>
              <w:spacing w:after="0"/>
              <w:rPr>
                <w:sz w:val="20"/>
                <w:szCs w:val="20"/>
                <w:color w:val="auto"/>
              </w:rPr>
            </w:pPr>
            <w:r>
              <w:rPr>
                <w:rFonts w:ascii="Arial" w:cs="Arial" w:eastAsia="Arial" w:hAnsi="Arial"/>
                <w:sz w:val="18"/>
                <w:szCs w:val="18"/>
                <w:color w:val="auto"/>
              </w:rPr>
              <w:t>127.37%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76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56"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Investment is income producing.</w:t>
      </w:r>
    </w:p>
    <w:p>
      <w:pPr>
        <w:spacing w:after="0" w:line="201" w:lineRule="exact"/>
        <w:rPr>
          <w:rFonts w:ascii="Arial" w:cs="Arial" w:eastAsia="Arial" w:hAnsi="Arial"/>
          <w:sz w:val="30"/>
          <w:szCs w:val="30"/>
          <w:color w:val="auto"/>
          <w:vertAlign w:val="superscript"/>
        </w:rPr>
      </w:pPr>
    </w:p>
    <w:p>
      <w:pPr>
        <w:ind w:left="340" w:right="460" w:hanging="332"/>
        <w:spacing w:after="0" w:line="194" w:lineRule="auto"/>
        <w:tabs>
          <w:tab w:leader="none" w:pos="34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On November 8, 2011, Groupon, Inc. priced its initial public offering, selling 35,000,000 shares at a price of $20.00 per share. GSV Capital Corp.’s shares in Groupon are subject to a lock-up agreement that expires on May 1, 2012.</w:t>
      </w:r>
    </w:p>
    <w:p>
      <w:pPr>
        <w:spacing w:after="0" w:line="202" w:lineRule="exact"/>
        <w:rPr>
          <w:rFonts w:ascii="Arial" w:cs="Arial" w:eastAsia="Arial" w:hAnsi="Arial"/>
          <w:sz w:val="30"/>
          <w:szCs w:val="30"/>
          <w:color w:val="auto"/>
          <w:vertAlign w:val="superscript"/>
        </w:rPr>
      </w:pPr>
    </w:p>
    <w:p>
      <w:pPr>
        <w:ind w:left="340" w:right="20" w:hanging="332"/>
        <w:spacing w:after="0" w:line="256" w:lineRule="auto"/>
        <w:tabs>
          <w:tab w:leader="none" w:pos="340" w:val="left"/>
        </w:tabs>
        <w:numPr>
          <w:ilvl w:val="0"/>
          <w:numId w:val="36"/>
        </w:numPr>
        <w:rPr>
          <w:rFonts w:ascii="Arial" w:cs="Arial" w:eastAsia="Arial" w:hAnsi="Arial"/>
          <w:sz w:val="26"/>
          <w:szCs w:val="26"/>
          <w:color w:val="auto"/>
          <w:vertAlign w:val="superscript"/>
        </w:rPr>
      </w:pPr>
      <w:r>
        <w:rPr>
          <w:rFonts w:ascii="Arial" w:cs="Arial" w:eastAsia="Arial" w:hAnsi="Arial"/>
          <w:sz w:val="16"/>
          <w:szCs w:val="16"/>
          <w:color w:val="auto"/>
        </w:rPr>
        <w:t>Represents a $4 million unsecured promissory note with an interest rate of 10% and maturity date of August 15, 2012 that was issued by PJB Fund LLC that may be repaid, at PJB Fund LLC’s election, either by transfer of a certain number of shares of common stock of Zynga, Inc. or with a cash amount of equivalent value. The amount payable under the note will be equal to the face amount, plus the greater of accrued interest (at a rate of 10%) or a return based on the relative value of Zynga, Inc. To the extent the borrower repays the note in cash, GSV Capital Corp. would have no further direct or indirect interest in Zynga, Inc. On December 15, 2011, Zynga, Inc. priced its initial public offering, selling 100,000,000 shares at a price of $10.00 per share.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1" w:name="page62"/>
    <w:bookmarkEnd w:id="61"/>
    <w:p>
      <w:pPr>
        <w:ind w:left="4820"/>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Nature of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GSV Capital Corp. (formerly NeXt Innovation Corp., the “Company”, “we”, “our” or “GSV Capital”) was formed in September 2010 as a Maryland corporation structured as an externally managed, non-diversified closed-end management investment company. The Company has elected to be treated as a business development company under the Investment Company Act of 1940, as amended (the “1940 Act”). The Company is managed by GSV Asset Management, LLC (formerly NeXt Asset Management, “GSV Asset Management”).</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Company’s date of inception is January 6, 2011, which is the date it commenced its development stage activities. On February 28, 2011, the Company, which had not yet begun investment operations, issued 100 shares which were owned by an officer of the Company who is also a principal of GSV Asset Management. On April 28, 2011, the Company priced its initial public offering, selling 3,335,000 shares at a price of $15.00 per share. The initial public offering closed on May 3, 2011, resulting in net proceeds to the Company of approximately $46.5 million. The Company’s shares are currently listed on the NASDAQ Capital Market under the symbol “GSVC”. The Company began its investment operations during the second quarter.</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investment objective is to maximize our portfolio’s total return, principally by seeking capital gains on our equity investments. The Company invests principally in the equity securities of venture capital-backed and rapidly growing emerging companies. The Company may also invest on an opportunistic basis in select publicly-traded equity securities of rapidly growing companies that otherwise meet its investment criteria.</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March 28, 2011, the board of directors (the “Board”) of the Company approved Articles of Amendment and Restatement, reflecting a change in the Company’s name from NeXt BDC Capital Corp. to NeXt Innovation Corp., which Articles of Amendment and Restatement became effective upon filing with the State Department of Assessment and Taxation of the State of Maryland on March 29, 2011. Then, on May 26, 2011, the board of directors of the Company approved Articles of Amendment, reflecting a change in the Company’s name from NeXt Innovation Corp. to GSV Capital Corp., which Articles of Amendment became effective upon filing with the State Department of Assessment and Taxation of the State of Maryland on May 26, 2011.</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26, 2011, the Company priced a secondary offering, selling 2,185,000 of common shares at a price of $14.15 per share, including an exercise in full by the underwriters of their option to purchase an additional 285,000 shares of common stock to cover overallotments. The secondary offering resulted in net proceeds to the Company of approximately $29.6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accompanying financial statements have been prepared on the accrual basis of accounting in conformity with accounting principles generally accepted in the United States of America (“GAAP”).</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Regulation S-X under the Securities Act of 1933 and Securities Exchange Act of 1934, the Company does not consolidate portfolio company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preparation of financial statements requires the Company to make a number of significant estimates. These include estimates of fair value of certain assets and liabilities and other estimates that affect the reported amounts of certain assets and liabilities as of the date of the financial statements and the reported amounts of certain revenues and expenses during the reported period. It is likely that changes in these estimates will occur in the near term. Our estimates are inherently subjective in nature and actual results could differ from our estimates and the differences could be material.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applies fair value accounting in accordance with GAAP. The Company generally values its assets on a quarterly basis, or more frequently if required under the 1940 Act. Securities for which market quotations are readily available on an exchange are valued at the closing price of such security on the valuation date; however, if they remain subject to lock-up restrictions they are discounted accordingly. The Company may also obtain quotes with respect to certain of its investments from pricing services or brokers or dealers in order to value assets. When doing so, the Company determines whether the quote obtained is sufficient according to GAAP to determine the fair value of the security. If determined adequate, the Company uses the quote obtained.</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GSV Asset Management, the Board or the Valuation Committee of the Board (the “Valuation Committee”), does not represent fair value, shall each be valued as follows:</w:t>
      </w:r>
    </w:p>
    <w:p>
      <w:pPr>
        <w:spacing w:after="0" w:line="181" w:lineRule="exact"/>
        <w:rPr>
          <w:sz w:val="20"/>
          <w:szCs w:val="20"/>
          <w:color w:val="auto"/>
        </w:rPr>
      </w:pPr>
    </w:p>
    <w:p>
      <w:pPr>
        <w:ind w:left="660" w:right="20" w:hanging="328"/>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GSV Asset Management senior management;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management’s preliminary valuations and make their own independent assessment, for all material investments;</w:t>
      </w:r>
    </w:p>
    <w:p>
      <w:pPr>
        <w:ind w:left="660" w:right="2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Valuation Committee discusses valuations and recommends the fair value of each investment in the portfolio in good faith based on the input of GSV Asset Management and the independent third-party valuation firm; and</w:t>
      </w:r>
    </w:p>
    <w:p>
      <w:pPr>
        <w:ind w:left="660" w:right="20" w:hanging="328"/>
        <w:spacing w:after="0" w:line="290"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Board then discusses the valuations and determines in good faith the fair value of each investment in the portfolio based upon input of GSV Asset Management, estimates from the independent valuation firm and the recommendations of the Valuation Committee.</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making our good faith determination of the fair value of investments, we consider valuation methodologies consistent with industry practice. Valuation methods, among other measures and as applicable, may include comparisons to prices from secondary market transactions and recent venture capital financings,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Company will consider the pricing indicated by the external event to corroborate the private equity valuation. Due to the inherent uncertainty of determining the fair value of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the ability to access (examples include active exchange-traded equity securities, exchange-traded derivatives, and most U.S. Government and agency securities).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directly or indirectly for substantially the full term of the asset or liability. Level 2 inputs include the following: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63" w:name="page64"/>
    <w:bookmarkEnd w:id="63"/>
    <w:p>
      <w:pPr>
        <w:ind w:left="1300" w:hanging="320"/>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3"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(examples include corporate and municipal bonds, which trade infrequently);</w:t>
      </w:r>
    </w:p>
    <w:p>
      <w:pPr>
        <w:ind w:left="1300" w:hanging="320"/>
        <w:spacing w:after="0" w:line="250"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(examples include most over-the-counter derivatives, including foreign exchange forward contracts); and</w:t>
      </w:r>
    </w:p>
    <w:p>
      <w:pPr>
        <w:ind w:left="1300" w:hanging="320"/>
        <w:spacing w:after="0" w:line="261"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 both unobservable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to the overall fair value measurement. These inputs reflect management’s own assumptions about the assumptions a market participant would use in pricing the asset or liability (examples include certain of our private equity investments).</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3 may include changes in fair value that are attributable to both observable inputs (Levels 1 and 2) and unobservable inputs (Level 3).</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Securities transactions are accounted for on the date the transaction for the purchase or sale of the securities is entered into by the Company (i.e.,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non-diversified company within the meaning of the 1940 Act. We classify our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another person. At December 31, 2011, no investments were deemed to be control or affiliated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places its cash with U.S. Bank, N.A. and First Republic Bank, N.A., and at times, cash held in these accounts may exceed the Federal Deposit Insurance Corporation insured limit. The Company also invests a portion of its cash in money market funds, within limitations of the 1940 Act.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income, adjusted for amortization of premium and accretion of discount, is recorded on an accrual basis.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Commissions and other costs associated with an investment transaction, including legal expenses, are included in the cost basis of purchases and deducted from the proceeds of sales. The Company makes certain acquisitions on the secondary market which involves making deposits to escrow accounts until certain conditions are met including the underlying private company’s right of first refusal. If the underlying private company does not exercise its right to first refusal and all other conditions are met, then the funds in the escrow account are delivered to the seller and the account is closed. These transactions are reflected on the Statement of Assets and Liabilities as Escrow deposits. At December 31, 2011, the Company had $0 in Escrow deposits.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Payable for Unsettled Securities Transaction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Payable for unsettled securities transaction relates to the purchase of the United States Treasury Bill that was unsettled at December 31, 2011, and settled subsequent to year-end.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Unrealized appreciation or depreciation is calculated as the difference between the fair value of the investment and the cost basis of such investment.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intends to elect to be treated as a regulated investment company (“RIC”) under subchapter M of the Internal Revenue Code of 1986, as amended, and to operate in a manner so as to qualify for the tax treatment applicable to RICs. In order to qualify as a RIC, among other things, the Company is required to timely distribute to its stockholders at least 90% of investment company taxable income, as defined by the Code, for each year. So long as the Company maintains its status as a RIC, it generally will not pay corporate-level U.S. federal and state income taxes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evaluates tax positions taken or expected to be taken in the course of preparing its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The Company did not have any unrecognized tax benefits as of the period presented herein. The Company identified its major tax jurisdictions as U.S. Federal and California, and is not aware of any tax positions for which it is reasonably possible that the total amount of unrecognized tax benefits will change materially in the next 12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Organization costs include costs relating to the formation and incorporation of the business. These costs were expensed as incurred. For the period from January 6, 2011 (date of inception) to December 31, 2011, the Company has incurred and expensed organization costs of $198,831. Offering costs include legal fees and other costs pertaining to the initial public offering. These costs have been offset against capital proceeds from the public offerings. For the period from January 6, 2011 (date of inception) to December 31, 2011, these costs amount to $1,058,288.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Basic and diluted earnings (loss) per common share is calculated using the weighted average number of shares outstanding for the period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(loss) per share are the same since there are no potentially dilutive securities outstanding.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Capital Accounts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Certain capital accounts including undistributed net investment income, accumulated net realized gain or loss, net unrealized appreciation or depreciation, and paid in capital in excess of par, are adjusted, at least annually, for permanent differences between book and tax. In addition, the character of income and gains to be distributed is determined in accordance with income tax regulations that may differ from GAAP. GAAP requires that certain components of net assets relating to permanent difference be reclassified between financial and tax reporting. These reclassifications have no effect on the net assets or net asset value per share and are intended to enable the Company’s stockholders to determine the amount of accumulated and undistributed earnings they potentially could receive in the future and on which they could be taxed. For the period from January 6, 2011 (date of inception) to December 31, 2011, the net investment loss of $2,033,864 in the Statement of Operations was determined to be a permanent difference and reduced paid-in capital in excess of par in the Statement of Assets and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May 2011, the Financial Accounting Standards Board (“FASB”) issued guidance clarifying how to measure and disclose fair value. This guidance amends the application of the “highest and best use” concept to be used only in the measurement of fair value of nonfinancial assets, clarifies that the measurement of the fair value of equity-classified financial instruments should be performed from the perspective of a market participant who holds the instrument as an asset, clarifies that an entity that manages a group of financial assets and liabilities on the basis of its net risk exposure can measure those financial instruments on the basis of its net exposure to those risks, and clarifies when premiums and discounts should be taken into account when measuring fair value. The fair value disclosure requirements also were amended. The amended guidance is to be applied prospectively. For public entities, the guidance is effective during interim and annual periods beginning after December 15, 2011. Early application by public entities is not permitted. At this time management is evaluating the implications of the guidance and the impact to the financial statements of GSV Capital Corp.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RELATED PARTY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entered into an investment advisory agreement with GSV Asset Management (the “Advisory Agreement”) in connection with its initial public offering. Pursuant to the Advisory Agreement, GSV Asset Management will be paid a base annual fee of 2% of gross assets, and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For the period from the close of the initial public offering through and including December 31, 2011, the fee was payable monthly in arrears, and was calculated based on the initial value of the Company’s assets upon the closing of the public offering. GSV Asset Management earned $618,865 in base fees and $0 in incentive fees for the period from January 6, 2011 (date of inception) to December 31, 2011.</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2011, the Company was due $13,470 from GSV Asset Management for reimbursement of travel-related expenses paid for by the Company that were the responsibility of GSV Asset Management, and is included in the Statement of Assets and Liabilities.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2011, the Company owed certain officers and directors $10,782 for reimbursements of travel-related and other expenses. The Company owed GSV Asset Management $78,427 for management fees and reimbursements of travel-related and other expenses. These are included in the Statement of Assets and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in connection with its initial public offering and ongoing operations. The Company reimburses GSV Capital Service Company an allocable portion of overhead and other expenses in performing its obligations under the Administration Agreement. There was $554,232 in such costs incurred under the Administration Agreement for the period from January 6, 2011 (date of inception) to December 31, 2011.</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PORTFOLIO INVESTMENTS AND FAIR VALUE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December 31, 2011, the Company had 24 investments in 21 portfolio companies. The total cost and fair value of the 24 positions were $65,658,866 and $64,078,150, respectively. The composition of our investments as of December 31, 2011 is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43,451,594</w:t>
            </w:r>
          </w:p>
        </w:tc>
        <w:tc>
          <w:tcPr>
            <w:tcW w:w="4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42,053,669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17,595,397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17,453,085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8"/>
                <w:szCs w:val="18"/>
                <w:color w:val="auto"/>
              </w:rPr>
              <w:t>Structured Note</w:t>
            </w: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4,535,082</w:t>
            </w:r>
          </w:p>
        </w:tc>
        <w:tc>
          <w:tcPr>
            <w:tcW w:w="2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4,500,000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Warrants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76,793</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Portfolio Investments</w:t>
            </w:r>
          </w:p>
        </w:tc>
        <w:tc>
          <w:tcPr>
            <w:tcW w:w="28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65,658,866</w:t>
            </w:r>
          </w:p>
        </w:tc>
        <w:tc>
          <w:tcPr>
            <w:tcW w:w="26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64,078,150</w:t>
            </w:r>
          </w:p>
        </w:tc>
        <w:tc>
          <w:tcPr>
            <w:tcW w:w="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Non-Portfolio Investments</w:t>
            </w:r>
          </w:p>
        </w:tc>
        <w:tc>
          <w:tcPr>
            <w:tcW w:w="28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26,999,128</w:t>
            </w:r>
          </w:p>
        </w:tc>
        <w:tc>
          <w:tcPr>
            <w:tcW w:w="26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27,000,044</w:t>
            </w:r>
          </w:p>
        </w:tc>
        <w:tc>
          <w:tcPr>
            <w:tcW w:w="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92,657,994</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91,078,194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fair values of our investments disaggregated into the three levels of the fair value hierarchy based upon the lowest level of significant input used in the valuation as of December 31, 2011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Significant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9"/>
              </w:rPr>
              <w:t>Quoted Prices in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3"/>
              </w:rPr>
              <w:t>Active Markets for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Observable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Identical Securities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Inputs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FFCC"/>
          </w:tcPr>
          <w:p>
            <w:pPr>
              <w:ind w:left="8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spacing w:after="0"/>
              <w:rPr>
                <w:sz w:val="18"/>
                <w:szCs w:val="18"/>
                <w:color w:val="auto"/>
              </w:rPr>
            </w:pPr>
          </w:p>
        </w:tc>
        <w:tc>
          <w:tcPr>
            <w:tcW w:w="260" w:type="dxa"/>
            <w:vAlign w:val="bottom"/>
            <w:shd w:val="clear" w:color="auto" w:fill="CCFFCC"/>
          </w:tcPr>
          <w:p>
            <w:pPr>
              <w:jc w:val="right"/>
              <w:ind w:right="94"/>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1,188,288</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40,865,381</w:t>
            </w:r>
          </w:p>
        </w:tc>
        <w:tc>
          <w:tcPr>
            <w:tcW w:w="3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42,053,669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rPr>
              <w:t>U.S. Treasury Bill</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20,000,044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20,000,044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ind w:left="80"/>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FFCC"/>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17,453,085</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17,453,085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7,000,000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ind w:left="80"/>
              <w:spacing w:after="0"/>
              <w:rPr>
                <w:sz w:val="20"/>
                <w:szCs w:val="20"/>
                <w:color w:val="auto"/>
              </w:rPr>
            </w:pPr>
            <w:r>
              <w:rPr>
                <w:rFonts w:ascii="Arial" w:cs="Arial" w:eastAsia="Arial" w:hAnsi="Arial"/>
                <w:sz w:val="18"/>
                <w:szCs w:val="18"/>
                <w:color w:val="auto"/>
              </w:rPr>
              <w:t>Structured Note</w:t>
            </w: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FFCC"/>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4,500,000</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71,396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FFCC"/>
          </w:tcPr>
          <w:p>
            <w:pPr>
              <w:ind w:left="80"/>
              <w:spacing w:after="0"/>
              <w:rPr>
                <w:sz w:val="20"/>
                <w:szCs w:val="20"/>
                <w:color w:val="auto"/>
              </w:rPr>
            </w:pPr>
            <w:r>
              <w:rPr>
                <w:rFonts w:ascii="Arial" w:cs="Arial" w:eastAsia="Arial" w:hAnsi="Arial"/>
                <w:sz w:val="18"/>
                <w:szCs w:val="18"/>
                <w:color w:val="auto"/>
              </w:rPr>
              <w:t>Total Investments</w:t>
            </w:r>
          </w:p>
        </w:tc>
        <w:tc>
          <w:tcPr>
            <w:tcW w:w="2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tcBorders>
              <w:right w:val="single" w:sz="8" w:color="CCFFCC"/>
            </w:tcBorders>
            <w:shd w:val="clear" w:color="auto" w:fill="CCFFCC"/>
          </w:tcPr>
          <w:p>
            <w:pPr>
              <w:spacing w:after="0"/>
              <w:rPr>
                <w:sz w:val="19"/>
                <w:szCs w:val="19"/>
                <w:color w:val="auto"/>
              </w:rPr>
            </w:pPr>
          </w:p>
        </w:tc>
        <w:tc>
          <w:tcPr>
            <w:tcW w:w="260" w:type="dxa"/>
            <w:vAlign w:val="bottom"/>
            <w:shd w:val="clear" w:color="auto" w:fill="CCFFCC"/>
          </w:tcPr>
          <w:p>
            <w:pPr>
              <w:jc w:val="right"/>
              <w:ind w:right="94"/>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27,000,044</w:t>
            </w:r>
          </w:p>
        </w:tc>
        <w:tc>
          <w:tcPr>
            <w:tcW w:w="4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1,188,288</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62,889,862</w:t>
            </w:r>
          </w:p>
        </w:tc>
        <w:tc>
          <w:tcPr>
            <w:tcW w:w="3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91,078,194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400" w:type="dxa"/>
            <w:vAlign w:val="bottom"/>
            <w:gridSpan w:val="20"/>
          </w:tcPr>
          <w:p>
            <w:pPr>
              <w:ind w:left="640"/>
              <w:spacing w:after="0"/>
              <w:rPr>
                <w:sz w:val="20"/>
                <w:szCs w:val="20"/>
                <w:color w:val="auto"/>
              </w:rPr>
            </w:pPr>
            <w:r>
              <w:rPr>
                <w:rFonts w:ascii="Arial" w:cs="Arial" w:eastAsia="Arial" w:hAnsi="Arial"/>
                <w:sz w:val="18"/>
                <w:szCs w:val="18"/>
                <w:color w:val="auto"/>
                <w:w w:val="91"/>
              </w:rPr>
              <w:t>The aggregate values of Level 3 portfolio investments changed during the period from January 6, 2011 (date of inception) to December 31, 2011 as</w:t>
            </w: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follows: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2"/>
              </w:rPr>
              <w:t>Common Stock</w:t>
            </w:r>
          </w:p>
        </w:tc>
        <w:tc>
          <w:tcPr>
            <w:tcW w:w="260" w:type="dxa"/>
            <w:vAlign w:val="bottom"/>
          </w:tcPr>
          <w:p>
            <w:pPr>
              <w:spacing w:after="0"/>
              <w:rPr>
                <w:sz w:val="24"/>
                <w:szCs w:val="24"/>
                <w:color w:val="auto"/>
              </w:rPr>
            </w:pP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rPr>
              <w:t>Preferred Stock</w:t>
            </w:r>
          </w:p>
        </w:tc>
        <w:tc>
          <w:tcPr>
            <w:tcW w:w="18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Structured Note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Warrants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Fair value as of January 6, 2011</w:t>
            </w:r>
          </w:p>
        </w:tc>
        <w:tc>
          <w:tcPr>
            <w:tcW w:w="22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Purchases of investments</w:t>
            </w: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43,451,594</w:t>
            </w: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17,595,397</w:t>
            </w:r>
          </w:p>
        </w:tc>
        <w:tc>
          <w:tcPr>
            <w:tcW w:w="14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4,535,082</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76,793</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65,658,866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w w:val="93"/>
              </w:rPr>
              <w:t>Change in unrealized depreciation included in</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earnings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(1,397,925)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(142,312)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(35,082)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(5,397)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(1,580,716)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Transfer to Level 2</w:t>
            </w: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(1,188,288)</w:t>
            </w: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(1,188,288)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tcBorders>
              <w:right w:val="single" w:sz="8" w:color="CCFFCC"/>
            </w:tcBorders>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80" w:type="dxa"/>
            <w:vAlign w:val="bottom"/>
            <w:tcBorders>
              <w:right w:val="single" w:sz="8" w:color="auto"/>
            </w:tcBorders>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8"/>
                <w:szCs w:val="18"/>
                <w:color w:val="auto"/>
              </w:rPr>
              <w:t>Fair value as of December 31, 2011</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40,865,381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17,453,085</w:t>
            </w:r>
          </w:p>
        </w:tc>
        <w:tc>
          <w:tcPr>
            <w:tcW w:w="14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4,500,000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71,396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62,889,862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420" w:type="dxa"/>
            <w:vAlign w:val="bottom"/>
            <w:shd w:val="clear" w:color="auto" w:fill="CCFFCC"/>
          </w:tcPr>
          <w:p>
            <w:pPr>
              <w:spacing w:after="0" w:line="182" w:lineRule="exact"/>
              <w:rPr>
                <w:sz w:val="20"/>
                <w:szCs w:val="20"/>
                <w:color w:val="auto"/>
              </w:rPr>
            </w:pPr>
            <w:r>
              <w:rPr>
                <w:rFonts w:ascii="Arial" w:cs="Arial" w:eastAsia="Arial" w:hAnsi="Arial"/>
                <w:sz w:val="18"/>
                <w:szCs w:val="18"/>
                <w:color w:val="auto"/>
                <w:w w:val="94"/>
              </w:rPr>
              <w:t>Change in unrealized depreciation on Level 3</w:t>
            </w:r>
          </w:p>
        </w:tc>
        <w:tc>
          <w:tcPr>
            <w:tcW w:w="22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080" w:type="dxa"/>
            <w:vAlign w:val="bottom"/>
            <w:tcBorders>
              <w:right w:val="single" w:sz="8" w:color="CCFFCC"/>
            </w:tcBorders>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160" w:type="dxa"/>
            <w:vAlign w:val="bottom"/>
            <w:tcBorders>
              <w:right w:val="single" w:sz="8" w:color="CCFFCC"/>
            </w:tcBorders>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80" w:type="dxa"/>
            <w:vAlign w:val="bottom"/>
            <w:tcBorders>
              <w:right w:val="single" w:sz="8" w:color="CCFFCC"/>
            </w:tcBorders>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12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8"/>
              </w:rPr>
              <w:t>investments still held as of December 31,</w:t>
            </w:r>
          </w:p>
        </w:tc>
        <w:tc>
          <w:tcPr>
            <w:tcW w:w="220" w:type="dxa"/>
            <w:vAlign w:val="bottom"/>
            <w:vMerge w:val="restart"/>
            <w:shd w:val="clear" w:color="auto" w:fill="CCFFCC"/>
          </w:tcPr>
          <w:p>
            <w:pPr>
              <w:spacing w:after="0"/>
              <w:rPr>
                <w:sz w:val="18"/>
                <w:szCs w:val="18"/>
                <w:color w:val="auto"/>
              </w:rPr>
            </w:pPr>
          </w:p>
        </w:tc>
        <w:tc>
          <w:tcPr>
            <w:tcW w:w="280" w:type="dxa"/>
            <w:vAlign w:val="bottom"/>
            <w:vMerge w:val="restart"/>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FFCC"/>
            </w:tcBorders>
            <w:vMerge w:val="restart"/>
            <w:shd w:val="clear" w:color="auto" w:fill="CCFFCC"/>
          </w:tcPr>
          <w:p>
            <w:pPr>
              <w:jc w:val="right"/>
              <w:spacing w:after="0"/>
              <w:rPr>
                <w:sz w:val="20"/>
                <w:szCs w:val="20"/>
                <w:color w:val="auto"/>
              </w:rPr>
            </w:pPr>
            <w:r>
              <w:rPr>
                <w:rFonts w:ascii="Arial" w:cs="Arial" w:eastAsia="Arial" w:hAnsi="Arial"/>
                <w:sz w:val="18"/>
                <w:szCs w:val="18"/>
                <w:color w:val="auto"/>
              </w:rPr>
              <w:t>(457,628)</w:t>
            </w:r>
          </w:p>
        </w:tc>
        <w:tc>
          <w:tcPr>
            <w:tcW w:w="440" w:type="dxa"/>
            <w:vAlign w:val="bottom"/>
            <w:gridSpan w:val="2"/>
            <w:vMerge w:val="restart"/>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FFCC"/>
          </w:tcPr>
          <w:p>
            <w:pPr>
              <w:jc w:val="right"/>
              <w:ind w:right="140"/>
              <w:spacing w:after="0"/>
              <w:rPr>
                <w:sz w:val="20"/>
                <w:szCs w:val="20"/>
                <w:color w:val="auto"/>
              </w:rPr>
            </w:pPr>
            <w:r>
              <w:rPr>
                <w:rFonts w:ascii="Arial" w:cs="Arial" w:eastAsia="Arial" w:hAnsi="Arial"/>
                <w:sz w:val="18"/>
                <w:szCs w:val="18"/>
                <w:color w:val="auto"/>
              </w:rPr>
              <w:t>(142,312)</w:t>
            </w:r>
          </w:p>
        </w:tc>
        <w:tc>
          <w:tcPr>
            <w:tcW w:w="400" w:type="dxa"/>
            <w:vAlign w:val="bottom"/>
            <w:gridSpan w:val="2"/>
            <w:vMerge w:val="restart"/>
            <w:shd w:val="clear" w:color="auto" w:fill="CCFFCC"/>
          </w:tcPr>
          <w:p>
            <w:pPr>
              <w:ind w:left="1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FFCC"/>
          </w:tcPr>
          <w:p>
            <w:pPr>
              <w:jc w:val="right"/>
              <w:ind w:right="140"/>
              <w:spacing w:after="0"/>
              <w:rPr>
                <w:sz w:val="20"/>
                <w:szCs w:val="20"/>
                <w:color w:val="auto"/>
              </w:rPr>
            </w:pPr>
            <w:r>
              <w:rPr>
                <w:rFonts w:ascii="Arial" w:cs="Arial" w:eastAsia="Arial" w:hAnsi="Arial"/>
                <w:sz w:val="18"/>
                <w:szCs w:val="18"/>
                <w:color w:val="auto"/>
              </w:rPr>
              <w:t>(35,082)</w:t>
            </w:r>
          </w:p>
        </w:tc>
        <w:tc>
          <w:tcPr>
            <w:tcW w:w="240" w:type="dxa"/>
            <w:vAlign w:val="bottom"/>
            <w:gridSpan w:val="2"/>
            <w:vMerge w:val="restart"/>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FFCC"/>
          </w:tcPr>
          <w:p>
            <w:pPr>
              <w:jc w:val="right"/>
              <w:ind w:right="140"/>
              <w:spacing w:after="0"/>
              <w:rPr>
                <w:sz w:val="20"/>
                <w:szCs w:val="20"/>
                <w:color w:val="auto"/>
              </w:rPr>
            </w:pPr>
            <w:r>
              <w:rPr>
                <w:rFonts w:ascii="Arial" w:cs="Arial" w:eastAsia="Arial" w:hAnsi="Arial"/>
                <w:sz w:val="18"/>
                <w:szCs w:val="18"/>
                <w:color w:val="auto"/>
              </w:rPr>
              <w:t>(5,397)</w:t>
            </w:r>
          </w:p>
        </w:tc>
        <w:tc>
          <w:tcPr>
            <w:tcW w:w="380" w:type="dxa"/>
            <w:vAlign w:val="bottom"/>
            <w:gridSpan w:val="2"/>
            <w:vMerge w:val="restart"/>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FFCC"/>
          </w:tcPr>
          <w:p>
            <w:pPr>
              <w:jc w:val="right"/>
              <w:ind w:right="40"/>
              <w:spacing w:after="0"/>
              <w:rPr>
                <w:sz w:val="20"/>
                <w:szCs w:val="20"/>
                <w:color w:val="auto"/>
              </w:rPr>
            </w:pPr>
            <w:r>
              <w:rPr>
                <w:rFonts w:ascii="Arial" w:cs="Arial" w:eastAsia="Arial" w:hAnsi="Arial"/>
                <w:sz w:val="18"/>
                <w:szCs w:val="18"/>
                <w:color w:val="auto"/>
              </w:rPr>
              <w:t>(640,419)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FFCC"/>
          </w:tcPr>
          <w:p>
            <w:pPr>
              <w:ind w:left="160"/>
              <w:spacing w:after="0" w:line="190" w:lineRule="exact"/>
              <w:rPr>
                <w:sz w:val="20"/>
                <w:szCs w:val="20"/>
                <w:color w:val="auto"/>
              </w:rPr>
            </w:pPr>
            <w:r>
              <w:rPr>
                <w:rFonts w:ascii="Arial" w:cs="Arial" w:eastAsia="Arial" w:hAnsi="Arial"/>
                <w:sz w:val="18"/>
                <w:szCs w:val="18"/>
                <w:color w:val="auto"/>
              </w:rPr>
              <w:t>2011</w:t>
            </w:r>
          </w:p>
        </w:tc>
        <w:tc>
          <w:tcPr>
            <w:tcW w:w="220" w:type="dxa"/>
            <w:vAlign w:val="bottom"/>
            <w:vMerge w:val="continue"/>
            <w:shd w:val="clear" w:color="auto" w:fill="CCFFCC"/>
          </w:tcPr>
          <w:p>
            <w:pPr>
              <w:spacing w:after="0"/>
              <w:rPr>
                <w:sz w:val="18"/>
                <w:szCs w:val="18"/>
                <w:color w:val="auto"/>
              </w:rPr>
            </w:pPr>
          </w:p>
        </w:tc>
        <w:tc>
          <w:tcPr>
            <w:tcW w:w="280" w:type="dxa"/>
            <w:vAlign w:val="bottom"/>
            <w:vMerge w:val="continue"/>
            <w:shd w:val="clear" w:color="auto" w:fill="CCFFCC"/>
          </w:tcPr>
          <w:p>
            <w:pPr>
              <w:spacing w:after="0"/>
              <w:rPr>
                <w:sz w:val="18"/>
                <w:szCs w:val="18"/>
                <w:color w:val="auto"/>
              </w:rPr>
            </w:pPr>
          </w:p>
        </w:tc>
        <w:tc>
          <w:tcPr>
            <w:tcW w:w="1080" w:type="dxa"/>
            <w:vAlign w:val="bottom"/>
            <w:tcBorders>
              <w:right w:val="single" w:sz="8" w:color="CCFFCC"/>
            </w:tcBorders>
            <w:vMerge w:val="continue"/>
            <w:shd w:val="clear" w:color="auto" w:fill="CCFFCC"/>
          </w:tcPr>
          <w:p>
            <w:pPr>
              <w:spacing w:after="0"/>
              <w:rPr>
                <w:sz w:val="18"/>
                <w:szCs w:val="18"/>
                <w:color w:val="auto"/>
              </w:rPr>
            </w:pPr>
          </w:p>
        </w:tc>
        <w:tc>
          <w:tcPr>
            <w:tcW w:w="440" w:type="dxa"/>
            <w:vAlign w:val="bottom"/>
            <w:gridSpan w:val="2"/>
            <w:vMerge w:val="continue"/>
            <w:shd w:val="clear" w:color="auto" w:fill="CCFFCC"/>
          </w:tcPr>
          <w:p>
            <w:pPr>
              <w:spacing w:after="0"/>
              <w:rPr>
                <w:sz w:val="18"/>
                <w:szCs w:val="18"/>
                <w:color w:val="auto"/>
              </w:rPr>
            </w:pPr>
          </w:p>
        </w:tc>
        <w:tc>
          <w:tcPr>
            <w:tcW w:w="1300" w:type="dxa"/>
            <w:vAlign w:val="bottom"/>
            <w:gridSpan w:val="2"/>
            <w:vMerge w:val="continue"/>
            <w:shd w:val="clear" w:color="auto" w:fill="CCFFCC"/>
          </w:tcPr>
          <w:p>
            <w:pPr>
              <w:spacing w:after="0"/>
              <w:rPr>
                <w:sz w:val="18"/>
                <w:szCs w:val="18"/>
                <w:color w:val="auto"/>
              </w:rPr>
            </w:pPr>
          </w:p>
        </w:tc>
        <w:tc>
          <w:tcPr>
            <w:tcW w:w="400" w:type="dxa"/>
            <w:vAlign w:val="bottom"/>
            <w:gridSpan w:val="2"/>
            <w:vMerge w:val="continue"/>
            <w:shd w:val="clear" w:color="auto" w:fill="CCFFCC"/>
          </w:tcPr>
          <w:p>
            <w:pPr>
              <w:spacing w:after="0"/>
              <w:rPr>
                <w:sz w:val="18"/>
                <w:szCs w:val="18"/>
                <w:color w:val="auto"/>
              </w:rPr>
            </w:pPr>
          </w:p>
        </w:tc>
        <w:tc>
          <w:tcPr>
            <w:tcW w:w="1220" w:type="dxa"/>
            <w:vAlign w:val="bottom"/>
            <w:gridSpan w:val="2"/>
            <w:vMerge w:val="continue"/>
            <w:shd w:val="clear" w:color="auto" w:fill="CCFFCC"/>
          </w:tcPr>
          <w:p>
            <w:pPr>
              <w:spacing w:after="0"/>
              <w:rPr>
                <w:sz w:val="18"/>
                <w:szCs w:val="18"/>
                <w:color w:val="auto"/>
              </w:rPr>
            </w:pPr>
          </w:p>
        </w:tc>
        <w:tc>
          <w:tcPr>
            <w:tcW w:w="240" w:type="dxa"/>
            <w:vAlign w:val="bottom"/>
            <w:gridSpan w:val="2"/>
            <w:vMerge w:val="continue"/>
            <w:shd w:val="clear" w:color="auto" w:fill="CCFFCC"/>
          </w:tcPr>
          <w:p>
            <w:pPr>
              <w:spacing w:after="0"/>
              <w:rPr>
                <w:sz w:val="18"/>
                <w:szCs w:val="18"/>
                <w:color w:val="auto"/>
              </w:rPr>
            </w:pPr>
          </w:p>
        </w:tc>
        <w:tc>
          <w:tcPr>
            <w:tcW w:w="1320" w:type="dxa"/>
            <w:vAlign w:val="bottom"/>
            <w:gridSpan w:val="2"/>
            <w:vMerge w:val="continue"/>
            <w:shd w:val="clear" w:color="auto" w:fill="CCFFCC"/>
          </w:tcPr>
          <w:p>
            <w:pPr>
              <w:spacing w:after="0"/>
              <w:rPr>
                <w:sz w:val="18"/>
                <w:szCs w:val="18"/>
                <w:color w:val="auto"/>
              </w:rPr>
            </w:pPr>
          </w:p>
        </w:tc>
        <w:tc>
          <w:tcPr>
            <w:tcW w:w="380" w:type="dxa"/>
            <w:vAlign w:val="bottom"/>
            <w:gridSpan w:val="2"/>
            <w:vMerge w:val="continue"/>
            <w:shd w:val="clear" w:color="auto" w:fill="CCFFCC"/>
          </w:tcPr>
          <w:p>
            <w:pPr>
              <w:spacing w:after="0"/>
              <w:rPr>
                <w:sz w:val="18"/>
                <w:szCs w:val="18"/>
                <w:color w:val="auto"/>
              </w:rPr>
            </w:pPr>
          </w:p>
        </w:tc>
        <w:tc>
          <w:tcPr>
            <w:tcW w:w="1100" w:type="dxa"/>
            <w:vAlign w:val="bottom"/>
            <w:gridSpan w:val="2"/>
            <w:vMerge w:val="continue"/>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period from January 6, 2011 (date of inception) to December 31, 2011, there was one transfer from Level 3 to Level 2 related to our investment in Groupon. Due to its public offering in November 2011, observable inputs became available for our valuation as of December 31, 2011. Our shares in Groupon are presently subject to a lock-up agreement that expires on May 1, 2012. The fair value for Groupon was estimated using the close price on a public exchange as of the valuation date, adjusted for a discount due to lack of marketability of 28% that was primarily based on the market price of publicly traded put options with a similar term as the lock-up as of December 31, 2011. Change in unrealized depreciation for the period for Level 3 investments still held as of December 31, 2011, is $640,419.</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issued 5,520,100 shares of our common stock during the period from January 6, 2011 (date of inception) to December 31, 2011. The proceeds raised, the related underwriting fees, the offering expenses and the prices at which these shares were issued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color w:val="auto"/>
              </w:rPr>
              <w:t>Issuances of</w:t>
            </w: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15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86"/>
              </w:rPr>
              <w:t>Gross Proceeds</w:t>
            </w:r>
          </w:p>
        </w:tc>
        <w:tc>
          <w:tcPr>
            <w:tcW w:w="1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Underwriting</w:t>
            </w:r>
          </w:p>
        </w:tc>
        <w:tc>
          <w:tcPr>
            <w:tcW w:w="18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Offering</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Offering</w:t>
            </w:r>
          </w:p>
        </w:tc>
      </w:tr>
      <w:tr>
        <w:trPr>
          <w:trHeight w:val="234"/>
        </w:trPr>
        <w:tc>
          <w:tcPr>
            <w:tcW w:w="3440" w:type="dxa"/>
            <w:vAlign w:val="bottom"/>
          </w:tcPr>
          <w:p>
            <w:pPr>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0"/>
                <w:szCs w:val="20"/>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Raised</w:t>
            </w:r>
          </w:p>
        </w:tc>
        <w:tc>
          <w:tcPr>
            <w:tcW w:w="10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2"/>
              </w:rPr>
              <w:t>Expenses</w:t>
            </w:r>
          </w:p>
        </w:tc>
        <w:tc>
          <w:tcPr>
            <w:tcW w:w="20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February 28, 2011</w:t>
            </w:r>
          </w:p>
        </w:tc>
        <w:tc>
          <w:tcPr>
            <w:tcW w:w="2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16"/>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April 28, 2011</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3,335,000</w:t>
            </w: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50,025,000</w:t>
            </w: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3,501,750</w:t>
            </w: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527,166</w:t>
            </w:r>
            <w:r>
              <w:rPr>
                <w:rFonts w:ascii="Arial" w:cs="Arial" w:eastAsia="Arial" w:hAnsi="Arial"/>
                <w:sz w:val="15"/>
                <w:szCs w:val="15"/>
                <w:color w:val="auto"/>
              </w:rPr>
              <w:t>(1)</w:t>
            </w: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September 27, 2011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1,900,000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26,885,000</w:t>
            </w: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1,102,000</w:t>
            </w:r>
          </w:p>
        </w:tc>
        <w:tc>
          <w:tcPr>
            <w:tcW w:w="18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14.15</w:t>
            </w:r>
          </w:p>
        </w:tc>
      </w:tr>
      <w:tr>
        <w:trPr>
          <w:trHeight w:val="216"/>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September 27, 2011</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285,000</w:t>
            </w:r>
          </w:p>
        </w:tc>
        <w:tc>
          <w:tcPr>
            <w:tcW w:w="2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4,032,750</w:t>
            </w: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165,300</w:t>
            </w: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531,122</w:t>
            </w:r>
            <w:r>
              <w:rPr>
                <w:rFonts w:ascii="Arial" w:cs="Arial" w:eastAsia="Arial" w:hAnsi="Arial"/>
                <w:sz w:val="15"/>
                <w:szCs w:val="15"/>
                <w:color w:val="auto"/>
              </w:rPr>
              <w:t>(2)</w:t>
            </w: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14.15</w:t>
            </w:r>
          </w:p>
        </w:tc>
      </w:tr>
    </w:tbl>
    <w:p>
      <w:pPr>
        <w:spacing w:after="0" w:line="110" w:lineRule="exact"/>
        <w:rPr>
          <w:sz w:val="20"/>
          <w:szCs w:val="20"/>
          <w:color w:val="auto"/>
        </w:rPr>
      </w:pPr>
    </w:p>
    <w:p>
      <w:pPr>
        <w:ind w:left="240" w:hanging="232"/>
        <w:spacing w:after="0"/>
        <w:tabs>
          <w:tab w:leader="none" w:pos="240" w:val="left"/>
        </w:tabs>
        <w:numPr>
          <w:ilvl w:val="0"/>
          <w:numId w:val="39"/>
        </w:numPr>
        <w:rPr>
          <w:rFonts w:ascii="Arial" w:cs="Arial" w:eastAsia="Arial" w:hAnsi="Arial"/>
          <w:sz w:val="28"/>
          <w:szCs w:val="28"/>
          <w:color w:val="auto"/>
          <w:vertAlign w:val="superscript"/>
        </w:rPr>
      </w:pPr>
      <w:r>
        <w:rPr>
          <w:rFonts w:ascii="Arial" w:cs="Arial" w:eastAsia="Arial" w:hAnsi="Arial"/>
          <w:sz w:val="17"/>
          <w:szCs w:val="17"/>
          <w:color w:val="auto"/>
        </w:rPr>
        <w:t>Includes $3,585 of offering expenses that were accrued as of September 30, 2011.</w:t>
      </w:r>
    </w:p>
    <w:p>
      <w:pPr>
        <w:spacing w:after="0" w:line="1" w:lineRule="exact"/>
        <w:rPr>
          <w:rFonts w:ascii="Arial" w:cs="Arial" w:eastAsia="Arial" w:hAnsi="Arial"/>
          <w:sz w:val="28"/>
          <w:szCs w:val="28"/>
          <w:color w:val="auto"/>
          <w:vertAlign w:val="superscript"/>
        </w:rPr>
      </w:pPr>
    </w:p>
    <w:p>
      <w:pPr>
        <w:ind w:left="240" w:hanging="232"/>
        <w:spacing w:after="0" w:line="186" w:lineRule="auto"/>
        <w:tabs>
          <w:tab w:leader="none" w:pos="240" w:val="left"/>
        </w:tabs>
        <w:numPr>
          <w:ilvl w:val="0"/>
          <w:numId w:val="39"/>
        </w:numPr>
        <w:rPr>
          <w:rFonts w:ascii="Arial" w:cs="Arial" w:eastAsia="Arial" w:hAnsi="Arial"/>
          <w:sz w:val="24"/>
          <w:szCs w:val="24"/>
          <w:color w:val="auto"/>
          <w:vertAlign w:val="superscript"/>
        </w:rPr>
      </w:pPr>
      <w:r>
        <w:rPr>
          <w:rFonts w:ascii="Arial" w:cs="Arial" w:eastAsia="Arial" w:hAnsi="Arial"/>
          <w:sz w:val="15"/>
          <w:szCs w:val="15"/>
          <w:color w:val="auto"/>
        </w:rPr>
        <w:t>Amount was reduced by $18,878 after actual expenses for the offering were determined as of December 31, 2011.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DECREASE IN NET ASSETS PER COMMON SHARE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information sets forth the computation of net decrease in net assets resulting from operations per common share for the period from January 6, 2011 (date of inception) to December 31, 2011.</w:t>
      </w:r>
    </w:p>
    <w:p>
      <w:pPr>
        <w:spacing w:after="0" w:line="166" w:lineRule="exact"/>
        <w:rPr>
          <w:sz w:val="20"/>
          <w:szCs w:val="20"/>
          <w:color w:val="auto"/>
        </w:rPr>
      </w:pPr>
    </w:p>
    <w:p>
      <w:pPr>
        <w:jc w:val="center"/>
        <w:ind w:left="9620"/>
        <w:spacing w:after="0"/>
        <w:rPr>
          <w:sz w:val="20"/>
          <w:szCs w:val="20"/>
          <w:color w:val="auto"/>
        </w:rPr>
      </w:pPr>
      <w:r>
        <w:rPr>
          <w:rFonts w:ascii="Arial" w:cs="Arial" w:eastAsia="Arial" w:hAnsi="Arial"/>
          <w:sz w:val="18"/>
          <w:szCs w:val="18"/>
          <w:b w:val="1"/>
          <w:bCs w:val="1"/>
          <w:color w:val="auto"/>
        </w:rPr>
        <w:t>For the period from</w:t>
      </w:r>
    </w:p>
    <w:p>
      <w:pPr>
        <w:spacing w:after="0" w:line="27" w:lineRule="exact"/>
        <w:rPr>
          <w:sz w:val="20"/>
          <w:szCs w:val="20"/>
          <w:color w:val="auto"/>
        </w:rPr>
      </w:pPr>
    </w:p>
    <w:p>
      <w:pPr>
        <w:jc w:val="center"/>
        <w:ind w:left="9560"/>
        <w:spacing w:after="0"/>
        <w:rPr>
          <w:sz w:val="20"/>
          <w:szCs w:val="20"/>
          <w:color w:val="auto"/>
        </w:rPr>
      </w:pPr>
      <w:r>
        <w:rPr>
          <w:rFonts w:ascii="Arial" w:cs="Arial" w:eastAsia="Arial" w:hAnsi="Arial"/>
          <w:sz w:val="18"/>
          <w:szCs w:val="18"/>
          <w:b w:val="1"/>
          <w:bCs w:val="1"/>
          <w:color w:val="auto"/>
        </w:rPr>
        <w:t>January 6, 2011</w:t>
      </w:r>
    </w:p>
    <w:p>
      <w:pPr>
        <w:spacing w:after="0" w:line="9" w:lineRule="exact"/>
        <w:rPr>
          <w:sz w:val="20"/>
          <w:szCs w:val="20"/>
          <w:color w:val="auto"/>
        </w:rPr>
      </w:pPr>
    </w:p>
    <w:p>
      <w:pPr>
        <w:jc w:val="center"/>
        <w:ind w:left="9620"/>
        <w:spacing w:after="0"/>
        <w:rPr>
          <w:sz w:val="20"/>
          <w:szCs w:val="20"/>
          <w:color w:val="auto"/>
        </w:rPr>
      </w:pPr>
      <w:r>
        <w:rPr>
          <w:rFonts w:ascii="Arial" w:cs="Arial" w:eastAsia="Arial" w:hAnsi="Arial"/>
          <w:sz w:val="18"/>
          <w:szCs w:val="18"/>
          <w:b w:val="1"/>
          <w:bCs w:val="1"/>
          <w:color w:val="auto"/>
        </w:rPr>
        <w:t>(date of inception)</w:t>
      </w:r>
    </w:p>
    <w:p>
      <w:pPr>
        <w:spacing w:after="0" w:line="9" w:lineRule="exact"/>
        <w:rPr>
          <w:sz w:val="20"/>
          <w:szCs w:val="20"/>
          <w:color w:val="auto"/>
        </w:rPr>
      </w:pPr>
    </w:p>
    <w:p>
      <w:pPr>
        <w:jc w:val="center"/>
        <w:ind w:left="9620"/>
        <w:spacing w:after="0"/>
        <w:rPr>
          <w:sz w:val="20"/>
          <w:szCs w:val="20"/>
          <w:color w:val="auto"/>
        </w:rPr>
      </w:pPr>
      <w:r>
        <w:rPr>
          <w:rFonts w:ascii="Arial" w:cs="Arial" w:eastAsia="Arial" w:hAnsi="Arial"/>
          <w:sz w:val="18"/>
          <w:szCs w:val="18"/>
          <w:b w:val="1"/>
          <w:bCs w:val="1"/>
          <w:color w:val="auto"/>
        </w:rPr>
        <w:t>to December 31,</w:t>
      </w:r>
    </w:p>
    <w:p>
      <w:pPr>
        <w:spacing w:after="0" w:line="9" w:lineRule="exact"/>
        <w:rPr>
          <w:sz w:val="20"/>
          <w:szCs w:val="20"/>
          <w:color w:val="auto"/>
        </w:rPr>
      </w:pPr>
    </w:p>
    <w:p>
      <w:pPr>
        <w:jc w:val="center"/>
        <w:ind w:left="9620"/>
        <w:spacing w:after="0"/>
        <w:rPr>
          <w:sz w:val="20"/>
          <w:szCs w:val="20"/>
          <w:color w:val="auto"/>
        </w:rPr>
      </w:pPr>
      <w:r>
        <w:rPr>
          <w:rFonts w:ascii="Arial" w:cs="Arial" w:eastAsia="Arial" w:hAnsi="Arial"/>
          <w:sz w:val="18"/>
          <w:szCs w:val="18"/>
          <w:b w:val="1"/>
          <w:bCs w:val="1"/>
          <w:color w:val="auto"/>
        </w:rPr>
        <w:t>2011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9720" w:type="dxa"/>
            <w:vAlign w:val="bottom"/>
          </w:tcPr>
          <w:p>
            <w:pPr>
              <w:spacing w:after="0" w:line="189" w:lineRule="exact"/>
              <w:rPr>
                <w:sz w:val="20"/>
                <w:szCs w:val="20"/>
                <w:color w:val="auto"/>
              </w:rPr>
            </w:pPr>
            <w:r>
              <w:rPr>
                <w:rFonts w:ascii="Arial" w:cs="Arial" w:eastAsia="Arial" w:hAnsi="Arial"/>
                <w:sz w:val="18"/>
                <w:szCs w:val="18"/>
                <w:color w:val="auto"/>
              </w:rPr>
              <w:t>Net decrease in net assets resulting from operations</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(3,613,664)</w:t>
            </w:r>
          </w:p>
        </w:tc>
      </w:tr>
      <w:tr>
        <w:trPr>
          <w:trHeight w:val="243"/>
        </w:trPr>
        <w:tc>
          <w:tcPr>
            <w:tcW w:w="9720" w:type="dxa"/>
            <w:vAlign w:val="bottom"/>
            <w:tcBorders>
              <w:bottom w:val="single" w:sz="8" w:color="CCFFCC"/>
            </w:tcBorders>
            <w:shd w:val="clear" w:color="auto" w:fill="CCFFCC"/>
          </w:tcPr>
          <w:p>
            <w:pPr>
              <w:spacing w:after="0" w:line="243" w:lineRule="exact"/>
              <w:rPr>
                <w:sz w:val="20"/>
                <w:szCs w:val="20"/>
                <w:color w:val="auto"/>
              </w:rPr>
            </w:pPr>
            <w:r>
              <w:rPr>
                <w:rFonts w:ascii="Arial" w:cs="Arial" w:eastAsia="Arial" w:hAnsi="Arial"/>
                <w:sz w:val="17"/>
                <w:szCs w:val="17"/>
                <w:color w:val="auto"/>
              </w:rPr>
              <w:t xml:space="preserve">Weighted average common shares </w:t>
            </w:r>
            <w:r>
              <w:rPr>
                <w:rFonts w:ascii="Arial" w:cs="Arial" w:eastAsia="Arial" w:hAnsi="Arial"/>
                <w:sz w:val="28"/>
                <w:szCs w:val="28"/>
                <w:color w:val="auto"/>
                <w:vertAlign w:val="superscript"/>
              </w:rPr>
              <w:t>(1)</w:t>
            </w:r>
          </w:p>
        </w:tc>
        <w:tc>
          <w:tcPr>
            <w:tcW w:w="460" w:type="dxa"/>
            <w:vAlign w:val="bottom"/>
            <w:tcBorders>
              <w:bottom w:val="single" w:sz="8" w:color="auto"/>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3,377,429</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10"/>
        </w:trPr>
        <w:tc>
          <w:tcPr>
            <w:tcW w:w="9720" w:type="dxa"/>
            <w:vAlign w:val="bottom"/>
          </w:tcPr>
          <w:p>
            <w:pPr>
              <w:spacing w:after="0"/>
              <w:rPr>
                <w:sz w:val="20"/>
                <w:szCs w:val="20"/>
                <w:color w:val="auto"/>
              </w:rPr>
            </w:pPr>
            <w:r>
              <w:rPr>
                <w:rFonts w:ascii="Arial" w:cs="Arial" w:eastAsia="Arial" w:hAnsi="Arial"/>
                <w:sz w:val="18"/>
                <w:szCs w:val="18"/>
                <w:color w:val="auto"/>
              </w:rPr>
              <w:t>Basic and diluted earnings per common share</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r>
      <w:tr>
        <w:trPr>
          <w:trHeight w:val="20"/>
        </w:trPr>
        <w:tc>
          <w:tcPr>
            <w:tcW w:w="9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194" w:lineRule="auto"/>
        <w:tabs>
          <w:tab w:leader="none" w:pos="34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Weighted average common shares for the period from January 6, 2011 (date of inception) to December 31, 2011 was calculated starting from the issuance of 100 shares on February 28, 2011.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LEGAL CONTINGENCIES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is currently not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FINANCIAL HIGHLIGHTS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For the period from</w:t>
            </w:r>
          </w:p>
        </w:tc>
      </w:tr>
      <w:tr>
        <w:trPr>
          <w:trHeight w:val="216"/>
        </w:trPr>
        <w:tc>
          <w:tcPr>
            <w:tcW w:w="5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January 6, 2011</w:t>
            </w:r>
          </w:p>
        </w:tc>
      </w:tr>
      <w:tr>
        <w:trPr>
          <w:trHeight w:val="216"/>
        </w:trPr>
        <w:tc>
          <w:tcPr>
            <w:tcW w:w="5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(date of</w:t>
            </w:r>
          </w:p>
        </w:tc>
      </w:tr>
      <w:tr>
        <w:trPr>
          <w:trHeight w:val="216"/>
        </w:trPr>
        <w:tc>
          <w:tcPr>
            <w:tcW w:w="5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inception) to</w:t>
            </w:r>
          </w:p>
        </w:tc>
      </w:tr>
      <w:tr>
        <w:trPr>
          <w:trHeight w:val="234"/>
        </w:trPr>
        <w:tc>
          <w:tcPr>
            <w:tcW w:w="5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31, 2011</w:t>
            </w:r>
          </w:p>
        </w:tc>
      </w:tr>
      <w:tr>
        <w:trPr>
          <w:trHeight w:val="210"/>
        </w:trPr>
        <w:tc>
          <w:tcPr>
            <w:tcW w:w="5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7"/>
        </w:trPr>
        <w:tc>
          <w:tcPr>
            <w:tcW w:w="5360" w:type="dxa"/>
            <w:vAlign w:val="bottom"/>
            <w:shd w:val="clear" w:color="auto" w:fill="CCFFCC"/>
          </w:tcPr>
          <w:p>
            <w:pPr>
              <w:ind w:left="100"/>
              <w:spacing w:after="0" w:line="25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w:t>
            </w:r>
          </w:p>
        </w:tc>
        <w:tc>
          <w:tcPr>
            <w:tcW w:w="426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44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16"/>
        </w:trPr>
        <w:tc>
          <w:tcPr>
            <w:tcW w:w="5360" w:type="dxa"/>
            <w:vAlign w:val="bottom"/>
          </w:tcPr>
          <w:p>
            <w:pPr>
              <w:ind w:left="100"/>
              <w:spacing w:after="0"/>
              <w:rPr>
                <w:sz w:val="20"/>
                <w:szCs w:val="20"/>
                <w:color w:val="auto"/>
              </w:rPr>
            </w:pPr>
            <w:r>
              <w:rPr>
                <w:rFonts w:ascii="Arial" w:cs="Arial" w:eastAsia="Arial" w:hAnsi="Arial"/>
                <w:sz w:val="18"/>
                <w:szCs w:val="18"/>
                <w:color w:val="auto"/>
              </w:rPr>
              <w:t>Net asset value at beginning of period</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57"/>
        </w:trPr>
        <w:tc>
          <w:tcPr>
            <w:tcW w:w="5360" w:type="dxa"/>
            <w:vAlign w:val="bottom"/>
            <w:shd w:val="clear" w:color="auto" w:fill="CCFFCC"/>
          </w:tcPr>
          <w:p>
            <w:pPr>
              <w:ind w:left="100"/>
              <w:spacing w:after="0" w:line="256" w:lineRule="exact"/>
              <w:rPr>
                <w:sz w:val="20"/>
                <w:szCs w:val="20"/>
                <w:color w:val="auto"/>
              </w:rPr>
            </w:pPr>
            <w:r>
              <w:rPr>
                <w:rFonts w:ascii="Arial" w:cs="Arial" w:eastAsia="Arial" w:hAnsi="Arial"/>
                <w:sz w:val="18"/>
                <w:szCs w:val="18"/>
                <w:color w:val="auto"/>
              </w:rPr>
              <w:t xml:space="preserve">Issuance of common shares </w:t>
            </w:r>
            <w:r>
              <w:rPr>
                <w:rFonts w:ascii="Arial" w:cs="Arial" w:eastAsia="Arial" w:hAnsi="Arial"/>
                <w:sz w:val="29"/>
                <w:szCs w:val="29"/>
                <w:color w:val="auto"/>
                <w:vertAlign w:val="superscript"/>
              </w:rPr>
              <w:t>(2)</w:t>
            </w:r>
          </w:p>
        </w:tc>
        <w:tc>
          <w:tcPr>
            <w:tcW w:w="426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14.67</w:t>
            </w:r>
          </w:p>
        </w:tc>
      </w:tr>
      <w:tr>
        <w:trPr>
          <w:trHeight w:val="216"/>
        </w:trPr>
        <w:tc>
          <w:tcPr>
            <w:tcW w:w="5360" w:type="dxa"/>
            <w:vAlign w:val="bottom"/>
          </w:tcPr>
          <w:p>
            <w:pPr>
              <w:ind w:left="100"/>
              <w:spacing w:after="0"/>
              <w:rPr>
                <w:sz w:val="20"/>
                <w:szCs w:val="20"/>
                <w:color w:val="auto"/>
              </w:rPr>
            </w:pPr>
            <w:r>
              <w:rPr>
                <w:rFonts w:ascii="Arial" w:cs="Arial" w:eastAsia="Arial" w:hAnsi="Arial"/>
                <w:sz w:val="18"/>
                <w:szCs w:val="18"/>
                <w:color w:val="auto"/>
              </w:rPr>
              <w:t>Underwriters’ discount</w:t>
            </w: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(0.86)</w:t>
            </w:r>
          </w:p>
        </w:tc>
      </w:tr>
      <w:tr>
        <w:trPr>
          <w:trHeight w:val="216"/>
        </w:trPr>
        <w:tc>
          <w:tcPr>
            <w:tcW w:w="53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Offering costs</w:t>
            </w:r>
          </w:p>
        </w:tc>
        <w:tc>
          <w:tcPr>
            <w:tcW w:w="42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(0.19)</w:t>
            </w:r>
          </w:p>
        </w:tc>
      </w:tr>
      <w:tr>
        <w:trPr>
          <w:trHeight w:val="216"/>
        </w:trPr>
        <w:tc>
          <w:tcPr>
            <w:tcW w:w="5360" w:type="dxa"/>
            <w:vAlign w:val="bottom"/>
          </w:tcPr>
          <w:p>
            <w:pPr>
              <w:ind w:left="100"/>
              <w:spacing w:after="0"/>
              <w:rPr>
                <w:sz w:val="20"/>
                <w:szCs w:val="20"/>
                <w:color w:val="auto"/>
              </w:rPr>
            </w:pPr>
            <w:r>
              <w:rPr>
                <w:rFonts w:ascii="Arial" w:cs="Arial" w:eastAsia="Arial" w:hAnsi="Arial"/>
                <w:sz w:val="18"/>
                <w:szCs w:val="18"/>
                <w:color w:val="auto"/>
              </w:rPr>
              <w:t>Net investment loss</w:t>
            </w: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(0.37)</w:t>
            </w:r>
          </w:p>
        </w:tc>
      </w:tr>
      <w:tr>
        <w:trPr>
          <w:trHeight w:val="216"/>
        </w:trPr>
        <w:tc>
          <w:tcPr>
            <w:tcW w:w="53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Change in unrealized depreciation</w:t>
            </w:r>
          </w:p>
        </w:tc>
        <w:tc>
          <w:tcPr>
            <w:tcW w:w="42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(0.30)</w:t>
            </w:r>
          </w:p>
        </w:tc>
      </w:tr>
      <w:tr>
        <w:trPr>
          <w:trHeight w:val="20"/>
        </w:trPr>
        <w:tc>
          <w:tcPr>
            <w:tcW w:w="5360" w:type="dxa"/>
            <w:vAlign w:val="bottom"/>
            <w:shd w:val="clear" w:color="auto" w:fill="CCFFCC"/>
          </w:tcPr>
          <w:p>
            <w:pPr>
              <w:spacing w:after="0" w:line="20" w:lineRule="exact"/>
              <w:rPr>
                <w:sz w:val="1"/>
                <w:szCs w:val="1"/>
                <w:color w:val="auto"/>
              </w:rPr>
            </w:pPr>
          </w:p>
        </w:tc>
        <w:tc>
          <w:tcPr>
            <w:tcW w:w="426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210"/>
        </w:trPr>
        <w:tc>
          <w:tcPr>
            <w:tcW w:w="5360" w:type="dxa"/>
            <w:vAlign w:val="bottom"/>
          </w:tcPr>
          <w:p>
            <w:pPr>
              <w:ind w:left="100"/>
              <w:spacing w:after="0"/>
              <w:rPr>
                <w:sz w:val="20"/>
                <w:szCs w:val="20"/>
                <w:color w:val="auto"/>
              </w:rPr>
            </w:pPr>
            <w:r>
              <w:rPr>
                <w:rFonts w:ascii="Arial" w:cs="Arial" w:eastAsia="Arial" w:hAnsi="Arial"/>
                <w:sz w:val="18"/>
                <w:szCs w:val="18"/>
                <w:color w:val="auto"/>
              </w:rPr>
              <w:t>Net asset value at end of period</w:t>
            </w:r>
          </w:p>
        </w:tc>
        <w:tc>
          <w:tcPr>
            <w:tcW w:w="4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12.95</w:t>
            </w:r>
          </w:p>
        </w:tc>
      </w:tr>
      <w:tr>
        <w:trPr>
          <w:trHeight w:val="20"/>
        </w:trPr>
        <w:tc>
          <w:tcPr>
            <w:tcW w:w="5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5360" w:type="dxa"/>
            <w:vAlign w:val="bottom"/>
            <w:shd w:val="clear" w:color="auto" w:fill="CCFFCC"/>
          </w:tcPr>
          <w:p>
            <w:pPr>
              <w:spacing w:after="0"/>
              <w:rPr>
                <w:sz w:val="17"/>
                <w:szCs w:val="17"/>
                <w:color w:val="auto"/>
              </w:rPr>
            </w:pPr>
          </w:p>
        </w:tc>
        <w:tc>
          <w:tcPr>
            <w:tcW w:w="42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4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16"/>
        </w:trPr>
        <w:tc>
          <w:tcPr>
            <w:tcW w:w="5360" w:type="dxa"/>
            <w:vAlign w:val="bottom"/>
          </w:tcPr>
          <w:p>
            <w:pPr>
              <w:ind w:left="100"/>
              <w:spacing w:after="0"/>
              <w:rPr>
                <w:sz w:val="20"/>
                <w:szCs w:val="20"/>
                <w:color w:val="auto"/>
              </w:rPr>
            </w:pPr>
            <w:r>
              <w:rPr>
                <w:rFonts w:ascii="Arial" w:cs="Arial" w:eastAsia="Arial" w:hAnsi="Arial"/>
                <w:sz w:val="18"/>
                <w:szCs w:val="18"/>
                <w:color w:val="auto"/>
              </w:rPr>
              <w:t>Per share market value at end of period</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13.95</w:t>
            </w:r>
          </w:p>
        </w:tc>
      </w:tr>
      <w:tr>
        <w:trPr>
          <w:trHeight w:val="257"/>
        </w:trPr>
        <w:tc>
          <w:tcPr>
            <w:tcW w:w="5360" w:type="dxa"/>
            <w:vAlign w:val="bottom"/>
            <w:shd w:val="clear" w:color="auto" w:fill="CCFFCC"/>
          </w:tcPr>
          <w:p>
            <w:pPr>
              <w:ind w:left="100"/>
              <w:spacing w:after="0" w:line="256" w:lineRule="exact"/>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29"/>
                <w:szCs w:val="29"/>
                <w:color w:val="auto"/>
                <w:vertAlign w:val="superscript"/>
              </w:rPr>
              <w:t>(3)</w:t>
            </w:r>
          </w:p>
        </w:tc>
        <w:tc>
          <w:tcPr>
            <w:tcW w:w="426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(7.00)%</w:t>
            </w:r>
          </w:p>
        </w:tc>
      </w:tr>
      <w:tr>
        <w:trPr>
          <w:trHeight w:val="257"/>
        </w:trPr>
        <w:tc>
          <w:tcPr>
            <w:tcW w:w="5360" w:type="dxa"/>
            <w:vAlign w:val="bottom"/>
          </w:tcPr>
          <w:p>
            <w:pPr>
              <w:ind w:left="100"/>
              <w:spacing w:after="0" w:line="256" w:lineRule="exact"/>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29"/>
                <w:szCs w:val="29"/>
                <w:color w:val="auto"/>
                <w:vertAlign w:val="superscript"/>
              </w:rPr>
              <w:t>(3)</w:t>
            </w:r>
          </w:p>
        </w:tc>
        <w:tc>
          <w:tcPr>
            <w:tcW w:w="4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(13.67)%</w:t>
            </w:r>
          </w:p>
        </w:tc>
      </w:tr>
      <w:tr>
        <w:trPr>
          <w:trHeight w:val="216"/>
        </w:trPr>
        <w:tc>
          <w:tcPr>
            <w:tcW w:w="53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Shares outstanding at end of period</w:t>
            </w:r>
          </w:p>
        </w:tc>
        <w:tc>
          <w:tcPr>
            <w:tcW w:w="42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5,520,100</w:t>
            </w:r>
          </w:p>
        </w:tc>
        <w:tc>
          <w:tcPr>
            <w:tcW w:w="220" w:type="dxa"/>
            <w:vAlign w:val="bottom"/>
            <w:shd w:val="clear" w:color="auto" w:fill="CCFFCC"/>
          </w:tcPr>
          <w:p>
            <w:pPr>
              <w:spacing w:after="0"/>
              <w:rPr>
                <w:sz w:val="18"/>
                <w:szCs w:val="18"/>
                <w:color w:val="auto"/>
              </w:rPr>
            </w:pPr>
          </w:p>
        </w:tc>
      </w:tr>
      <w:tr>
        <w:trPr>
          <w:trHeight w:val="432"/>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Ratio / Supplemental Data:</w:t>
            </w: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3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Net assets at end of period</w:t>
            </w:r>
          </w:p>
        </w:tc>
        <w:tc>
          <w:tcPr>
            <w:tcW w:w="4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71,503,248</w:t>
            </w:r>
          </w:p>
        </w:tc>
      </w:tr>
      <w:tr>
        <w:trPr>
          <w:trHeight w:val="257"/>
        </w:trPr>
        <w:tc>
          <w:tcPr>
            <w:tcW w:w="5360" w:type="dxa"/>
            <w:vAlign w:val="bottom"/>
          </w:tcPr>
          <w:p>
            <w:pPr>
              <w:ind w:left="100"/>
              <w:spacing w:after="0" w:line="256" w:lineRule="exact"/>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29"/>
                <w:szCs w:val="29"/>
                <w:color w:val="auto"/>
                <w:vertAlign w:val="superscript"/>
              </w:rPr>
              <w:t>(4)</w:t>
            </w:r>
          </w:p>
        </w:tc>
        <w:tc>
          <w:tcPr>
            <w:tcW w:w="4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44,532,523</w:t>
            </w:r>
          </w:p>
        </w:tc>
      </w:tr>
      <w:tr>
        <w:trPr>
          <w:trHeight w:val="257"/>
        </w:trPr>
        <w:tc>
          <w:tcPr>
            <w:tcW w:w="5360" w:type="dxa"/>
            <w:vAlign w:val="bottom"/>
            <w:shd w:val="clear" w:color="auto" w:fill="CCFFCC"/>
          </w:tcPr>
          <w:p>
            <w:pPr>
              <w:ind w:left="100"/>
              <w:spacing w:after="0" w:line="256" w:lineRule="exact"/>
              <w:rPr>
                <w:sz w:val="20"/>
                <w:szCs w:val="20"/>
                <w:color w:val="auto"/>
              </w:rPr>
            </w:pPr>
            <w:r>
              <w:rPr>
                <w:rFonts w:ascii="Arial" w:cs="Arial" w:eastAsia="Arial" w:hAnsi="Arial"/>
                <w:sz w:val="18"/>
                <w:szCs w:val="18"/>
                <w:color w:val="auto"/>
                <w:w w:val="92"/>
              </w:rPr>
              <w:t xml:space="preserve">Annualized ratio of gross operating expenses to average net assets </w:t>
            </w:r>
            <w:r>
              <w:rPr>
                <w:rFonts w:ascii="Arial" w:cs="Arial" w:eastAsia="Arial" w:hAnsi="Arial"/>
                <w:sz w:val="29"/>
                <w:szCs w:val="29"/>
                <w:color w:val="auto"/>
                <w:w w:val="92"/>
                <w:vertAlign w:val="superscript"/>
              </w:rPr>
              <w:t>(4)</w:t>
            </w:r>
          </w:p>
        </w:tc>
        <w:tc>
          <w:tcPr>
            <w:tcW w:w="426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5.01%</w:t>
            </w:r>
          </w:p>
        </w:tc>
      </w:tr>
      <w:tr>
        <w:trPr>
          <w:trHeight w:val="257"/>
        </w:trPr>
        <w:tc>
          <w:tcPr>
            <w:tcW w:w="5360" w:type="dxa"/>
            <w:vAlign w:val="bottom"/>
          </w:tcPr>
          <w:p>
            <w:pPr>
              <w:ind w:left="100"/>
              <w:spacing w:after="0" w:line="256" w:lineRule="exact"/>
              <w:rPr>
                <w:sz w:val="20"/>
                <w:szCs w:val="20"/>
                <w:color w:val="auto"/>
              </w:rPr>
            </w:pPr>
            <w:r>
              <w:rPr>
                <w:rFonts w:ascii="Arial" w:cs="Arial" w:eastAsia="Arial" w:hAnsi="Arial"/>
                <w:sz w:val="18"/>
                <w:szCs w:val="18"/>
                <w:color w:val="auto"/>
                <w:w w:val="95"/>
              </w:rPr>
              <w:t xml:space="preserve">Annualized ratio of net operating expenses to average net assets </w:t>
            </w:r>
            <w:r>
              <w:rPr>
                <w:rFonts w:ascii="Arial" w:cs="Arial" w:eastAsia="Arial" w:hAnsi="Arial"/>
                <w:sz w:val="29"/>
                <w:szCs w:val="29"/>
                <w:color w:val="auto"/>
                <w:w w:val="95"/>
                <w:vertAlign w:val="superscript"/>
              </w:rPr>
              <w:t>(4)</w:t>
            </w:r>
          </w:p>
        </w:tc>
        <w:tc>
          <w:tcPr>
            <w:tcW w:w="4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r>
      <w:tr>
        <w:trPr>
          <w:trHeight w:val="257"/>
        </w:trPr>
        <w:tc>
          <w:tcPr>
            <w:tcW w:w="5360" w:type="dxa"/>
            <w:vAlign w:val="bottom"/>
            <w:shd w:val="clear" w:color="auto" w:fill="CCFFCC"/>
          </w:tcPr>
          <w:p>
            <w:pPr>
              <w:ind w:left="100"/>
              <w:spacing w:after="0" w:line="256" w:lineRule="exact"/>
              <w:rPr>
                <w:sz w:val="20"/>
                <w:szCs w:val="20"/>
                <w:color w:val="auto"/>
              </w:rPr>
            </w:pPr>
            <w:r>
              <w:rPr>
                <w:rFonts w:ascii="Arial" w:cs="Arial" w:eastAsia="Arial" w:hAnsi="Arial"/>
                <w:sz w:val="18"/>
                <w:szCs w:val="18"/>
                <w:color w:val="auto"/>
              </w:rPr>
              <w:t xml:space="preserve">Annualized ratio of net investment loss to average net assets </w:t>
            </w:r>
            <w:r>
              <w:rPr>
                <w:rFonts w:ascii="Arial" w:cs="Arial" w:eastAsia="Arial" w:hAnsi="Arial"/>
                <w:sz w:val="29"/>
                <w:szCs w:val="29"/>
                <w:color w:val="auto"/>
                <w:vertAlign w:val="superscript"/>
              </w:rPr>
              <w:t>(4)</w:t>
            </w:r>
          </w:p>
        </w:tc>
        <w:tc>
          <w:tcPr>
            <w:tcW w:w="426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(4.64)%</w:t>
            </w:r>
          </w:p>
        </w:tc>
      </w:tr>
      <w:tr>
        <w:trPr>
          <w:trHeight w:val="648"/>
        </w:trPr>
        <w:tc>
          <w:tcPr>
            <w:tcW w:w="53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jc w:val="right"/>
              <w:ind w:right="3730"/>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0" w:gutter="0" w:footer="0" w:header="0"/>
        </w:sectPr>
      </w:pPr>
    </w:p>
    <w:bookmarkStart w:id="68" w:name="page69"/>
    <w:bookmarkEnd w:id="68"/>
    <w:p>
      <w:pPr>
        <w:ind w:left="340" w:hanging="332"/>
        <w:spacing w:after="0"/>
        <w:tabs>
          <w:tab w:leader="none" w:pos="340" w:val="left"/>
        </w:tabs>
        <w:numPr>
          <w:ilvl w:val="0"/>
          <w:numId w:val="41"/>
        </w:numPr>
        <w:rPr>
          <w:rFonts w:ascii="Arial" w:cs="Arial" w:eastAsia="Arial" w:hAnsi="Arial"/>
          <w:sz w:val="30"/>
          <w:szCs w:val="30"/>
          <w:color w:val="auto"/>
          <w:vertAlign w:val="superscript"/>
        </w:rPr>
      </w:pPr>
      <w:r>
        <w:rPr>
          <w:rFonts w:ascii="Arial" w:cs="Arial" w:eastAsia="Arial" w:hAnsi="Arial"/>
          <w:sz w:val="18"/>
          <w:szCs w:val="18"/>
          <w:color w:val="auto"/>
        </w:rPr>
        <w:t>Financial highlights are based on shares outstanding as of December 31, 2011.</w:t>
      </w:r>
    </w:p>
    <w:p>
      <w:pPr>
        <w:spacing w:after="0" w:line="1"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41"/>
        </w:numPr>
        <w:rPr>
          <w:rFonts w:ascii="Arial" w:cs="Arial" w:eastAsia="Arial" w:hAnsi="Arial"/>
          <w:sz w:val="24"/>
          <w:szCs w:val="24"/>
          <w:color w:val="auto"/>
          <w:vertAlign w:val="superscript"/>
        </w:rPr>
      </w:pPr>
      <w:r>
        <w:rPr>
          <w:rFonts w:ascii="Arial" w:cs="Arial" w:eastAsia="Arial" w:hAnsi="Arial"/>
          <w:sz w:val="15"/>
          <w:szCs w:val="15"/>
          <w:color w:val="auto"/>
        </w:rPr>
        <w:t>Issuance of common shares is based on the weighted average offering price for the shares issued during the period.</w:t>
      </w:r>
    </w:p>
    <w:p>
      <w:pPr>
        <w:spacing w:after="0" w:line="2" w:lineRule="exact"/>
        <w:rPr>
          <w:rFonts w:ascii="Arial" w:cs="Arial" w:eastAsia="Arial" w:hAnsi="Arial"/>
          <w:sz w:val="24"/>
          <w:szCs w:val="24"/>
          <w:color w:val="auto"/>
          <w:vertAlign w:val="superscript"/>
        </w:rPr>
      </w:pPr>
    </w:p>
    <w:p>
      <w:pPr>
        <w:jc w:val="both"/>
        <w:ind w:left="340" w:hanging="332"/>
        <w:spacing w:after="0" w:line="204" w:lineRule="auto"/>
        <w:tabs>
          <w:tab w:leader="none" w:pos="340" w:val="left"/>
        </w:tabs>
        <w:numPr>
          <w:ilvl w:val="0"/>
          <w:numId w:val="41"/>
        </w:numPr>
        <w:rPr>
          <w:rFonts w:ascii="Arial" w:cs="Arial" w:eastAsia="Arial" w:hAnsi="Arial"/>
          <w:sz w:val="30"/>
          <w:szCs w:val="30"/>
          <w:color w:val="auto"/>
          <w:vertAlign w:val="superscript"/>
        </w:rPr>
      </w:pPr>
      <w:r>
        <w:rPr>
          <w:rFonts w:ascii="Arial" w:cs="Arial" w:eastAsia="Arial" w:hAnsi="Arial"/>
          <w:sz w:val="18"/>
          <w:szCs w:val="18"/>
          <w:color w:val="auto"/>
        </w:rPr>
        <w:t>Total return based on market value is based on the change in market price per share assuming an investment at the initial public offering price of $15.00 per share. Total return based on net asset value is based upon the change in net asset value per share between the opening and ending net asset values per share and the issuance of common shares in the period. The total returns are not annualized.</w:t>
      </w:r>
    </w:p>
    <w:p>
      <w:pPr>
        <w:spacing w:after="0" w:line="1" w:lineRule="exact"/>
        <w:rPr>
          <w:rFonts w:ascii="Arial" w:cs="Arial" w:eastAsia="Arial" w:hAnsi="Arial"/>
          <w:sz w:val="30"/>
          <w:szCs w:val="30"/>
          <w:color w:val="auto"/>
          <w:vertAlign w:val="superscript"/>
        </w:rPr>
      </w:pPr>
    </w:p>
    <w:p>
      <w:pPr>
        <w:jc w:val="both"/>
        <w:ind w:left="340" w:hanging="332"/>
        <w:spacing w:after="0" w:line="244" w:lineRule="auto"/>
        <w:tabs>
          <w:tab w:leader="none" w:pos="340" w:val="left"/>
        </w:tabs>
        <w:numPr>
          <w:ilvl w:val="0"/>
          <w:numId w:val="41"/>
        </w:numPr>
        <w:rPr>
          <w:rFonts w:ascii="Arial" w:cs="Arial" w:eastAsia="Arial" w:hAnsi="Arial"/>
          <w:sz w:val="26"/>
          <w:szCs w:val="26"/>
          <w:color w:val="auto"/>
          <w:vertAlign w:val="superscript"/>
        </w:rPr>
      </w:pPr>
      <w:r>
        <w:rPr>
          <w:rFonts w:ascii="Arial" w:cs="Arial" w:eastAsia="Arial" w:hAnsi="Arial"/>
          <w:sz w:val="16"/>
          <w:szCs w:val="16"/>
          <w:color w:val="auto"/>
        </w:rPr>
        <w:t>Financial Highlights for periods of less than one year are annualized and the ratios of operating expenses to average net assets and net investment loss to average net assets are adjusted accordingly. Non-recurring expenses were not annualized. For the period from January 6, 2011 (date of inception) to December 31, 2011, the Company incurred $198,831 of Organizational Expenses, which were deemed to be non-recurring. Average net assets for the period from January 6, 2011 (date of inception) to December 31, 2011, were calculated starting from the issuance of 100 shares on February 28,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will elect to be treated for federal income tax purposes as a RIC. As a RIC, the Company generally will not pay corporate-level federal income taxes on any net ordinary income or capital gains that the Company distributes to its stockholders as dividends. In addition to meeting other requirements, the Company must generally distribute at least 90% of its investment company taxable income to qualify for pass-through tax treatment and maintain its RIC status. As part of maintaining RIC status, undistributed taxable income (subject to a 4% excise tax) pertaining to a given fiscal year may be distributed up to 12 months subsequent to the end of that fiscal year, provided such dividends are declared prior to the filing of the federal income tax return for the prior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3, 2011, the Company sold and settled the $20.0 million United States Treasury Bill for a realized loss of $256.</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10, 2012, the Company priced a secondary offering, selling 6,900,000 of common shares at a price of $15.00 per share, including an exercise in full by the underwriters of their option to purchase an additional 900,000 shares of common stock to cover overallotments. The secondary offering resulted in net proceeds to the Company of approximately $96.2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to December 31, 2011, the Company closed on investments of $5.0 million, plus transaction costs as follows: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an investment of $100,000, plus transaction costs, in AlwaysOn Network, LLC, an internet media company headquartered in Kelowna, British Columbia, on January 10, 2012.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an investment of $200,000, plus transaction costs, in Maven Research, Inc., a global knowledge marketplace headquartered in San Francisco, CA, on February 28, 2012.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an investment of $500,000, plus transaction costs, in AltEgo, LLC, an avatar technology and games developer headquartered in Santa Monica, CA, on February 29, 2012.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an investment of $4,000,000, plus transaction costs, in Chegg, Inc., an online textbook rental company headquartered in Santa Clara, CA, on March 7, 2012.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an investment of $150,000, plus transaction costs, in AlwaysOn Network, LLC, an internet media company headquartered in Kelowna, British Columbia, on March 9, 2012.</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 2012, Facebook, Inc. filed a registration statement with the SEC in connection with its proposed initial public offering. The Company owns 350,000 shares of Class B common stock of Facebook, Inc., which are presently subject to a lock-up agreement that will expire 181 days after the date of the final prospectus relating to Facebook, Inc.’s initial public offering, if consummated.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69" w:name="page70"/>
    <w:bookmarkEnd w:id="69"/>
    <w:p>
      <w:pPr>
        <w:jc w:val="both"/>
        <w:ind w:firstLine="648"/>
        <w:spacing w:after="0" w:line="273" w:lineRule="auto"/>
        <w:rPr>
          <w:sz w:val="20"/>
          <w:szCs w:val="20"/>
          <w:color w:val="auto"/>
        </w:rPr>
      </w:pPr>
      <w:r>
        <w:rPr>
          <w:rFonts w:ascii="Arial" w:cs="Arial" w:eastAsia="Arial" w:hAnsi="Arial"/>
          <w:sz w:val="17"/>
          <w:szCs w:val="17"/>
          <w:color w:val="auto"/>
        </w:rPr>
        <w:t>The Company is presently in the final stages of negotiations with a handful of private company investments that it anticipates entering into within the next 30 to 60 days, subject to applicable closing conditions. These equity investments may be made through the secondary market and involve making deposits in escrow accounts until certain conditions are met. Moreover, each underlying issuer has the right to terminate the deal before such conditions are satisfied. Pursuant to the terms of our agreements with each of these prospective issuers, at such time that these conditions are satisfied, the escrow accounts will close, and our equity investments will be effectuated. Subsequent to December 31, 2011, the Company made $4.9 million in such escrow deposits of which $0.9 million are currently outstanding and subject to applicable closing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SELECTED QUARTERLY FINANCIAL DATA (UNAUDITED)</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following tables set forth certain quarterly financial information for each of the last four quarters ended December 31, 2011. This information was derived from our unaudited financial statements. Results for any quarter are not necessarily indicative of results for the full year or for any further quarter.</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Net Unrealized</w:t>
            </w:r>
          </w:p>
        </w:tc>
        <w:tc>
          <w:tcPr>
            <w:tcW w:w="100" w:type="dxa"/>
            <w:vAlign w:val="bottom"/>
          </w:tcPr>
          <w:p>
            <w:pPr>
              <w:spacing w:after="0"/>
              <w:rPr>
                <w:sz w:val="18"/>
                <w:szCs w:val="18"/>
                <w:color w:val="auto"/>
              </w:rPr>
            </w:pPr>
          </w:p>
        </w:tc>
        <w:tc>
          <w:tcPr>
            <w:tcW w:w="22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Net Decrease in Net</w:t>
            </w:r>
          </w:p>
        </w:tc>
      </w:tr>
      <w:tr>
        <w:trPr>
          <w:trHeight w:val="234"/>
        </w:trPr>
        <w:tc>
          <w:tcPr>
            <w:tcW w:w="2080" w:type="dxa"/>
            <w:vAlign w:val="bottom"/>
          </w:tcPr>
          <w:p>
            <w:pPr>
              <w:spacing w:after="0"/>
              <w:rPr>
                <w:sz w:val="20"/>
                <w:szCs w:val="20"/>
                <w:color w:val="auto"/>
              </w:rPr>
            </w:pPr>
          </w:p>
        </w:tc>
        <w:tc>
          <w:tcPr>
            <w:tcW w:w="21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1"/>
              </w:rPr>
              <w:t>Total Investment Income</w:t>
            </w:r>
          </w:p>
        </w:tc>
        <w:tc>
          <w:tcPr>
            <w:tcW w:w="240" w:type="dxa"/>
            <w:vAlign w:val="bottom"/>
          </w:tcPr>
          <w:p>
            <w:pPr>
              <w:spacing w:after="0"/>
              <w:rPr>
                <w:sz w:val="20"/>
                <w:szCs w:val="20"/>
                <w:color w:val="auto"/>
              </w:rPr>
            </w:pPr>
          </w:p>
        </w:tc>
        <w:tc>
          <w:tcPr>
            <w:tcW w:w="2520" w:type="dxa"/>
            <w:vAlign w:val="bottom"/>
            <w:gridSpan w:val="3"/>
          </w:tcPr>
          <w:p>
            <w:pPr>
              <w:ind w:left="340"/>
              <w:spacing w:after="0"/>
              <w:rPr>
                <w:sz w:val="20"/>
                <w:szCs w:val="20"/>
                <w:color w:val="auto"/>
              </w:rPr>
            </w:pPr>
            <w:r>
              <w:rPr>
                <w:rFonts w:ascii="Arial" w:cs="Arial" w:eastAsia="Arial" w:hAnsi="Arial"/>
                <w:sz w:val="18"/>
                <w:szCs w:val="18"/>
                <w:b w:val="1"/>
                <w:bCs w:val="1"/>
                <w:color w:val="auto"/>
              </w:rPr>
              <w:t>Net Investment Loss</w:t>
            </w:r>
          </w:p>
        </w:tc>
        <w:tc>
          <w:tcPr>
            <w:tcW w:w="160" w:type="dxa"/>
            <w:vAlign w:val="bottom"/>
          </w:tcPr>
          <w:p>
            <w:pPr>
              <w:spacing w:after="0"/>
              <w:rPr>
                <w:sz w:val="20"/>
                <w:szCs w:val="20"/>
                <w:color w:val="auto"/>
              </w:rPr>
            </w:pPr>
          </w:p>
        </w:tc>
        <w:tc>
          <w:tcPr>
            <w:tcW w:w="198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Depreciation</w:t>
            </w:r>
          </w:p>
        </w:tc>
        <w:tc>
          <w:tcPr>
            <w:tcW w:w="100" w:type="dxa"/>
            <w:vAlign w:val="bottom"/>
          </w:tcPr>
          <w:p>
            <w:pPr>
              <w:spacing w:after="0"/>
              <w:rPr>
                <w:sz w:val="20"/>
                <w:szCs w:val="20"/>
                <w:color w:val="auto"/>
              </w:rPr>
            </w:pPr>
          </w:p>
        </w:tc>
        <w:tc>
          <w:tcPr>
            <w:tcW w:w="22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7"/>
              </w:rPr>
              <w:t>Assets from Operations</w:t>
            </w:r>
          </w:p>
        </w:tc>
      </w:tr>
      <w:tr>
        <w:trPr>
          <w:trHeight w:val="195"/>
        </w:trPr>
        <w:tc>
          <w:tcPr>
            <w:tcW w:w="20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b w:val="1"/>
                <w:bCs w:val="1"/>
                <w:color w:val="auto"/>
              </w:rPr>
              <w:t>Per</w:t>
            </w:r>
          </w:p>
        </w:tc>
        <w:tc>
          <w:tcPr>
            <w:tcW w:w="2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6"/>
              </w:rPr>
              <w:t>Per</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b w:val="1"/>
                <w:bCs w:val="1"/>
                <w:color w:val="auto"/>
              </w:rPr>
              <w:t>Per</w:t>
            </w: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10"/>
              <w:spacing w:after="0" w:line="195" w:lineRule="exact"/>
              <w:rPr>
                <w:sz w:val="20"/>
                <w:szCs w:val="20"/>
                <w:color w:val="auto"/>
              </w:rPr>
            </w:pPr>
            <w:r>
              <w:rPr>
                <w:rFonts w:ascii="Arial" w:cs="Arial" w:eastAsia="Arial" w:hAnsi="Arial"/>
                <w:sz w:val="18"/>
                <w:szCs w:val="18"/>
                <w:b w:val="1"/>
                <w:bCs w:val="1"/>
                <w:color w:val="auto"/>
              </w:rPr>
              <w:t>Per</w:t>
            </w:r>
          </w:p>
        </w:tc>
      </w:tr>
      <w:tr>
        <w:trPr>
          <w:trHeight w:val="271"/>
        </w:trPr>
        <w:tc>
          <w:tcPr>
            <w:tcW w:w="2080" w:type="dxa"/>
            <w:vAlign w:val="bottom"/>
          </w:tcPr>
          <w:p>
            <w:pPr>
              <w:ind w:left="38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3"/>
                <w:szCs w:val="23"/>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820" w:type="dxa"/>
            <w:vAlign w:val="bottom"/>
            <w:gridSpan w:val="2"/>
          </w:tcPr>
          <w:p>
            <w:pPr>
              <w:jc w:val="right"/>
              <w:spacing w:after="0" w:line="271" w:lineRule="exact"/>
              <w:rPr>
                <w:sz w:val="20"/>
                <w:szCs w:val="20"/>
                <w:color w:val="auto"/>
              </w:rPr>
            </w:pPr>
            <w:r>
              <w:rPr>
                <w:rFonts w:ascii="Arial" w:cs="Arial" w:eastAsia="Arial" w:hAnsi="Arial"/>
                <w:sz w:val="18"/>
                <w:szCs w:val="18"/>
                <w:b w:val="1"/>
                <w:bCs w:val="1"/>
                <w:color w:val="auto"/>
                <w:w w:val="99"/>
              </w:rPr>
              <w:t>Share</w:t>
            </w:r>
            <w:r>
              <w:rPr>
                <w:rFonts w:ascii="Arial" w:cs="Arial" w:eastAsia="Arial" w:hAnsi="Arial"/>
                <w:sz w:val="30"/>
                <w:szCs w:val="30"/>
                <w:b w:val="1"/>
                <w:bCs w:val="1"/>
                <w:color w:val="auto"/>
                <w:w w:val="99"/>
                <w:vertAlign w:val="superscript"/>
              </w:rPr>
              <w:t>(1)</w:t>
            </w:r>
          </w:p>
        </w:tc>
        <w:tc>
          <w:tcPr>
            <w:tcW w:w="240" w:type="dxa"/>
            <w:vAlign w:val="bottom"/>
          </w:tcPr>
          <w:p>
            <w:pPr>
              <w:spacing w:after="0"/>
              <w:rPr>
                <w:sz w:val="23"/>
                <w:szCs w:val="23"/>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tcPr>
          <w:p>
            <w:pPr>
              <w:jc w:val="center"/>
              <w:ind w:right="100"/>
              <w:spacing w:after="0" w:line="271" w:lineRule="exact"/>
              <w:rPr>
                <w:sz w:val="20"/>
                <w:szCs w:val="20"/>
                <w:color w:val="auto"/>
              </w:rPr>
            </w:pPr>
            <w:r>
              <w:rPr>
                <w:rFonts w:ascii="Arial" w:cs="Arial" w:eastAsia="Arial" w:hAnsi="Arial"/>
                <w:sz w:val="18"/>
                <w:szCs w:val="18"/>
                <w:b w:val="1"/>
                <w:bCs w:val="1"/>
                <w:color w:val="auto"/>
                <w:w w:val="83"/>
              </w:rPr>
              <w:t>Share</w:t>
            </w:r>
            <w:r>
              <w:rPr>
                <w:rFonts w:ascii="Arial" w:cs="Arial" w:eastAsia="Arial" w:hAnsi="Arial"/>
                <w:sz w:val="30"/>
                <w:szCs w:val="30"/>
                <w:b w:val="1"/>
                <w:bCs w:val="1"/>
                <w:color w:val="auto"/>
                <w:w w:val="83"/>
                <w:vertAlign w:val="superscript"/>
              </w:rPr>
              <w:t>(1)</w:t>
            </w:r>
          </w:p>
        </w:tc>
        <w:tc>
          <w:tcPr>
            <w:tcW w:w="160" w:type="dxa"/>
            <w:vAlign w:val="bottom"/>
          </w:tcPr>
          <w:p>
            <w:pPr>
              <w:spacing w:after="0"/>
              <w:rPr>
                <w:sz w:val="23"/>
                <w:szCs w:val="23"/>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800" w:type="dxa"/>
            <w:vAlign w:val="bottom"/>
          </w:tcPr>
          <w:p>
            <w:pPr>
              <w:jc w:val="right"/>
              <w:ind w:right="70"/>
              <w:spacing w:after="0" w:line="271" w:lineRule="exact"/>
              <w:rPr>
                <w:sz w:val="20"/>
                <w:szCs w:val="20"/>
                <w:color w:val="auto"/>
              </w:rPr>
            </w:pPr>
            <w:r>
              <w:rPr>
                <w:rFonts w:ascii="Arial" w:cs="Arial" w:eastAsia="Arial" w:hAnsi="Arial"/>
                <w:sz w:val="18"/>
                <w:szCs w:val="18"/>
                <w:b w:val="1"/>
                <w:bCs w:val="1"/>
                <w:color w:val="auto"/>
                <w:w w:val="83"/>
              </w:rPr>
              <w:t>Share</w:t>
            </w:r>
            <w:r>
              <w:rPr>
                <w:rFonts w:ascii="Arial" w:cs="Arial" w:eastAsia="Arial" w:hAnsi="Arial"/>
                <w:sz w:val="30"/>
                <w:szCs w:val="30"/>
                <w:b w:val="1"/>
                <w:bCs w:val="1"/>
                <w:color w:val="auto"/>
                <w:w w:val="83"/>
                <w:vertAlign w:val="superscript"/>
              </w:rPr>
              <w:t>(1)</w:t>
            </w:r>
          </w:p>
        </w:tc>
        <w:tc>
          <w:tcPr>
            <w:tcW w:w="10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ind w:right="130"/>
              <w:spacing w:after="0" w:line="271" w:lineRule="exact"/>
              <w:rPr>
                <w:sz w:val="20"/>
                <w:szCs w:val="20"/>
                <w:color w:val="auto"/>
              </w:rPr>
            </w:pPr>
            <w:r>
              <w:rPr>
                <w:rFonts w:ascii="Arial" w:cs="Arial" w:eastAsia="Arial" w:hAnsi="Arial"/>
                <w:sz w:val="18"/>
                <w:szCs w:val="18"/>
                <w:b w:val="1"/>
                <w:bCs w:val="1"/>
                <w:color w:val="auto"/>
              </w:rPr>
              <w:t>Share</w:t>
            </w:r>
            <w:r>
              <w:rPr>
                <w:rFonts w:ascii="Arial" w:cs="Arial" w:eastAsia="Arial" w:hAnsi="Arial"/>
                <w:sz w:val="30"/>
                <w:szCs w:val="30"/>
                <w:b w:val="1"/>
                <w:bCs w:val="1"/>
                <w:color w:val="auto"/>
                <w:vertAlign w:val="superscript"/>
              </w:rPr>
              <w:t>(1)</w:t>
            </w:r>
          </w:p>
        </w:tc>
      </w:tr>
      <w:tr>
        <w:trPr>
          <w:trHeight w:val="216"/>
        </w:trPr>
        <w:tc>
          <w:tcPr>
            <w:tcW w:w="2080" w:type="dxa"/>
            <w:vAlign w:val="bottom"/>
            <w:shd w:val="clear" w:color="auto" w:fill="CCFFCC"/>
          </w:tcPr>
          <w:p>
            <w:pPr>
              <w:spacing w:after="0"/>
              <w:rPr>
                <w:sz w:val="20"/>
                <w:szCs w:val="20"/>
                <w:color w:val="auto"/>
              </w:rPr>
            </w:pPr>
            <w:r>
              <w:rPr>
                <w:rFonts w:ascii="Arial" w:cs="Arial" w:eastAsia="Arial" w:hAnsi="Arial"/>
                <w:sz w:val="18"/>
                <w:szCs w:val="18"/>
                <w:color w:val="auto"/>
              </w:rPr>
              <w:t>March 31, 2011</w:t>
            </w:r>
          </w:p>
        </w:tc>
        <w:tc>
          <w:tcPr>
            <w:tcW w:w="220" w:type="dxa"/>
            <w:vAlign w:val="bottom"/>
            <w:shd w:val="clear" w:color="auto" w:fill="CCFFCC"/>
          </w:tcPr>
          <w:p>
            <w:pPr>
              <w:jc w:val="right"/>
              <w:ind w:right="5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   (110,808)</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  (1,108.08)</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   (110,808)</w:t>
            </w:r>
          </w:p>
        </w:tc>
        <w:tc>
          <w:tcPr>
            <w:tcW w:w="11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 (1,108.08)</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June 30, 2011</w:t>
            </w:r>
          </w:p>
        </w:tc>
        <w:tc>
          <w:tcPr>
            <w:tcW w:w="2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(565,305)</w:t>
            </w:r>
          </w:p>
        </w:tc>
        <w:tc>
          <w:tcPr>
            <w:tcW w:w="1160" w:type="dxa"/>
            <w:vAlign w:val="bottom"/>
          </w:tcPr>
          <w:p>
            <w:pPr>
              <w:jc w:val="right"/>
              <w:spacing w:after="0"/>
              <w:rPr>
                <w:sz w:val="20"/>
                <w:szCs w:val="20"/>
                <w:color w:val="auto"/>
              </w:rPr>
            </w:pPr>
            <w:r>
              <w:rPr>
                <w:rFonts w:ascii="Arial" w:cs="Arial" w:eastAsia="Arial" w:hAnsi="Arial"/>
                <w:sz w:val="18"/>
                <w:szCs w:val="18"/>
                <w:color w:val="auto"/>
              </w:rPr>
              <w:t>(0.24)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(59,634)</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(0.03)</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(624,939)</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(0.27)</w:t>
            </w:r>
          </w:p>
        </w:tc>
      </w:tr>
      <w:tr>
        <w:trPr>
          <w:trHeight w:val="216"/>
        </w:trPr>
        <w:tc>
          <w:tcPr>
            <w:tcW w:w="2080" w:type="dxa"/>
            <w:vAlign w:val="bottom"/>
            <w:shd w:val="clear" w:color="auto" w:fill="CCFFCC"/>
          </w:tcPr>
          <w:p>
            <w:pPr>
              <w:spacing w:after="0"/>
              <w:rPr>
                <w:sz w:val="20"/>
                <w:szCs w:val="20"/>
                <w:color w:val="auto"/>
              </w:rPr>
            </w:pPr>
            <w:r>
              <w:rPr>
                <w:rFonts w:ascii="Arial" w:cs="Arial" w:eastAsia="Arial" w:hAnsi="Arial"/>
                <w:sz w:val="18"/>
                <w:szCs w:val="18"/>
                <w:color w:val="auto"/>
              </w:rPr>
              <w:t>September 30, 2011</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53,408</w:t>
            </w:r>
          </w:p>
        </w:tc>
        <w:tc>
          <w:tcPr>
            <w:tcW w:w="26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0.02</w:t>
            </w: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(680,088)</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(494,170)</w:t>
            </w:r>
          </w:p>
        </w:tc>
        <w:tc>
          <w:tcPr>
            <w:tcW w:w="8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(0.14)</w:t>
            </w:r>
          </w:p>
        </w:tc>
        <w:tc>
          <w:tcPr>
            <w:tcW w:w="12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(1,174,258)</w:t>
            </w:r>
          </w:p>
        </w:tc>
        <w:tc>
          <w:tcPr>
            <w:tcW w:w="11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(0.34)</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December 31, 2011</w:t>
            </w:r>
          </w:p>
        </w:tc>
        <w:tc>
          <w:tcPr>
            <w:tcW w:w="22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108,920</w:t>
            </w: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0.02</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(677,663)</w:t>
            </w:r>
          </w:p>
        </w:tc>
        <w:tc>
          <w:tcPr>
            <w:tcW w:w="1160" w:type="dxa"/>
            <w:vAlign w:val="bottom"/>
          </w:tcPr>
          <w:p>
            <w:pPr>
              <w:jc w:val="right"/>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w w:val="97"/>
              </w:rPr>
              <w:t>(1,025,996)</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(0.19)</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(1,703,659)</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(0.31)</w:t>
            </w:r>
          </w:p>
        </w:tc>
      </w:tr>
    </w:tbl>
    <w:p>
      <w:pPr>
        <w:spacing w:after="0" w:line="187" w:lineRule="exact"/>
        <w:rPr>
          <w:sz w:val="20"/>
          <w:szCs w:val="20"/>
          <w:color w:val="auto"/>
        </w:rPr>
      </w:pPr>
    </w:p>
    <w:p>
      <w:pPr>
        <w:ind w:left="5620" w:right="4360" w:hanging="5612"/>
        <w:spacing w:after="0" w:line="697" w:lineRule="auto"/>
        <w:tabs>
          <w:tab w:leader="none" w:pos="234" w:val="left"/>
        </w:tabs>
        <w:numPr>
          <w:ilvl w:val="0"/>
          <w:numId w:val="42"/>
        </w:numPr>
        <w:rPr>
          <w:rFonts w:ascii="Arial" w:cs="Arial" w:eastAsia="Arial" w:hAnsi="Arial"/>
          <w:sz w:val="27"/>
          <w:szCs w:val="27"/>
          <w:color w:val="auto"/>
          <w:vertAlign w:val="superscript"/>
        </w:rPr>
      </w:pPr>
      <w:r>
        <w:rPr>
          <w:rFonts w:ascii="Arial" w:cs="Arial" w:eastAsia="Arial" w:hAnsi="Arial"/>
          <w:sz w:val="17"/>
          <w:szCs w:val="17"/>
          <w:color w:val="auto"/>
        </w:rPr>
        <w:t>Per share amounts are calculated using weighted average shares outstanding during the period.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7"/>
          <w:szCs w:val="17"/>
          <w:color w:val="auto"/>
        </w:rPr>
        <w:t>As of December 31, 2011, we, including our Chief Executive Officer and Chief Financial Officer, evaluated the effectiveness of the design and operation of our disclosure controls and procedures (as defined in Rule 13a-15(e) under the Securities Exchange Act of 1934).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177" w:lineRule="exact"/>
        <w:rPr>
          <w:sz w:val="20"/>
          <w:szCs w:val="20"/>
          <w:color w:val="auto"/>
        </w:rPr>
      </w:pPr>
    </w:p>
    <w:p>
      <w:pPr>
        <w:ind w:left="660" w:right="5400" w:hanging="652"/>
        <w:spacing w:after="0" w:line="501" w:lineRule="auto"/>
        <w:tabs>
          <w:tab w:leader="none" w:pos="347"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Attestation Report of the Independent Registered Public Accounting Firm </w:t>
      </w:r>
      <w:r>
        <w:rPr>
          <w:rFonts w:ascii="Arial" w:cs="Arial" w:eastAsia="Arial" w:hAnsi="Arial"/>
          <w:sz w:val="18"/>
          <w:szCs w:val="18"/>
          <w:color w:val="auto"/>
        </w:rPr>
        <w:t>Not applicable.</w:t>
      </w:r>
    </w:p>
    <w:p>
      <w:pPr>
        <w:ind w:left="360" w:hanging="352"/>
        <w:spacing w:after="0"/>
        <w:tabs>
          <w:tab w:leader="none" w:pos="3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Securities Exchange Act of 1934) that occurred during the period from January 6, 2011 (date of inception) to December 31, 2011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5, 2012, Luben Pampoulov resigned from his position as an officer of the Company. In light of Mr. Pampoulov's focus on providing the Company with investment advisory services through GSV Asset Management, both he and our Board of Directors believe his position as a Managing Director of GSV Asset Management more accurately reflects his contributions to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Item 10 is hereby incorporated by reference from the Company’s definitive Proxy Statement relating to the Company’s 2012 Annual Meeting of Stockholders, to be filed with the Securities and Exchange Commission within 120 days following the end of the Company’s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Item 11 is hereby incorporated by reference from the Company’s definitive Proxy Statement relating to the Company’s 2012 Annual Meeting of Stockholders, to be filed with the Securities and Exchange Commission within 120 days following the end of the Company’s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Item 12 is hereby incorporated by reference from the Company’s definitive Proxy Statement relating to the Company’s 2012 Annual Meeting of Stockholders, to be filed with the Securities and Exchange Commission within 120 days following the end of the Company’s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Item 13 is hereby incorporated by reference from the Company’s definitive Proxy Statement relating to the Company’s 2012 Annual Meeting of Stockholders, to be filed with the Securities and Exchange Commission within 120 days following the end of the Company’s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Item 14 is hereby incorporated by reference from the Company’s definitive Proxy Statement relating to the Company’s 2012 Annual Meeting of Stockholders, to be filed with the Securities and Exchange Commission within 120 days following the end of the Company’s fiscal year.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statements are set forth in Item 8:</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00" w:type="dxa"/>
            <w:vAlign w:val="bottom"/>
            <w:tcBorders>
              <w:bottom w:val="single" w:sz="8" w:color="CCFFCC"/>
            </w:tcBorders>
            <w:shd w:val="clear" w:color="auto" w:fill="CCFFCC"/>
          </w:tcPr>
          <w:p>
            <w:pPr>
              <w:spacing w:after="0"/>
              <w:rPr>
                <w:sz w:val="18"/>
                <w:szCs w:val="18"/>
                <w:color w:val="auto"/>
              </w:rPr>
            </w:pPr>
          </w:p>
        </w:tc>
        <w:tc>
          <w:tcPr>
            <w:tcW w:w="1008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Statement of Assets and Liabilities as of December 31, 2011</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Statement of Operations for the period from January 6, 2011 (date of inception) to December 31, 2011</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Statement of Changes in Net Assets for the period from January 6, 2011 (date of inception) to December 31, 2011</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Statement of Cash Flows for the period from January 6, 2011 (date of inception) to December 31, 2011</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Schedule of Investments as of December 31, 2011</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Notes to the Financial Statements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418"/>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1008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tcPr>
          <w:p>
            <w:pPr>
              <w:ind w:left="340"/>
              <w:spacing w:after="0"/>
              <w:rPr>
                <w:sz w:val="20"/>
                <w:szCs w:val="20"/>
                <w:color w:val="auto"/>
              </w:rPr>
            </w:pPr>
            <w:r>
              <w:rPr>
                <w:rFonts w:ascii="Arial" w:cs="Arial" w:eastAsia="Arial" w:hAnsi="Arial"/>
                <w:sz w:val="18"/>
                <w:szCs w:val="18"/>
                <w:color w:val="auto"/>
                <w:w w:val="95"/>
              </w:rPr>
              <w:t>The following exhibits are filed as part of this report or hereby incorporated by reference to exhibits previously filed with the SEC:</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gridSpan w:val="2"/>
          </w:tcPr>
          <w:p>
            <w:pPr>
              <w:spacing w:after="0"/>
              <w:rPr>
                <w:sz w:val="20"/>
                <w:szCs w:val="20"/>
                <w:color w:val="auto"/>
              </w:rPr>
            </w:pPr>
            <w:r>
              <w:rPr>
                <w:rFonts w:ascii="Arial" w:cs="Arial" w:eastAsia="Arial" w:hAnsi="Arial"/>
                <w:sz w:val="18"/>
                <w:szCs w:val="18"/>
                <w:color w:val="auto"/>
              </w:rPr>
              <w:t>3.1</w:t>
            </w:r>
          </w:p>
        </w:tc>
        <w:tc>
          <w:tcPr>
            <w:tcW w:w="10080" w:type="dxa"/>
            <w:vAlign w:val="bottom"/>
          </w:tcPr>
          <w:p>
            <w:pPr>
              <w:ind w:left="940"/>
              <w:spacing w:after="0"/>
              <w:rPr>
                <w:sz w:val="20"/>
                <w:szCs w:val="20"/>
                <w:color w:val="auto"/>
              </w:rPr>
            </w:pPr>
            <w:r>
              <w:rPr>
                <w:rFonts w:ascii="Arial" w:cs="Arial" w:eastAsia="Arial" w:hAnsi="Arial"/>
                <w:sz w:val="18"/>
                <w:szCs w:val="18"/>
                <w:color w:val="auto"/>
              </w:rPr>
              <w:t>Articles of Amendment and Restatement*</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gridSpan w:val="2"/>
          </w:tcPr>
          <w:p>
            <w:pPr>
              <w:spacing w:after="0"/>
              <w:rPr>
                <w:sz w:val="20"/>
                <w:szCs w:val="20"/>
                <w:color w:val="auto"/>
              </w:rPr>
            </w:pPr>
            <w:r>
              <w:rPr>
                <w:rFonts w:ascii="Arial" w:cs="Arial" w:eastAsia="Arial" w:hAnsi="Arial"/>
                <w:sz w:val="18"/>
                <w:szCs w:val="18"/>
                <w:color w:val="auto"/>
              </w:rPr>
              <w:t>3.2</w:t>
            </w:r>
          </w:p>
        </w:tc>
        <w:tc>
          <w:tcPr>
            <w:tcW w:w="10080" w:type="dxa"/>
            <w:vAlign w:val="bottom"/>
          </w:tcPr>
          <w:p>
            <w:pPr>
              <w:ind w:left="940"/>
              <w:spacing w:after="0"/>
              <w:rPr>
                <w:sz w:val="20"/>
                <w:szCs w:val="20"/>
                <w:color w:val="auto"/>
              </w:rPr>
            </w:pPr>
            <w:r>
              <w:rPr>
                <w:rFonts w:ascii="Arial" w:cs="Arial" w:eastAsia="Arial" w:hAnsi="Arial"/>
                <w:sz w:val="18"/>
                <w:szCs w:val="18"/>
                <w:color w:val="auto"/>
              </w:rPr>
              <w:t>Articles of Amendment**</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gridSpan w:val="2"/>
          </w:tcPr>
          <w:p>
            <w:pPr>
              <w:spacing w:after="0"/>
              <w:rPr>
                <w:sz w:val="20"/>
                <w:szCs w:val="20"/>
                <w:color w:val="auto"/>
              </w:rPr>
            </w:pPr>
            <w:r>
              <w:rPr>
                <w:rFonts w:ascii="Arial" w:cs="Arial" w:eastAsia="Arial" w:hAnsi="Arial"/>
                <w:sz w:val="18"/>
                <w:szCs w:val="18"/>
                <w:color w:val="auto"/>
              </w:rPr>
              <w:t>3.3</w:t>
            </w:r>
          </w:p>
        </w:tc>
        <w:tc>
          <w:tcPr>
            <w:tcW w:w="10080" w:type="dxa"/>
            <w:vAlign w:val="bottom"/>
          </w:tcPr>
          <w:p>
            <w:pPr>
              <w:ind w:left="940"/>
              <w:spacing w:after="0"/>
              <w:rPr>
                <w:sz w:val="20"/>
                <w:szCs w:val="20"/>
                <w:color w:val="auto"/>
              </w:rPr>
            </w:pPr>
            <w:r>
              <w:rPr>
                <w:rFonts w:ascii="Arial" w:cs="Arial" w:eastAsia="Arial" w:hAnsi="Arial"/>
                <w:sz w:val="18"/>
                <w:szCs w:val="18"/>
                <w:color w:val="auto"/>
              </w:rPr>
              <w:t>Bylaws*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gridSpan w:val="2"/>
          </w:tcPr>
          <w:p>
            <w:pPr>
              <w:spacing w:after="0"/>
              <w:rPr>
                <w:sz w:val="20"/>
                <w:szCs w:val="20"/>
                <w:color w:val="auto"/>
              </w:rPr>
            </w:pPr>
            <w:r>
              <w:rPr>
                <w:rFonts w:ascii="Arial" w:cs="Arial" w:eastAsia="Arial" w:hAnsi="Arial"/>
                <w:sz w:val="18"/>
                <w:szCs w:val="18"/>
                <w:color w:val="auto"/>
              </w:rPr>
              <w:t>4.1</w:t>
            </w:r>
          </w:p>
        </w:tc>
        <w:tc>
          <w:tcPr>
            <w:tcW w:w="10080" w:type="dxa"/>
            <w:vAlign w:val="bottom"/>
          </w:tcPr>
          <w:p>
            <w:pPr>
              <w:ind w:left="940"/>
              <w:spacing w:after="0"/>
              <w:rPr>
                <w:sz w:val="20"/>
                <w:szCs w:val="20"/>
                <w:color w:val="auto"/>
              </w:rPr>
            </w:pPr>
            <w:r>
              <w:rPr>
                <w:rFonts w:ascii="Arial" w:cs="Arial" w:eastAsia="Arial" w:hAnsi="Arial"/>
                <w:sz w:val="18"/>
                <w:szCs w:val="18"/>
                <w:color w:val="auto"/>
              </w:rPr>
              <w:t>Form of Common Stock Certificate*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gridSpan w:val="2"/>
          </w:tcPr>
          <w:p>
            <w:pPr>
              <w:spacing w:after="0"/>
              <w:rPr>
                <w:sz w:val="20"/>
                <w:szCs w:val="20"/>
                <w:color w:val="auto"/>
              </w:rPr>
            </w:pPr>
            <w:r>
              <w:rPr>
                <w:rFonts w:ascii="Arial" w:cs="Arial" w:eastAsia="Arial" w:hAnsi="Arial"/>
                <w:sz w:val="18"/>
                <w:szCs w:val="18"/>
                <w:color w:val="auto"/>
                <w:w w:val="85"/>
              </w:rPr>
              <w:t>10.1</w:t>
            </w:r>
          </w:p>
        </w:tc>
        <w:tc>
          <w:tcPr>
            <w:tcW w:w="10080" w:type="dxa"/>
            <w:vAlign w:val="bottom"/>
          </w:tcPr>
          <w:p>
            <w:pPr>
              <w:ind w:left="940"/>
              <w:spacing w:after="0"/>
              <w:rPr>
                <w:sz w:val="20"/>
                <w:szCs w:val="20"/>
                <w:color w:val="auto"/>
              </w:rPr>
            </w:pPr>
            <w:r>
              <w:rPr>
                <w:rFonts w:ascii="Arial" w:cs="Arial" w:eastAsia="Arial" w:hAnsi="Arial"/>
                <w:sz w:val="18"/>
                <w:szCs w:val="18"/>
                <w:color w:val="auto"/>
              </w:rPr>
              <w:t>Form of Dividend Reinvestment Plan*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gridSpan w:val="2"/>
          </w:tcPr>
          <w:p>
            <w:pPr>
              <w:spacing w:after="0"/>
              <w:rPr>
                <w:sz w:val="20"/>
                <w:szCs w:val="20"/>
                <w:color w:val="auto"/>
              </w:rPr>
            </w:pPr>
            <w:r>
              <w:rPr>
                <w:rFonts w:ascii="Arial" w:cs="Arial" w:eastAsia="Arial" w:hAnsi="Arial"/>
                <w:sz w:val="18"/>
                <w:szCs w:val="18"/>
                <w:color w:val="auto"/>
                <w:w w:val="85"/>
              </w:rPr>
              <w:t>10.2</w:t>
            </w:r>
          </w:p>
        </w:tc>
        <w:tc>
          <w:tcPr>
            <w:tcW w:w="11100" w:type="dxa"/>
            <w:vAlign w:val="bottom"/>
            <w:gridSpan w:val="2"/>
          </w:tcPr>
          <w:p>
            <w:pPr>
              <w:ind w:left="940"/>
              <w:spacing w:after="0"/>
              <w:rPr>
                <w:sz w:val="20"/>
                <w:szCs w:val="20"/>
                <w:color w:val="auto"/>
              </w:rPr>
            </w:pPr>
            <w:r>
              <w:rPr>
                <w:rFonts w:ascii="Arial" w:cs="Arial" w:eastAsia="Arial" w:hAnsi="Arial"/>
                <w:sz w:val="18"/>
                <w:szCs w:val="18"/>
                <w:color w:val="auto"/>
                <w:w w:val="95"/>
              </w:rPr>
              <w:t>Investment Advisory Agreement by and between Registrant and GSV Asset Management, LLC (f/k/a NeXt Asset Management, LLC) *</w:t>
            </w:r>
          </w:p>
        </w:tc>
        <w:tc>
          <w:tcPr>
            <w:tcW w:w="0" w:type="dxa"/>
            <w:vAlign w:val="bottom"/>
          </w:tcPr>
          <w:p>
            <w:pPr>
              <w:spacing w:after="0"/>
              <w:rPr>
                <w:sz w:val="1"/>
                <w:szCs w:val="1"/>
                <w:color w:val="auto"/>
              </w:rPr>
            </w:pPr>
          </w:p>
        </w:tc>
      </w:tr>
      <w:tr>
        <w:trPr>
          <w:trHeight w:val="418"/>
        </w:trPr>
        <w:tc>
          <w:tcPr>
            <w:tcW w:w="320" w:type="dxa"/>
            <w:vAlign w:val="bottom"/>
            <w:gridSpan w:val="2"/>
          </w:tcPr>
          <w:p>
            <w:pPr>
              <w:spacing w:after="0"/>
              <w:rPr>
                <w:sz w:val="20"/>
                <w:szCs w:val="20"/>
                <w:color w:val="auto"/>
              </w:rPr>
            </w:pPr>
            <w:r>
              <w:rPr>
                <w:rFonts w:ascii="Arial" w:cs="Arial" w:eastAsia="Arial" w:hAnsi="Arial"/>
                <w:sz w:val="18"/>
                <w:szCs w:val="18"/>
                <w:color w:val="auto"/>
                <w:w w:val="85"/>
              </w:rPr>
              <w:t>10.3</w:t>
            </w:r>
          </w:p>
        </w:tc>
        <w:tc>
          <w:tcPr>
            <w:tcW w:w="11100" w:type="dxa"/>
            <w:vAlign w:val="bottom"/>
            <w:gridSpan w:val="2"/>
          </w:tcPr>
          <w:p>
            <w:pPr>
              <w:ind w:left="940"/>
              <w:spacing w:after="0"/>
              <w:rPr>
                <w:sz w:val="20"/>
                <w:szCs w:val="20"/>
                <w:color w:val="auto"/>
              </w:rPr>
            </w:pPr>
            <w:r>
              <w:rPr>
                <w:rFonts w:ascii="Arial" w:cs="Arial" w:eastAsia="Arial" w:hAnsi="Arial"/>
                <w:sz w:val="18"/>
                <w:szCs w:val="18"/>
                <w:color w:val="auto"/>
                <w:w w:val="93"/>
              </w:rPr>
              <w:t>Administration Agreement by and between Registrant and GSV Capital Service Company, LLC (f/k/a NeXt Innovation Service Company,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80" w:type="dxa"/>
            <w:vAlign w:val="bottom"/>
          </w:tcPr>
          <w:p>
            <w:pPr>
              <w:ind w:left="940"/>
              <w:spacing w:after="0"/>
              <w:rPr>
                <w:sz w:val="20"/>
                <w:szCs w:val="20"/>
                <w:color w:val="auto"/>
              </w:rPr>
            </w:pPr>
            <w:r>
              <w:rPr>
                <w:rFonts w:ascii="Arial" w:cs="Arial" w:eastAsia="Arial" w:hAnsi="Arial"/>
                <w:sz w:val="18"/>
                <w:szCs w:val="18"/>
                <w:color w:val="auto"/>
              </w:rPr>
              <w:t>LLC)*</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gridSpan w:val="2"/>
          </w:tcPr>
          <w:p>
            <w:pPr>
              <w:spacing w:after="0"/>
              <w:rPr>
                <w:sz w:val="20"/>
                <w:szCs w:val="20"/>
                <w:color w:val="auto"/>
              </w:rPr>
            </w:pPr>
            <w:r>
              <w:rPr>
                <w:rFonts w:ascii="Arial" w:cs="Arial" w:eastAsia="Arial" w:hAnsi="Arial"/>
                <w:sz w:val="18"/>
                <w:szCs w:val="18"/>
                <w:color w:val="auto"/>
                <w:w w:val="85"/>
              </w:rPr>
              <w:t>10.4</w:t>
            </w:r>
          </w:p>
        </w:tc>
        <w:tc>
          <w:tcPr>
            <w:tcW w:w="10080" w:type="dxa"/>
            <w:vAlign w:val="bottom"/>
          </w:tcPr>
          <w:p>
            <w:pPr>
              <w:ind w:left="940"/>
              <w:spacing w:after="0"/>
              <w:rPr>
                <w:sz w:val="20"/>
                <w:szCs w:val="20"/>
                <w:color w:val="auto"/>
              </w:rPr>
            </w:pPr>
            <w:r>
              <w:rPr>
                <w:rFonts w:ascii="Arial" w:cs="Arial" w:eastAsia="Arial" w:hAnsi="Arial"/>
                <w:sz w:val="18"/>
                <w:szCs w:val="18"/>
                <w:color w:val="auto"/>
              </w:rPr>
              <w:t>Form of Indemnification Agreement by and between Registrant and each of its directors*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gridSpan w:val="2"/>
          </w:tcPr>
          <w:p>
            <w:pPr>
              <w:spacing w:after="0"/>
              <w:rPr>
                <w:sz w:val="20"/>
                <w:szCs w:val="20"/>
                <w:color w:val="auto"/>
              </w:rPr>
            </w:pPr>
            <w:r>
              <w:rPr>
                <w:rFonts w:ascii="Arial" w:cs="Arial" w:eastAsia="Arial" w:hAnsi="Arial"/>
                <w:sz w:val="18"/>
                <w:szCs w:val="18"/>
                <w:color w:val="auto"/>
                <w:w w:val="85"/>
              </w:rPr>
              <w:t>10.5</w:t>
            </w:r>
          </w:p>
        </w:tc>
        <w:tc>
          <w:tcPr>
            <w:tcW w:w="10080" w:type="dxa"/>
            <w:vAlign w:val="bottom"/>
          </w:tcPr>
          <w:p>
            <w:pPr>
              <w:ind w:left="940"/>
              <w:spacing w:after="0"/>
              <w:rPr>
                <w:sz w:val="20"/>
                <w:szCs w:val="20"/>
                <w:color w:val="auto"/>
              </w:rPr>
            </w:pPr>
            <w:r>
              <w:rPr>
                <w:rFonts w:ascii="Arial" w:cs="Arial" w:eastAsia="Arial" w:hAnsi="Arial"/>
                <w:sz w:val="18"/>
                <w:szCs w:val="18"/>
                <w:color w:val="auto"/>
              </w:rPr>
              <w:t>Form of Custody Agreement by and between Registrant and U.S. Bank National Association*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gridSpan w:val="2"/>
          </w:tcPr>
          <w:p>
            <w:pPr>
              <w:spacing w:after="0"/>
              <w:rPr>
                <w:sz w:val="20"/>
                <w:szCs w:val="20"/>
                <w:color w:val="auto"/>
              </w:rPr>
            </w:pPr>
            <w:r>
              <w:rPr>
                <w:rFonts w:ascii="Arial" w:cs="Arial" w:eastAsia="Arial" w:hAnsi="Arial"/>
                <w:sz w:val="18"/>
                <w:szCs w:val="18"/>
                <w:color w:val="auto"/>
                <w:w w:val="85"/>
              </w:rPr>
              <w:t>10.6</w:t>
            </w:r>
          </w:p>
        </w:tc>
        <w:tc>
          <w:tcPr>
            <w:tcW w:w="10080" w:type="dxa"/>
            <w:vAlign w:val="bottom"/>
          </w:tcPr>
          <w:p>
            <w:pPr>
              <w:ind w:left="940"/>
              <w:spacing w:after="0"/>
              <w:rPr>
                <w:sz w:val="20"/>
                <w:szCs w:val="20"/>
                <w:color w:val="auto"/>
              </w:rPr>
            </w:pPr>
            <w:r>
              <w:rPr>
                <w:rFonts w:ascii="Arial" w:cs="Arial" w:eastAsia="Arial" w:hAnsi="Arial"/>
                <w:sz w:val="18"/>
                <w:szCs w:val="18"/>
                <w:color w:val="auto"/>
              </w:rPr>
              <w:t>Form of Trademark License Agreement by and between Registrant and GSV Asset Management, LLC**</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20" w:type="dxa"/>
            <w:vAlign w:val="bottom"/>
            <w:gridSpan w:val="2"/>
          </w:tcPr>
          <w:p>
            <w:pPr>
              <w:spacing w:after="0"/>
              <w:rPr>
                <w:sz w:val="20"/>
                <w:szCs w:val="20"/>
                <w:color w:val="auto"/>
              </w:rPr>
            </w:pPr>
            <w:r>
              <w:rPr>
                <w:rFonts w:ascii="Arial" w:cs="Arial" w:eastAsia="Arial" w:hAnsi="Arial"/>
                <w:sz w:val="18"/>
                <w:szCs w:val="18"/>
                <w:color w:val="auto"/>
                <w:w w:val="85"/>
              </w:rPr>
              <w:t>31.1</w:t>
            </w:r>
          </w:p>
        </w:tc>
        <w:tc>
          <w:tcPr>
            <w:tcW w:w="10080" w:type="dxa"/>
            <w:vAlign w:val="bottom"/>
          </w:tcPr>
          <w:p>
            <w:pPr>
              <w:ind w:left="940"/>
              <w:spacing w:after="0"/>
              <w:rPr>
                <w:sz w:val="20"/>
                <w:szCs w:val="20"/>
                <w:color w:val="auto"/>
              </w:rPr>
            </w:pPr>
            <w:r>
              <w:rPr>
                <w:rFonts w:ascii="Arial" w:cs="Arial" w:eastAsia="Arial" w:hAnsi="Arial"/>
                <w:sz w:val="18"/>
                <w:szCs w:val="18"/>
                <w:color w:val="auto"/>
                <w:w w:val="98"/>
              </w:rPr>
              <w:t>Certification of Chief Executive Officer pursuant to Rule 13a-14 of the Securities Exchange Act of 1934, as amended</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gridSpan w:val="2"/>
          </w:tcPr>
          <w:p>
            <w:pPr>
              <w:spacing w:after="0"/>
              <w:rPr>
                <w:sz w:val="20"/>
                <w:szCs w:val="20"/>
                <w:color w:val="auto"/>
              </w:rPr>
            </w:pPr>
            <w:r>
              <w:rPr>
                <w:rFonts w:ascii="Arial" w:cs="Arial" w:eastAsia="Arial" w:hAnsi="Arial"/>
                <w:sz w:val="18"/>
                <w:szCs w:val="18"/>
                <w:color w:val="auto"/>
                <w:w w:val="85"/>
              </w:rPr>
              <w:t>31.2</w:t>
            </w:r>
          </w:p>
        </w:tc>
        <w:tc>
          <w:tcPr>
            <w:tcW w:w="10080" w:type="dxa"/>
            <w:vAlign w:val="bottom"/>
          </w:tcPr>
          <w:p>
            <w:pPr>
              <w:ind w:left="940"/>
              <w:spacing w:after="0"/>
              <w:rPr>
                <w:sz w:val="20"/>
                <w:szCs w:val="20"/>
                <w:color w:val="auto"/>
              </w:rPr>
            </w:pPr>
            <w:r>
              <w:rPr>
                <w:rFonts w:ascii="Arial" w:cs="Arial" w:eastAsia="Arial" w:hAnsi="Arial"/>
                <w:sz w:val="18"/>
                <w:szCs w:val="18"/>
                <w:color w:val="auto"/>
                <w:w w:val="98"/>
              </w:rPr>
              <w:t>Certification of Chief Financial Officer pursuant to Rule 13a-14 of the Securities Exchange Act of 1934, as amended.</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gridSpan w:val="2"/>
          </w:tcPr>
          <w:p>
            <w:pPr>
              <w:spacing w:after="0"/>
              <w:rPr>
                <w:sz w:val="20"/>
                <w:szCs w:val="20"/>
                <w:color w:val="auto"/>
              </w:rPr>
            </w:pPr>
            <w:r>
              <w:rPr>
                <w:rFonts w:ascii="Arial" w:cs="Arial" w:eastAsia="Arial" w:hAnsi="Arial"/>
                <w:sz w:val="18"/>
                <w:szCs w:val="18"/>
                <w:color w:val="auto"/>
                <w:w w:val="85"/>
              </w:rPr>
              <w:t>32.1</w:t>
            </w:r>
          </w:p>
        </w:tc>
        <w:tc>
          <w:tcPr>
            <w:tcW w:w="10080" w:type="dxa"/>
            <w:vAlign w:val="bottom"/>
          </w:tcPr>
          <w:p>
            <w:pPr>
              <w:ind w:left="94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gridSpan w:val="2"/>
          </w:tcPr>
          <w:p>
            <w:pPr>
              <w:spacing w:after="0"/>
              <w:rPr>
                <w:sz w:val="20"/>
                <w:szCs w:val="20"/>
                <w:color w:val="auto"/>
              </w:rPr>
            </w:pPr>
            <w:r>
              <w:rPr>
                <w:rFonts w:ascii="Arial" w:cs="Arial" w:eastAsia="Arial" w:hAnsi="Arial"/>
                <w:sz w:val="18"/>
                <w:szCs w:val="18"/>
                <w:color w:val="auto"/>
                <w:w w:val="85"/>
              </w:rPr>
              <w:t>32.2</w:t>
            </w:r>
          </w:p>
        </w:tc>
        <w:tc>
          <w:tcPr>
            <w:tcW w:w="10080" w:type="dxa"/>
            <w:vAlign w:val="bottom"/>
          </w:tcPr>
          <w:p>
            <w:pPr>
              <w:ind w:left="94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w:t>
      </w:r>
    </w:p>
    <w:p>
      <w:pPr>
        <w:spacing w:after="0" w:line="9" w:lineRule="exact"/>
        <w:rPr>
          <w:sz w:val="20"/>
          <w:szCs w:val="20"/>
          <w:color w:val="auto"/>
        </w:rPr>
      </w:pPr>
    </w:p>
    <w:p>
      <w:pPr>
        <w:ind w:right="60" w:firstLine="8"/>
        <w:spacing w:after="0" w:line="250" w:lineRule="auto"/>
        <w:tabs>
          <w:tab w:leader="none" w:pos="1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w:t>
      </w:r>
    </w:p>
    <w:p>
      <w:pPr>
        <w:spacing w:after="0"/>
        <w:rPr>
          <w:rFonts w:ascii="Arial" w:cs="Arial" w:eastAsia="Arial" w:hAnsi="Arial"/>
          <w:sz w:val="18"/>
          <w:szCs w:val="18"/>
          <w:color w:val="auto"/>
        </w:rPr>
      </w:pPr>
      <w:r>
        <w:rPr>
          <w:rFonts w:ascii="Arial" w:cs="Arial" w:eastAsia="Arial" w:hAnsi="Arial"/>
          <w:sz w:val="18"/>
          <w:szCs w:val="18"/>
          <w:color w:val="auto"/>
        </w:rPr>
        <w:t>** Previously filed in connection with Current Report on Form 8-K (File No. 814-00852) filed on June 1, 2011.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13, 2012</w:t>
            </w:r>
          </w:p>
        </w:tc>
        <w:tc>
          <w:tcPr>
            <w:tcW w:w="7800" w:type="dxa"/>
            <w:vAlign w:val="bottom"/>
            <w:gridSpan w:val="4"/>
          </w:tcPr>
          <w:p>
            <w:pPr>
              <w:ind w:left="3240"/>
              <w:spacing w:after="0"/>
              <w:rPr>
                <w:sz w:val="20"/>
                <w:szCs w:val="20"/>
                <w:color w:val="auto"/>
              </w:rPr>
            </w:pPr>
            <w:r>
              <w:rPr>
                <w:rFonts w:ascii="Arial" w:cs="Arial" w:eastAsia="Arial" w:hAnsi="Arial"/>
                <w:sz w:val="18"/>
                <w:szCs w:val="18"/>
                <w:b w:val="1"/>
                <w:bCs w:val="1"/>
                <w:color w:val="auto"/>
              </w:rPr>
              <w:t>GSV CAPITAL CORP.</w:t>
            </w:r>
          </w:p>
        </w:tc>
        <w:tc>
          <w:tcPr>
            <w:tcW w:w="0" w:type="dxa"/>
            <w:vAlign w:val="bottom"/>
          </w:tcPr>
          <w:p>
            <w:pPr>
              <w:spacing w:after="0"/>
              <w:rPr>
                <w:sz w:val="1"/>
                <w:szCs w:val="1"/>
                <w:color w:val="auto"/>
              </w:rPr>
            </w:pPr>
          </w:p>
        </w:tc>
      </w:tr>
      <w:tr>
        <w:trPr>
          <w:trHeight w:val="216"/>
        </w:trPr>
        <w:tc>
          <w:tcPr>
            <w:tcW w:w="3620" w:type="dxa"/>
            <w:vAlign w:val="bottom"/>
            <w:vMerge w:val="continue"/>
          </w:tcPr>
          <w:p>
            <w:pPr>
              <w:spacing w:after="0"/>
              <w:rPr>
                <w:sz w:val="18"/>
                <w:szCs w:val="18"/>
                <w:color w:val="auto"/>
              </w:rPr>
            </w:pPr>
          </w:p>
        </w:tc>
        <w:tc>
          <w:tcPr>
            <w:tcW w:w="7800" w:type="dxa"/>
            <w:vAlign w:val="bottom"/>
            <w:gridSpan w:val="4"/>
            <w:vMerge w:val="restart"/>
          </w:tcPr>
          <w:p>
            <w:pPr>
              <w:ind w:left="3240"/>
              <w:spacing w:after="0"/>
              <w:rPr>
                <w:sz w:val="20"/>
                <w:szCs w:val="20"/>
                <w:color w:val="auto"/>
              </w:rPr>
            </w:pPr>
            <w:r>
              <w:rPr>
                <w:rFonts w:ascii="Arial" w:cs="Arial" w:eastAsia="Arial" w:hAnsi="Arial"/>
                <w:sz w:val="18"/>
                <w:szCs w:val="18"/>
                <w:b w:val="1"/>
                <w:bCs w:val="1"/>
                <w:color w:val="auto"/>
              </w:rPr>
              <w:t xml:space="preserve">By: /s/ </w:t>
            </w:r>
            <w:r>
              <w:rPr>
                <w:rFonts w:ascii="Arial" w:cs="Arial" w:eastAsia="Arial" w:hAnsi="Arial"/>
                <w:sz w:val="18"/>
                <w:szCs w:val="18"/>
                <w:color w:val="auto"/>
              </w:rPr>
              <w:t>Michael T. Moe</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78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20" w:type="dxa"/>
            <w:vAlign w:val="bottom"/>
          </w:tcPr>
          <w:p>
            <w:pPr>
              <w:spacing w:after="0"/>
              <w:rPr>
                <w:sz w:val="19"/>
                <w:szCs w:val="19"/>
                <w:color w:val="auto"/>
              </w:rPr>
            </w:pPr>
          </w:p>
        </w:tc>
        <w:tc>
          <w:tcPr>
            <w:tcW w:w="7800" w:type="dxa"/>
            <w:vAlign w:val="bottom"/>
            <w:gridSpan w:val="4"/>
          </w:tcPr>
          <w:p>
            <w:pPr>
              <w:ind w:left="3240"/>
              <w:spacing w:after="0"/>
              <w:rPr>
                <w:sz w:val="20"/>
                <w:szCs w:val="20"/>
                <w:color w:val="auto"/>
              </w:rPr>
            </w:pPr>
            <w:r>
              <w:rPr>
                <w:rFonts w:ascii="Arial" w:cs="Arial" w:eastAsia="Arial" w:hAnsi="Arial"/>
                <w:sz w:val="18"/>
                <w:szCs w:val="18"/>
                <w:color w:val="auto"/>
              </w:rPr>
              <w:t>Michael T. Moe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7800" w:type="dxa"/>
            <w:vAlign w:val="bottom"/>
            <w:gridSpan w:val="4"/>
          </w:tcPr>
          <w:p>
            <w:pPr>
              <w:ind w:left="3240"/>
              <w:spacing w:after="0"/>
              <w:rPr>
                <w:sz w:val="20"/>
                <w:szCs w:val="20"/>
                <w:color w:val="auto"/>
              </w:rPr>
            </w:pPr>
            <w:r>
              <w:rPr>
                <w:rFonts w:ascii="Arial" w:cs="Arial" w:eastAsia="Arial" w:hAnsi="Arial"/>
                <w:sz w:val="18"/>
                <w:szCs w:val="18"/>
                <w:color w:val="auto"/>
              </w:rPr>
              <w:t>Chief Executive Officer, President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7800" w:type="dxa"/>
            <w:vAlign w:val="bottom"/>
            <w:gridSpan w:val="4"/>
          </w:tcPr>
          <w:p>
            <w:pPr>
              <w:ind w:left="3240"/>
              <w:spacing w:after="0"/>
              <w:rPr>
                <w:sz w:val="20"/>
                <w:szCs w:val="20"/>
                <w:color w:val="auto"/>
              </w:rPr>
            </w:pPr>
            <w:r>
              <w:rPr>
                <w:rFonts w:ascii="Arial" w:cs="Arial" w:eastAsia="Arial" w:hAnsi="Arial"/>
                <w:sz w:val="18"/>
                <w:szCs w:val="18"/>
                <w:color w:val="auto"/>
              </w:rPr>
              <w:t>and Chairman of the Board of Directors</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7800" w:type="dxa"/>
            <w:vAlign w:val="bottom"/>
            <w:gridSpan w:val="4"/>
          </w:tcPr>
          <w:p>
            <w:pPr>
              <w:ind w:left="32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608"/>
        </w:trPr>
        <w:tc>
          <w:tcPr>
            <w:tcW w:w="362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13, 2012</w:t>
            </w:r>
          </w:p>
        </w:tc>
        <w:tc>
          <w:tcPr>
            <w:tcW w:w="7800" w:type="dxa"/>
            <w:vAlign w:val="bottom"/>
            <w:gridSpan w:val="4"/>
          </w:tcPr>
          <w:p>
            <w:pPr>
              <w:ind w:left="3240"/>
              <w:spacing w:after="0"/>
              <w:rPr>
                <w:sz w:val="20"/>
                <w:szCs w:val="20"/>
                <w:color w:val="auto"/>
              </w:rPr>
            </w:pPr>
            <w:r>
              <w:rPr>
                <w:rFonts w:ascii="Arial" w:cs="Arial" w:eastAsia="Arial" w:hAnsi="Arial"/>
                <w:sz w:val="18"/>
                <w:szCs w:val="18"/>
                <w:b w:val="1"/>
                <w:bCs w:val="1"/>
                <w:color w:val="auto"/>
              </w:rPr>
              <w:t xml:space="preserve">By: /s/ </w:t>
            </w:r>
            <w:r>
              <w:rPr>
                <w:rFonts w:ascii="Arial" w:cs="Arial" w:eastAsia="Arial" w:hAnsi="Arial"/>
                <w:sz w:val="18"/>
                <w:szCs w:val="18"/>
                <w:color w:val="auto"/>
              </w:rPr>
              <w:t>Stephen D. Bard</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20" w:type="dxa"/>
            <w:vAlign w:val="bottom"/>
          </w:tcPr>
          <w:p>
            <w:pPr>
              <w:spacing w:after="0"/>
              <w:rPr>
                <w:sz w:val="19"/>
                <w:szCs w:val="19"/>
                <w:color w:val="auto"/>
              </w:rPr>
            </w:pPr>
          </w:p>
        </w:tc>
        <w:tc>
          <w:tcPr>
            <w:tcW w:w="7800" w:type="dxa"/>
            <w:vAlign w:val="bottom"/>
            <w:gridSpan w:val="4"/>
          </w:tcPr>
          <w:p>
            <w:pPr>
              <w:ind w:left="3240"/>
              <w:spacing w:after="0"/>
              <w:rPr>
                <w:sz w:val="20"/>
                <w:szCs w:val="20"/>
                <w:color w:val="auto"/>
              </w:rPr>
            </w:pPr>
            <w:r>
              <w:rPr>
                <w:rFonts w:ascii="Arial" w:cs="Arial" w:eastAsia="Arial" w:hAnsi="Arial"/>
                <w:sz w:val="18"/>
                <w:szCs w:val="18"/>
                <w:color w:val="auto"/>
              </w:rPr>
              <w:t>Stephen D. Bard</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7800" w:type="dxa"/>
            <w:vAlign w:val="bottom"/>
            <w:gridSpan w:val="4"/>
          </w:tcPr>
          <w:p>
            <w:pPr>
              <w:ind w:left="3240"/>
              <w:spacing w:after="0"/>
              <w:rPr>
                <w:sz w:val="20"/>
                <w:szCs w:val="20"/>
                <w:color w:val="auto"/>
              </w:rPr>
            </w:pPr>
            <w:r>
              <w:rPr>
                <w:rFonts w:ascii="Arial" w:cs="Arial" w:eastAsia="Arial" w:hAnsi="Arial"/>
                <w:sz w:val="18"/>
                <w:szCs w:val="18"/>
                <w:color w:val="auto"/>
              </w:rPr>
              <w:t>Chief Financial Officer, Treasurer</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7800" w:type="dxa"/>
            <w:vAlign w:val="bottom"/>
            <w:gridSpan w:val="4"/>
          </w:tcPr>
          <w:p>
            <w:pPr>
              <w:ind w:left="3240"/>
              <w:spacing w:after="0"/>
              <w:rPr>
                <w:sz w:val="20"/>
                <w:szCs w:val="20"/>
                <w:color w:val="auto"/>
              </w:rPr>
            </w:pPr>
            <w:r>
              <w:rPr>
                <w:rFonts w:ascii="Arial" w:cs="Arial" w:eastAsia="Arial" w:hAnsi="Arial"/>
                <w:sz w:val="18"/>
                <w:szCs w:val="18"/>
                <w:color w:val="auto"/>
              </w:rPr>
              <w:t>and Secretary</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7800" w:type="dxa"/>
            <w:vAlign w:val="bottom"/>
            <w:gridSpan w:val="4"/>
          </w:tcPr>
          <w:p>
            <w:pPr>
              <w:ind w:left="32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648"/>
        </w:trPr>
        <w:tc>
          <w:tcPr>
            <w:tcW w:w="36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74</w:t>
            </w:r>
          </w:p>
        </w:tc>
        <w:tc>
          <w:tcPr>
            <w:tcW w:w="1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T. Moe, certify that:</w:t>
      </w:r>
    </w:p>
    <w:p>
      <w:pPr>
        <w:spacing w:after="0" w:line="225" w:lineRule="exact"/>
        <w:rPr>
          <w:sz w:val="20"/>
          <w:szCs w:val="20"/>
          <w:color w:val="auto"/>
        </w:rPr>
      </w:pPr>
    </w:p>
    <w:p>
      <w:pPr>
        <w:ind w:left="840" w:hanging="184"/>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GSV Capital Corp.;</w:t>
      </w:r>
    </w:p>
    <w:p>
      <w:pPr>
        <w:spacing w:after="0" w:line="225" w:lineRule="exact"/>
        <w:rPr>
          <w:rFonts w:ascii="Arial" w:cs="Arial" w:eastAsia="Arial" w:hAnsi="Arial"/>
          <w:sz w:val="18"/>
          <w:szCs w:val="18"/>
          <w:color w:val="auto"/>
        </w:rPr>
      </w:pPr>
    </w:p>
    <w:p>
      <w:pPr>
        <w:ind w:firstLine="656"/>
        <w:spacing w:after="0" w:line="342" w:lineRule="auto"/>
        <w:tabs>
          <w:tab w:leader="none" w:pos="832"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656"/>
        <w:spacing w:after="0" w:line="277" w:lineRule="auto"/>
        <w:tabs>
          <w:tab w:leader="none" w:pos="831"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656"/>
        <w:spacing w:after="0" w:line="277" w:lineRule="auto"/>
        <w:tabs>
          <w:tab w:leader="none" w:pos="8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656"/>
        <w:spacing w:after="0" w:line="264" w:lineRule="auto"/>
        <w:tabs>
          <w:tab w:leader="none" w:pos="91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308" w:lineRule="auto"/>
        <w:tabs>
          <w:tab w:leader="none" w:pos="947" w:val="left"/>
        </w:tabs>
        <w:numPr>
          <w:ilvl w:val="0"/>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09"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656"/>
        <w:spacing w:after="0" w:line="308" w:lineRule="auto"/>
        <w:tabs>
          <w:tab w:leader="none" w:pos="828"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656"/>
        <w:spacing w:after="0" w:line="277" w:lineRule="auto"/>
        <w:tabs>
          <w:tab w:leader="none" w:pos="9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1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13</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2012.</w:t>
      </w:r>
    </w:p>
    <w:p>
      <w:pPr>
        <w:spacing w:after="0" w:line="12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 xml:space="preserve">/s/ </w:t>
      </w:r>
      <w:r>
        <w:rPr>
          <w:rFonts w:ascii="Arial" w:cs="Arial" w:eastAsia="Arial" w:hAnsi="Arial"/>
          <w:sz w:val="18"/>
          <w:szCs w:val="18"/>
          <w:color w:val="auto"/>
        </w:rPr>
        <w:t>Michael T. Moe</w:t>
      </w:r>
    </w:p>
    <w:p>
      <w:pPr>
        <w:spacing w:after="0" w:line="27" w:lineRule="exact"/>
        <w:rPr>
          <w:sz w:val="20"/>
          <w:szCs w:val="20"/>
          <w:color w:val="auto"/>
        </w:rPr>
      </w:pPr>
    </w:p>
    <w:p>
      <w:pPr>
        <w:jc w:val="center"/>
        <w:ind w:right="6820"/>
        <w:spacing w:after="0"/>
        <w:rPr>
          <w:sz w:val="20"/>
          <w:szCs w:val="20"/>
          <w:color w:val="auto"/>
        </w:rPr>
      </w:pPr>
      <w:r>
        <w:rPr>
          <w:rFonts w:ascii="Arial" w:cs="Arial" w:eastAsia="Arial" w:hAnsi="Arial"/>
          <w:sz w:val="18"/>
          <w:szCs w:val="18"/>
          <w:b w:val="1"/>
          <w:bCs w:val="1"/>
          <w:color w:val="auto"/>
        </w:rPr>
        <w:t>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-130810</wp:posOffset>
            </wp:positionV>
            <wp:extent cx="23152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jc w:val="center"/>
        <w:ind w:right="68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D. Bard, certify that:</w:t>
      </w:r>
    </w:p>
    <w:p>
      <w:pPr>
        <w:spacing w:after="0" w:line="225" w:lineRule="exact"/>
        <w:rPr>
          <w:sz w:val="20"/>
          <w:szCs w:val="20"/>
          <w:color w:val="auto"/>
        </w:rPr>
      </w:pPr>
    </w:p>
    <w:p>
      <w:pPr>
        <w:ind w:left="680" w:hanging="186"/>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GSV Capital Corp.;</w:t>
      </w:r>
    </w:p>
    <w:p>
      <w:pPr>
        <w:spacing w:after="0" w:line="225" w:lineRule="exact"/>
        <w:rPr>
          <w:rFonts w:ascii="Arial" w:cs="Arial" w:eastAsia="Arial" w:hAnsi="Arial"/>
          <w:sz w:val="18"/>
          <w:szCs w:val="18"/>
          <w:color w:val="auto"/>
        </w:rPr>
      </w:pPr>
    </w:p>
    <w:p>
      <w:pPr>
        <w:ind w:firstLine="494"/>
        <w:spacing w:after="0" w:line="342" w:lineRule="auto"/>
        <w:tabs>
          <w:tab w:leader="none" w:pos="676"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94"/>
        <w:spacing w:after="0" w:line="277" w:lineRule="auto"/>
        <w:tabs>
          <w:tab w:leader="none" w:pos="677"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494"/>
        <w:spacing w:after="0" w:line="277" w:lineRule="auto"/>
        <w:tabs>
          <w:tab w:leader="none" w:pos="6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494"/>
        <w:spacing w:after="0" w:line="264" w:lineRule="auto"/>
        <w:tabs>
          <w:tab w:leader="none" w:pos="756"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94"/>
        <w:spacing w:after="0" w:line="277" w:lineRule="auto"/>
        <w:tabs>
          <w:tab w:leader="none" w:pos="742"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494"/>
        <w:spacing w:after="0" w:line="264" w:lineRule="auto"/>
        <w:tabs>
          <w:tab w:leader="none" w:pos="734"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494"/>
        <w:spacing w:after="0" w:line="308" w:lineRule="auto"/>
        <w:tabs>
          <w:tab w:leader="none" w:pos="673"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494"/>
        <w:spacing w:after="0" w:line="277" w:lineRule="auto"/>
        <w:tabs>
          <w:tab w:leader="none" w:pos="7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94"/>
        <w:spacing w:after="0" w:line="277" w:lineRule="auto"/>
        <w:tabs>
          <w:tab w:leader="none" w:pos="741"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13</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2012.</w:t>
      </w:r>
    </w:p>
    <w:p>
      <w:pPr>
        <w:spacing w:after="0" w:line="120"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 xml:space="preserve">/s/ </w:t>
      </w:r>
      <w:r>
        <w:rPr>
          <w:rFonts w:ascii="Arial" w:cs="Arial" w:eastAsia="Arial" w:hAnsi="Arial"/>
          <w:sz w:val="18"/>
          <w:szCs w:val="18"/>
          <w:color w:val="auto"/>
        </w:rPr>
        <w:t>Stephen D. Bard</w:t>
      </w:r>
    </w:p>
    <w:p>
      <w:pPr>
        <w:spacing w:after="0" w:line="27" w:lineRule="exact"/>
        <w:rPr>
          <w:sz w:val="20"/>
          <w:szCs w:val="20"/>
          <w:color w:val="auto"/>
        </w:rPr>
      </w:pPr>
    </w:p>
    <w:p>
      <w:pPr>
        <w:jc w:val="center"/>
        <w:ind w:right="6720"/>
        <w:spacing w:after="0"/>
        <w:rPr>
          <w:sz w:val="20"/>
          <w:szCs w:val="20"/>
          <w:color w:val="auto"/>
        </w:rPr>
      </w:pPr>
      <w:r>
        <w:rPr>
          <w:rFonts w:ascii="Arial" w:cs="Arial" w:eastAsia="Arial" w:hAnsi="Arial"/>
          <w:sz w:val="18"/>
          <w:szCs w:val="18"/>
          <w:b w:val="1"/>
          <w:bCs w:val="1"/>
          <w:color w:val="auto"/>
        </w:rPr>
        <w:t>Stephen D. 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-130810</wp:posOffset>
            </wp:positionV>
            <wp:extent cx="23837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jc w:val="center"/>
        <w:ind w:right="67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connection with the Annual Report on Form 10-K for the year ended December 31, 2011 (the “Report”) of GSV Capital Corp. (the “Registrant”), as filed with the Securities and Exchange Commission on the date hereof, I, Michael T. Moe, the Chief Executive Officer of the Registrant, hereby certify, to the best of my knowledge, that:</w:t>
      </w:r>
    </w:p>
    <w:p>
      <w:pPr>
        <w:spacing w:after="0" w:line="181" w:lineRule="exact"/>
        <w:rPr>
          <w:sz w:val="20"/>
          <w:szCs w:val="20"/>
          <w:color w:val="auto"/>
        </w:rPr>
      </w:pPr>
    </w:p>
    <w:p>
      <w:pPr>
        <w:ind w:left="740" w:hanging="246"/>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00" w:type="dxa"/>
            <w:vAlign w:val="bottom"/>
          </w:tcPr>
          <w:p>
            <w:pPr>
              <w:spacing w:after="0"/>
              <w:rPr>
                <w:sz w:val="20"/>
                <w:szCs w:val="20"/>
                <w:color w:val="auto"/>
              </w:rPr>
            </w:pPr>
          </w:p>
        </w:tc>
        <w:tc>
          <w:tcPr>
            <w:tcW w:w="35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3"/>
              </w:rPr>
              <w:t>/s/ Michael T. Moe</w:t>
            </w:r>
          </w:p>
        </w:tc>
      </w:tr>
      <w:tr>
        <w:trPr>
          <w:trHeight w:val="198"/>
        </w:trPr>
        <w:tc>
          <w:tcPr>
            <w:tcW w:w="7900" w:type="dxa"/>
            <w:vAlign w:val="bottom"/>
          </w:tcPr>
          <w:p>
            <w:pPr>
              <w:ind w:left="7200"/>
              <w:spacing w:after="0" w:line="198" w:lineRule="exact"/>
              <w:rPr>
                <w:sz w:val="20"/>
                <w:szCs w:val="20"/>
                <w:color w:val="auto"/>
              </w:rPr>
            </w:pPr>
            <w:r>
              <w:rPr>
                <w:rFonts w:ascii="Arial" w:cs="Arial" w:eastAsia="Arial" w:hAnsi="Arial"/>
                <w:sz w:val="18"/>
                <w:szCs w:val="18"/>
                <w:b w:val="1"/>
                <w:bCs w:val="1"/>
                <w:color w:val="auto"/>
              </w:rPr>
              <w:t>Name:</w:t>
            </w:r>
          </w:p>
        </w:tc>
        <w:tc>
          <w:tcPr>
            <w:tcW w:w="3520" w:type="dxa"/>
            <w:vAlign w:val="bottom"/>
          </w:tcPr>
          <w:p>
            <w:pPr>
              <w:jc w:val="center"/>
              <w:ind w:left="30"/>
              <w:spacing w:after="0" w:line="198" w:lineRule="exact"/>
              <w:rPr>
                <w:sz w:val="20"/>
                <w:szCs w:val="20"/>
                <w:color w:val="auto"/>
              </w:rPr>
            </w:pPr>
            <w:r>
              <w:rPr>
                <w:rFonts w:ascii="Arial" w:cs="Arial" w:eastAsia="Arial" w:hAnsi="Arial"/>
                <w:sz w:val="18"/>
                <w:szCs w:val="18"/>
                <w:b w:val="1"/>
                <w:bCs w:val="1"/>
                <w:color w:val="auto"/>
                <w:w w:val="93"/>
              </w:rPr>
              <w:t>Michael T. Moe</w:t>
            </w:r>
          </w:p>
        </w:tc>
      </w:tr>
      <w:tr>
        <w:trPr>
          <w:trHeight w:val="234"/>
        </w:trPr>
        <w:tc>
          <w:tcPr>
            <w:tcW w:w="7900" w:type="dxa"/>
            <w:vAlign w:val="bottom"/>
          </w:tcPr>
          <w:p>
            <w:pPr>
              <w:ind w:left="7200"/>
              <w:spacing w:after="0"/>
              <w:rPr>
                <w:sz w:val="20"/>
                <w:szCs w:val="20"/>
                <w:color w:val="auto"/>
              </w:rPr>
            </w:pPr>
            <w:r>
              <w:rPr>
                <w:rFonts w:ascii="Arial" w:cs="Arial" w:eastAsia="Arial" w:hAnsi="Arial"/>
                <w:sz w:val="18"/>
                <w:szCs w:val="18"/>
                <w:b w:val="1"/>
                <w:bCs w:val="1"/>
                <w:color w:val="auto"/>
              </w:rPr>
              <w:t>Date:</w:t>
            </w:r>
          </w:p>
        </w:tc>
        <w:tc>
          <w:tcPr>
            <w:tcW w:w="352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March 13, 2012</w:t>
            </w:r>
          </w:p>
        </w:tc>
      </w:tr>
      <w:tr>
        <w:trPr>
          <w:trHeight w:val="648"/>
        </w:trPr>
        <w:tc>
          <w:tcPr>
            <w:tcW w:w="79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connection with the Annual Report on Form 10-K for the year ended December 31, 2011 (the “Report”) of GSV Capital Corp. (the “Registrant”), as filed with the Securities and Exchange Commission on the date hereof, I, Stephen D. Bard, the Chief Financial Officer of the Registrant, hereby certify, to the best of my knowledge, that:</w:t>
      </w:r>
    </w:p>
    <w:p>
      <w:pPr>
        <w:spacing w:after="0" w:line="181" w:lineRule="exact"/>
        <w:rPr>
          <w:sz w:val="20"/>
          <w:szCs w:val="20"/>
          <w:color w:val="auto"/>
        </w:rPr>
      </w:pPr>
    </w:p>
    <w:p>
      <w:pPr>
        <w:ind w:left="740" w:hanging="246"/>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60" w:type="dxa"/>
            <w:vAlign w:val="bottom"/>
          </w:tcPr>
          <w:p>
            <w:pPr>
              <w:spacing w:after="0"/>
              <w:rPr>
                <w:sz w:val="20"/>
                <w:szCs w:val="20"/>
                <w:color w:val="auto"/>
              </w:rPr>
            </w:pPr>
          </w:p>
        </w:tc>
        <w:tc>
          <w:tcPr>
            <w:tcW w:w="376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0"/>
              </w:rPr>
              <w:t>/s/ Stephen D. Bard</w:t>
            </w:r>
          </w:p>
        </w:tc>
      </w:tr>
      <w:tr>
        <w:trPr>
          <w:trHeight w:val="198"/>
        </w:trPr>
        <w:tc>
          <w:tcPr>
            <w:tcW w:w="7660" w:type="dxa"/>
            <w:vAlign w:val="bottom"/>
          </w:tcPr>
          <w:p>
            <w:pPr>
              <w:ind w:left="6860"/>
              <w:spacing w:after="0" w:line="198" w:lineRule="exact"/>
              <w:rPr>
                <w:sz w:val="20"/>
                <w:szCs w:val="20"/>
                <w:color w:val="auto"/>
              </w:rPr>
            </w:pPr>
            <w:r>
              <w:rPr>
                <w:rFonts w:ascii="Arial" w:cs="Arial" w:eastAsia="Arial" w:hAnsi="Arial"/>
                <w:sz w:val="18"/>
                <w:szCs w:val="18"/>
                <w:b w:val="1"/>
                <w:bCs w:val="1"/>
                <w:color w:val="auto"/>
              </w:rPr>
              <w:t>Name:</w:t>
            </w:r>
          </w:p>
        </w:tc>
        <w:tc>
          <w:tcPr>
            <w:tcW w:w="3760" w:type="dxa"/>
            <w:vAlign w:val="bottom"/>
          </w:tcPr>
          <w:p>
            <w:pPr>
              <w:jc w:val="center"/>
              <w:ind w:left="250"/>
              <w:spacing w:after="0" w:line="198" w:lineRule="exact"/>
              <w:rPr>
                <w:sz w:val="20"/>
                <w:szCs w:val="20"/>
                <w:color w:val="auto"/>
              </w:rPr>
            </w:pPr>
            <w:r>
              <w:rPr>
                <w:rFonts w:ascii="Arial" w:cs="Arial" w:eastAsia="Arial" w:hAnsi="Arial"/>
                <w:sz w:val="18"/>
                <w:szCs w:val="18"/>
                <w:b w:val="1"/>
                <w:bCs w:val="1"/>
                <w:color w:val="auto"/>
                <w:w w:val="89"/>
              </w:rPr>
              <w:t>Stephen D. Bard</w:t>
            </w:r>
          </w:p>
        </w:tc>
      </w:tr>
      <w:tr>
        <w:trPr>
          <w:trHeight w:val="234"/>
        </w:trPr>
        <w:tc>
          <w:tcPr>
            <w:tcW w:w="7660" w:type="dxa"/>
            <w:vAlign w:val="bottom"/>
          </w:tcPr>
          <w:p>
            <w:pPr>
              <w:ind w:left="6860"/>
              <w:spacing w:after="0"/>
              <w:rPr>
                <w:sz w:val="20"/>
                <w:szCs w:val="20"/>
                <w:color w:val="auto"/>
              </w:rPr>
            </w:pPr>
            <w:r>
              <w:rPr>
                <w:rFonts w:ascii="Arial" w:cs="Arial" w:eastAsia="Arial" w:hAnsi="Arial"/>
                <w:sz w:val="18"/>
                <w:szCs w:val="18"/>
                <w:b w:val="1"/>
                <w:bCs w:val="1"/>
                <w:color w:val="auto"/>
              </w:rPr>
              <w:t>Date:</w:t>
            </w:r>
          </w:p>
        </w:tc>
        <w:tc>
          <w:tcPr>
            <w:tcW w:w="3760" w:type="dxa"/>
            <w:vAlign w:val="bottom"/>
          </w:tcPr>
          <w:p>
            <w:pPr>
              <w:jc w:val="center"/>
              <w:ind w:left="250"/>
              <w:spacing w:after="0"/>
              <w:rPr>
                <w:sz w:val="20"/>
                <w:szCs w:val="20"/>
                <w:color w:val="auto"/>
              </w:rPr>
            </w:pPr>
            <w:r>
              <w:rPr>
                <w:rFonts w:ascii="Arial" w:cs="Arial" w:eastAsia="Arial" w:hAnsi="Arial"/>
                <w:sz w:val="18"/>
                <w:szCs w:val="18"/>
                <w:b w:val="1"/>
                <w:bCs w:val="1"/>
                <w:color w:val="auto"/>
                <w:w w:val="92"/>
              </w:rPr>
              <w:t>March 13, 2012</w:t>
            </w:r>
          </w:p>
        </w:tc>
      </w:tr>
      <w:tr>
        <w:trPr>
          <w:trHeight w:val="1080"/>
        </w:trPr>
        <w:tc>
          <w:tcPr>
            <w:tcW w:w="76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S"/>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lvl w:ilvl="1">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lvl w:ilvl="1">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lowerRoman"/>
      <w:start w:val="6"/>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1)"/>
      <w:numFmt w:val="lowerLetter"/>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lowerLetter"/>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lowerLetter"/>
      <w:start w:val="3"/>
    </w:lvl>
  </w:abstractNum>
  <w:abstractNum w:abstractNumId="43">
    <w:nsid w:val="579478FE"/>
    <w:multiLevelType w:val="hybridMultilevel"/>
    <w:lvl w:ilvl="0">
      <w:lvlJc w:val="left"/>
      <w:lvlText w:val="%1."/>
      <w:numFmt w:val="lowerLetter"/>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decimal"/>
      <w:start w:val="5"/>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5"/>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2019-12-09T19:07:39Z</dcterms:created>
  <dcterms:modified xsi:type="dcterms:W3CDTF">2019-12-09T19:07:39Z</dcterms:modified>
</cp:coreProperties>
</file>