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40" w:hanging="685"/>
        <w:spacing w:after="0"/>
        <w:tabs>
          <w:tab w:leader="none" w:pos="11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w:t>
      </w:r>
    </w:p>
    <w:p>
      <w:pPr>
        <w:spacing w:after="0" w:line="9"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hanging="68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8500" w:type="dxa"/>
            <w:vAlign w:val="bottom"/>
            <w:gridSpan w:val="5"/>
          </w:tcPr>
          <w:p>
            <w:pPr>
              <w:jc w:val="center"/>
              <w:ind w:left="992"/>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8500" w:type="dxa"/>
            <w:vAlign w:val="bottom"/>
            <w:gridSpan w:val="5"/>
          </w:tcPr>
          <w:p>
            <w:pPr>
              <w:jc w:val="center"/>
              <w:ind w:left="107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03"/>
        </w:trPr>
        <w:tc>
          <w:tcPr>
            <w:tcW w:w="35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2500" w:type="dxa"/>
            <w:vAlign w:val="bottom"/>
          </w:tcPr>
          <w:p>
            <w:pPr>
              <w:spacing w:after="0"/>
              <w:rPr>
                <w:sz w:val="24"/>
                <w:szCs w:val="24"/>
                <w:color w:val="auto"/>
              </w:rPr>
            </w:pPr>
          </w:p>
        </w:tc>
      </w:tr>
      <w:tr>
        <w:trPr>
          <w:trHeight w:val="481"/>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8"/>
              </w:rPr>
              <w:t>Maryland</w:t>
            </w:r>
          </w:p>
        </w:tc>
        <w:tc>
          <w:tcPr>
            <w:tcW w:w="4340" w:type="dxa"/>
            <w:vAlign w:val="bottom"/>
            <w:gridSpan w:val="3"/>
          </w:tcPr>
          <w:p>
            <w:pPr>
              <w:jc w:val="right"/>
              <w:ind w:right="64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4160" w:type="dxa"/>
            <w:vAlign w:val="bottom"/>
            <w:gridSpan w:val="2"/>
          </w:tcPr>
          <w:p>
            <w:pPr>
              <w:jc w:val="center"/>
              <w:ind w:left="632"/>
              <w:spacing w:after="0"/>
              <w:rPr>
                <w:sz w:val="20"/>
                <w:szCs w:val="20"/>
                <w:color w:val="auto"/>
              </w:rPr>
            </w:pPr>
            <w:r>
              <w:rPr>
                <w:rFonts w:ascii="Arial" w:cs="Arial" w:eastAsia="Arial" w:hAnsi="Arial"/>
                <w:sz w:val="14"/>
                <w:szCs w:val="14"/>
                <w:color w:val="auto"/>
                <w:w w:val="95"/>
              </w:rPr>
              <w:t>(State of incorporation)</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00" w:type="dxa"/>
            <w:vAlign w:val="bottom"/>
          </w:tcPr>
          <w:p>
            <w:pPr>
              <w:jc w:val="center"/>
              <w:ind w:left="128"/>
              <w:spacing w:after="0"/>
              <w:rPr>
                <w:sz w:val="20"/>
                <w:szCs w:val="20"/>
                <w:color w:val="auto"/>
              </w:rPr>
            </w:pPr>
            <w:r>
              <w:rPr>
                <w:rFonts w:ascii="Arial" w:cs="Arial" w:eastAsia="Arial" w:hAnsi="Arial"/>
                <w:sz w:val="14"/>
                <w:szCs w:val="14"/>
                <w:color w:val="auto"/>
                <w:w w:val="97"/>
              </w:rPr>
              <w:t>(I.R.S. Employer Identification No.)</w:t>
            </w:r>
          </w:p>
        </w:tc>
      </w:tr>
      <w:tr>
        <w:trPr>
          <w:trHeight w:val="277"/>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89"/>
              </w:rPr>
              <w:t>2925 Woodside Road</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0"/>
              </w:rPr>
              <w:t>Woodside, CA</w:t>
            </w:r>
          </w:p>
        </w:tc>
        <w:tc>
          <w:tcPr>
            <w:tcW w:w="4340" w:type="dxa"/>
            <w:vAlign w:val="bottom"/>
            <w:gridSpan w:val="3"/>
          </w:tcPr>
          <w:p>
            <w:pPr>
              <w:jc w:val="right"/>
              <w:ind w:right="848"/>
              <w:spacing w:after="0"/>
              <w:rPr>
                <w:sz w:val="20"/>
                <w:szCs w:val="20"/>
                <w:color w:val="auto"/>
              </w:rPr>
            </w:pPr>
            <w:r>
              <w:rPr>
                <w:rFonts w:ascii="Arial" w:cs="Arial" w:eastAsia="Arial" w:hAnsi="Arial"/>
                <w:sz w:val="18"/>
                <w:szCs w:val="18"/>
                <w:b w:val="1"/>
                <w:bCs w:val="1"/>
                <w:color w:val="auto"/>
              </w:rPr>
              <w:t>94062</w:t>
            </w:r>
          </w:p>
        </w:tc>
      </w:tr>
      <w:tr>
        <w:trPr>
          <w:trHeight w:val="182"/>
        </w:trPr>
        <w:tc>
          <w:tcPr>
            <w:tcW w:w="4160" w:type="dxa"/>
            <w:vAlign w:val="bottom"/>
            <w:gridSpan w:val="2"/>
          </w:tcPr>
          <w:p>
            <w:pPr>
              <w:jc w:val="center"/>
              <w:ind w:left="632"/>
              <w:spacing w:after="0"/>
              <w:rPr>
                <w:sz w:val="20"/>
                <w:szCs w:val="20"/>
                <w:color w:val="auto"/>
              </w:rPr>
            </w:pPr>
            <w:r>
              <w:rPr>
                <w:rFonts w:ascii="Arial" w:cs="Arial" w:eastAsia="Arial" w:hAnsi="Arial"/>
                <w:sz w:val="14"/>
                <w:szCs w:val="14"/>
                <w:color w:val="auto"/>
                <w:w w:val="95"/>
              </w:rPr>
              <w:t>(Address of principal executive offices)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00" w:type="dxa"/>
            <w:vAlign w:val="bottom"/>
          </w:tcPr>
          <w:p>
            <w:pPr>
              <w:jc w:val="center"/>
              <w:ind w:left="108"/>
              <w:spacing w:after="0"/>
              <w:rPr>
                <w:sz w:val="20"/>
                <w:szCs w:val="20"/>
                <w:color w:val="auto"/>
              </w:rPr>
            </w:pPr>
            <w:r>
              <w:rPr>
                <w:rFonts w:ascii="Arial" w:cs="Arial" w:eastAsia="Arial" w:hAnsi="Arial"/>
                <w:sz w:val="14"/>
                <w:szCs w:val="14"/>
                <w:color w:val="auto"/>
                <w:w w:val="96"/>
              </w:rPr>
              <w:t>(Zip Code)</w:t>
            </w:r>
          </w:p>
        </w:tc>
      </w:tr>
      <w:tr>
        <w:trPr>
          <w:trHeight w:val="417"/>
        </w:trPr>
        <w:tc>
          <w:tcPr>
            <w:tcW w:w="3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gridSpan w:val="2"/>
          </w:tcPr>
          <w:p>
            <w:pPr>
              <w:jc w:val="center"/>
              <w:ind w:right="479"/>
              <w:spacing w:after="0"/>
              <w:rPr>
                <w:sz w:val="20"/>
                <w:szCs w:val="20"/>
                <w:color w:val="auto"/>
              </w:rPr>
            </w:pPr>
            <w:r>
              <w:rPr>
                <w:rFonts w:ascii="Arial" w:cs="Arial" w:eastAsia="Arial" w:hAnsi="Arial"/>
                <w:sz w:val="18"/>
                <w:szCs w:val="18"/>
                <w:b w:val="1"/>
                <w:bCs w:val="1"/>
                <w:color w:val="auto"/>
                <w:w w:val="90"/>
              </w:rPr>
              <w:t>(650) 235-4769</w:t>
            </w:r>
          </w:p>
        </w:tc>
        <w:tc>
          <w:tcPr>
            <w:tcW w:w="2500" w:type="dxa"/>
            <w:vAlign w:val="bottom"/>
          </w:tcPr>
          <w:p>
            <w:pPr>
              <w:spacing w:after="0"/>
              <w:rPr>
                <w:sz w:val="24"/>
                <w:szCs w:val="24"/>
                <w:color w:val="auto"/>
              </w:rPr>
            </w:pPr>
          </w:p>
        </w:tc>
      </w:tr>
      <w:tr>
        <w:trPr>
          <w:trHeight w:val="285"/>
        </w:trPr>
        <w:tc>
          <w:tcPr>
            <w:tcW w:w="8500" w:type="dxa"/>
            <w:vAlign w:val="bottom"/>
            <w:gridSpan w:val="5"/>
          </w:tcPr>
          <w:p>
            <w:pPr>
              <w:jc w:val="center"/>
              <w:ind w:left="1052"/>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96"/>
        </w:trPr>
        <w:tc>
          <w:tcPr>
            <w:tcW w:w="3580" w:type="dxa"/>
            <w:vAlign w:val="bottom"/>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500" w:type="dxa"/>
            <w:vAlign w:val="bottom"/>
          </w:tcPr>
          <w:p>
            <w:pPr>
              <w:spacing w:after="0"/>
              <w:rPr>
                <w:sz w:val="24"/>
                <w:szCs w:val="24"/>
                <w:color w:val="auto"/>
              </w:rPr>
            </w:pPr>
          </w:p>
        </w:tc>
      </w:tr>
      <w:tr>
        <w:trPr>
          <w:trHeight w:val="615"/>
        </w:trPr>
        <w:tc>
          <w:tcPr>
            <w:tcW w:w="8500" w:type="dxa"/>
            <w:vAlign w:val="bottom"/>
            <w:gridSpan w:val="5"/>
          </w:tcPr>
          <w:p>
            <w:pPr>
              <w:jc w:val="center"/>
              <w:ind w:left="992"/>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65"/>
        </w:trPr>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4160" w:type="dxa"/>
            <w:vAlign w:val="bottom"/>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19"/>
                <w:szCs w:val="19"/>
                <w:color w:val="auto"/>
              </w:rPr>
            </w:pPr>
          </w:p>
        </w:tc>
        <w:tc>
          <w:tcPr>
            <w:tcW w:w="4160" w:type="dxa"/>
            <w:vAlign w:val="bottom"/>
            <w:gridSpan w:val="2"/>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-2143760</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-1852295</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-360045</wp:posOffset>
            </wp:positionV>
            <wp:extent cx="5368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Act.Yes o No x</w:t>
      </w:r>
    </w:p>
    <w:p>
      <w:pPr>
        <w:spacing w:after="0" w:line="62" w:lineRule="exact"/>
        <w:rPr>
          <w:sz w:val="24"/>
          <w:szCs w:val="24"/>
          <w:color w:val="auto"/>
        </w:rPr>
      </w:pPr>
    </w:p>
    <w:p>
      <w:pPr>
        <w:ind w:left="60" w:right="69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days.Yes x No o</w:t>
      </w:r>
    </w:p>
    <w:p>
      <w:pPr>
        <w:spacing w:after="0" w:line="57" w:lineRule="exact"/>
        <w:rPr>
          <w:sz w:val="24"/>
          <w:szCs w:val="24"/>
          <w:color w:val="auto"/>
        </w:rPr>
      </w:pPr>
    </w:p>
    <w:p>
      <w:pPr>
        <w:jc w:val="both"/>
        <w:ind w:left="60" w:right="699" w:firstLine="270"/>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files).Yes o No o</w:t>
      </w:r>
    </w:p>
    <w:p>
      <w:pPr>
        <w:spacing w:after="0" w:line="57" w:lineRule="exact"/>
        <w:rPr>
          <w:sz w:val="24"/>
          <w:szCs w:val="24"/>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bookmarkStart w:id="1" w:name="page2"/>
    <w:bookmarkEnd w:id="1"/>
    <w:p>
      <w:pPr>
        <w:spacing w:after="0"/>
        <w:tabs>
          <w:tab w:leader="none" w:pos="2560" w:val="left"/>
          <w:tab w:leader="none" w:pos="4880" w:val="left"/>
          <w:tab w:leader="none" w:pos="74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2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 not check if a smaller reporting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Act)Yes o No x</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aggregate market value of common stock beneficially owned by non-affiliates of the Registrant on June 30, 2016, based on the closing price on that date of $5.02 on the Nasdaq Capital Market, was $110,749,217. For the purposes of calculating this amount only, all directors and executive officers of the Registrant have been treated as affiliates. There were 22,181,003 shares of the Registrant’s common stock outstanding as of March 16, 2017.</w:t>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Portions of the registrant’s definitive proxy statement relating to the registrant’s 2017 annual meeting of stockholders (the “2017 Proxy Statement”), to be filed with the Securities and Exchange Commission (the “SEC”) within 120 days following the end of our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762000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36830</wp:posOffset>
            </wp:positionV>
            <wp:extent cx="6071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30"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GSV CAPITAL CORP.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10"/>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1B.</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2.</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Properties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40" w:type="dxa"/>
            <w:vAlign w:val="bottom"/>
            <w:gridSpan w:val="7"/>
          </w:tcPr>
          <w:p>
            <w:pPr>
              <w:ind w:left="2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Market for Registrant’s Common Equity, Related Stockholder Matters and Issuer Purchases</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0000EE"/>
            </w:tcBorders>
            <w:gridSpan w:val="22"/>
            <w:shd w:val="clear" w:color="auto" w:fill="CCEEFF"/>
          </w:tcPr>
          <w:p>
            <w:pPr>
              <w:ind w:left="18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of Equity Securities</w:t>
              </w:r>
            </w:hyperlink>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7.</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Item 7A.</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8.</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Item 9.</w:t>
              </w:r>
            </w:hyperlink>
          </w:p>
        </w:tc>
        <w:tc>
          <w:tcPr>
            <w:tcW w:w="6840" w:type="dxa"/>
            <w:vAlign w:val="bottom"/>
            <w:gridSpan w:val="24"/>
          </w:tcPr>
          <w:p>
            <w:pPr>
              <w:ind w:left="80"/>
              <w:spacing w:after="0" w:line="17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119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Item 9A.</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Controls and Procedures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119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Item 9B.</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10.</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11.</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Executive Compensation</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12.</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Security Ownership of Certain Beneficial Owners and Management and Related</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19"/>
          </w:tcPr>
          <w:p>
            <w:pPr>
              <w:ind w:left="18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13.</w:t>
              </w:r>
            </w:hyperlink>
          </w:p>
        </w:tc>
        <w:tc>
          <w:tcPr>
            <w:tcW w:w="6840" w:type="dxa"/>
            <w:vAlign w:val="bottom"/>
            <w:gridSpan w:val="24"/>
            <w:shd w:val="clear" w:color="auto" w:fill="CCEEFF"/>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Item 14.</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Principal Accounting Fees and Services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Item 15.</w:t>
              </w:r>
            </w:hyperlink>
          </w:p>
        </w:tc>
        <w:tc>
          <w:tcPr>
            <w:tcW w:w="6840" w:type="dxa"/>
            <w:vAlign w:val="bottom"/>
            <w:gridSpan w:val="24"/>
          </w:tcPr>
          <w:p>
            <w:pPr>
              <w:ind w:left="80"/>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Exhibits and Financial Statement Schedules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Signatures</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133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GSV Capital</w:t>
      </w:r>
    </w:p>
    <w:p>
      <w:pPr>
        <w:spacing w:after="0" w:line="12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GSV Capital Corp. (the “Company,” “we,” “our” or “GSV Capital”) is an externally managed, non-diversified closed-end management investment company that has elected to be regulated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Our investment activities are managed by our investment adviser, GSV Asset Management, LLC (“GSV Asset Management”), and our administrator, GSV Capital Service Company, LLC (“GSV Capital Service Company”), provides the administrative services necessary for us to operate.</w:t>
      </w:r>
    </w:p>
    <w:p>
      <w:pPr>
        <w:spacing w:after="0" w:line="70"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potentially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GSV Asset Management evaluates.</w:t>
      </w:r>
    </w:p>
    <w:p>
      <w:pPr>
        <w:spacing w:after="0" w:line="81"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80"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62"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net asset value per share of our common stock on December 31, 2016 was $8.66. On March 15, 2017, the last reported sale price of a share of our common stock on the Nasdaq Capital Market was $5.37.</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About GSV Asset Management</w:t>
      </w:r>
    </w:p>
    <w:p>
      <w:pPr>
        <w:spacing w:after="0" w:line="121"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Our investment activities are managed by GSV Asset Management, an investment adviser registered under the Investment Advisers Act of 1940, as amended (the “Advisers Act”). GSV Asset Management is led by Michael T. Moe, our Chief Executive Officer and Chairman of our board of directors. Mr. Moe is assisted by William Tanona, our Chief Financial Officer, Treasurer and Corporate Secretary, and Mark Flynn, our President, all of whom, along with Luben Pampoulov, partner of GSV Asset Management, we refer to collectively as GSV Asset Management’s senior investment professionals. Mr. Moe co-founded and previously served as Chairman and Chief Executive officer of ThinkEquity Partners, an asset management and investment banking firm focusing on venture capital, entrepreneurial and emerging private companies. Prior to founding ThinkEquity, Mr. Moe served as Head of Global Growth Research at Merrill Lynch and before that served as Head of Growth Research and Strategy at Montgomery Securities.</w:t>
      </w:r>
    </w:p>
    <w:p>
      <w:pPr>
        <w:spacing w:after="0" w:line="89"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We believe we benefit from the ability of GSV Asset Management’s senior investment professionals to identify attractive investment opportunities, conduct diligence on and value prospective investments, negotiate terms, and manage and monitor a portfolio of those investments. GSV Asset Management’s senior investment professionals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We pay GSV Asset Management a fee for its services under the Amended and Restated Investment Advisory Agreement (the “Investment Advisory Agreement”), which consists of two components — a base management fee and an incentive fee. See “— Investment Advisory Agreement.”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Opportunity</w:t>
      </w:r>
    </w:p>
    <w:p>
      <w:pPr>
        <w:spacing w:after="0" w:line="121"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in recent years, generating significant demand for always accessible, personalized and localized content and 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7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At the same time, we believe that the initial public offering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ind w:left="40" w:right="859" w:firstLine="270"/>
        <w:spacing w:after="0" w:line="342" w:lineRule="auto"/>
        <w:rPr>
          <w:sz w:val="20"/>
          <w:szCs w:val="20"/>
          <w:color w:val="auto"/>
        </w:rPr>
      </w:pPr>
      <w:r>
        <w:rPr>
          <w:rFonts w:ascii="Arial" w:cs="Arial" w:eastAsia="Arial" w:hAnsi="Arial"/>
          <w:sz w:val="16"/>
          <w:szCs w:val="16"/>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6" w:lineRule="exact"/>
        <w:rPr>
          <w:sz w:val="20"/>
          <w:szCs w:val="20"/>
          <w:color w:val="auto"/>
        </w:rPr>
      </w:pPr>
    </w:p>
    <w:p>
      <w:pPr>
        <w:ind w:left="40" w:right="959" w:firstLine="270"/>
        <w:spacing w:after="0" w:line="308"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38" w:lineRule="exact"/>
        <w:rPr>
          <w:sz w:val="20"/>
          <w:szCs w:val="20"/>
          <w:color w:val="auto"/>
        </w:rPr>
      </w:pPr>
    </w:p>
    <w:p>
      <w:pPr>
        <w:ind w:left="600" w:right="639" w:hanging="322"/>
        <w:spacing w:after="0" w:line="25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 high quality growth companies. </w:t>
      </w:r>
      <w:r>
        <w:rPr>
          <w:rFonts w:ascii="Arial" w:cs="Arial" w:eastAsia="Arial" w:hAnsi="Arial"/>
          <w:sz w:val="18"/>
          <w:szCs w:val="18"/>
          <w:color w:val="auto"/>
        </w:rPr>
        <w:t>Based on our extensive experience in analyzing technology trends and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identified the 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80" w:lineRule="exact"/>
        <w:rPr>
          <w:rFonts w:ascii="Arial" w:cs="Arial" w:eastAsia="Arial" w:hAnsi="Arial"/>
          <w:sz w:val="18"/>
          <w:szCs w:val="18"/>
          <w:color w:val="auto"/>
        </w:rPr>
      </w:pPr>
    </w:p>
    <w:p>
      <w:pPr>
        <w:ind w:left="580" w:right="679"/>
        <w:spacing w:after="0" w:line="264" w:lineRule="auto"/>
        <w:rPr>
          <w:rFonts w:ascii="Arial" w:cs="Arial" w:eastAsia="Arial" w:hAnsi="Arial"/>
          <w:sz w:val="18"/>
          <w:szCs w:val="18"/>
          <w:color w:val="auto"/>
        </w:rPr>
      </w:pPr>
      <w:r>
        <w:rPr>
          <w:rFonts w:ascii="Arial" w:cs="Arial" w:eastAsia="Arial" w:hAnsi="Arial"/>
          <w:sz w:val="18"/>
          <w:szCs w:val="18"/>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73" w:lineRule="exact"/>
        <w:rPr>
          <w:rFonts w:ascii="Arial" w:cs="Arial" w:eastAsia="Arial" w:hAnsi="Arial"/>
          <w:sz w:val="18"/>
          <w:szCs w:val="18"/>
          <w:color w:val="auto"/>
        </w:rPr>
      </w:pPr>
    </w:p>
    <w:p>
      <w:pPr>
        <w:ind w:left="880" w:hanging="33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People — Organizations led by strong management teams with in-depth operational focus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Product — Differentiated and disruptive products with leading market positioning</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 Large addressable markets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Predictability — Ability to forecast and drive predictable and sustainable growth</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 these to be the core elements for identifying rapidly growing emerging companies.</w:t>
      </w:r>
    </w:p>
    <w:p>
      <w:pPr>
        <w:spacing w:after="0" w:line="117" w:lineRule="exact"/>
        <w:rPr>
          <w:sz w:val="20"/>
          <w:szCs w:val="20"/>
          <w:color w:val="auto"/>
        </w:rPr>
      </w:pPr>
    </w:p>
    <w:p>
      <w:pPr>
        <w:ind w:left="600" w:right="659" w:hanging="322"/>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positions in targeted investments. </w:t>
      </w:r>
      <w:r>
        <w:rPr>
          <w:rFonts w:ascii="Arial" w:cs="Arial" w:eastAsia="Arial" w:hAnsi="Arial"/>
          <w:sz w:val="18"/>
          <w:szCs w:val="18"/>
          <w:color w:val="auto"/>
        </w:rPr>
        <w:t>We seek to add to our portfolio by sourcing investments at an acceptable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disciplined investing strategy. To this end, we utilize multiple methods to acquire equity stakes in private companies that are not available to many individual investors.</w:t>
      </w:r>
    </w:p>
    <w:p>
      <w:pPr>
        <w:spacing w:after="0" w:line="73" w:lineRule="exact"/>
        <w:rPr>
          <w:sz w:val="20"/>
          <w:szCs w:val="20"/>
          <w:color w:val="auto"/>
        </w:rPr>
      </w:pPr>
    </w:p>
    <w:p>
      <w:pPr>
        <w:ind w:left="580" w:right="559" w:firstLine="270"/>
        <w:spacing w:after="0" w:line="255" w:lineRule="auto"/>
        <w:rPr>
          <w:sz w:val="20"/>
          <w:szCs w:val="20"/>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seek direct investments in private companies. There is a large market among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85" w:lineRule="exact"/>
        <w:rPr>
          <w:sz w:val="20"/>
          <w:szCs w:val="20"/>
          <w:color w:val="auto"/>
        </w:rPr>
      </w:pPr>
    </w:p>
    <w:p>
      <w:pPr>
        <w:ind w:left="580" w:right="519" w:firstLine="270"/>
        <w:spacing w:after="0" w:line="269" w:lineRule="auto"/>
        <w:rPr>
          <w:sz w:val="20"/>
          <w:szCs w:val="20"/>
          <w:color w:val="auto"/>
        </w:rPr>
      </w:pPr>
      <w:r>
        <w:rPr>
          <w:rFonts w:ascii="Arial" w:cs="Arial" w:eastAsia="Arial" w:hAnsi="Arial"/>
          <w:sz w:val="17"/>
          <w:szCs w:val="17"/>
          <w:i w:val="1"/>
          <w:iCs w:val="1"/>
          <w:color w:val="auto"/>
        </w:rPr>
        <w:t xml:space="preserve">Private secondary marketplaces and direct share purchases. </w:t>
      </w:r>
      <w:r>
        <w:rPr>
          <w:rFonts w:ascii="Arial" w:cs="Arial" w:eastAsia="Arial" w:hAnsi="Arial"/>
          <w:sz w:val="17"/>
          <w:szCs w:val="17"/>
          <w:color w:val="auto"/>
        </w:rPr>
        <w:t>We also utilize private secondary marketplaces as a means</w:t>
      </w:r>
      <w:r>
        <w:rPr>
          <w:rFonts w:ascii="Arial" w:cs="Arial" w:eastAsia="Arial" w:hAnsi="Arial"/>
          <w:sz w:val="17"/>
          <w:szCs w:val="17"/>
          <w:i w:val="1"/>
          <w:iCs w:val="1"/>
          <w:color w:val="auto"/>
        </w:rPr>
        <w:t xml:space="preserve"> </w:t>
      </w:r>
      <w:r>
        <w:rPr>
          <w:rFonts w:ascii="Arial" w:cs="Arial" w:eastAsia="Arial" w:hAnsi="Arial"/>
          <w:sz w:val="17"/>
          <w:szCs w:val="17"/>
          <w:color w:val="auto"/>
        </w:rPr>
        <w:t>to acquire equity and 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GSV Asset Management’s investment professionals within the industry and established history of investing affords us a favorable position when seeking approval for a purchase of shares subject to such limitations.</w:t>
      </w:r>
    </w:p>
    <w:p>
      <w:pPr>
        <w:spacing w:after="0" w:line="72" w:lineRule="exact"/>
        <w:rPr>
          <w:sz w:val="20"/>
          <w:szCs w:val="20"/>
          <w:color w:val="auto"/>
        </w:rPr>
      </w:pPr>
    </w:p>
    <w:p>
      <w:pPr>
        <w:ind w:left="600" w:right="559" w:hanging="322"/>
        <w:spacing w:after="0" w:line="25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access to a varied investment portfolio. </w:t>
      </w:r>
      <w:r>
        <w:rPr>
          <w:rFonts w:ascii="Arial" w:cs="Arial" w:eastAsia="Arial" w:hAnsi="Arial"/>
          <w:sz w:val="18"/>
          <w:szCs w:val="18"/>
          <w:color w:val="auto"/>
        </w:rPr>
        <w:t>We seek to hold a varied portfolio of non-controlling equity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believe will 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we benefit from the following competitive advantages in executing our investment strategy:</w:t>
      </w:r>
    </w:p>
    <w:p>
      <w:pPr>
        <w:spacing w:after="0" w:line="117" w:lineRule="exact"/>
        <w:rPr>
          <w:sz w:val="20"/>
          <w:szCs w:val="20"/>
          <w:color w:val="auto"/>
        </w:rPr>
      </w:pPr>
    </w:p>
    <w:p>
      <w:pPr>
        <w:ind w:left="600" w:right="619" w:hanging="322"/>
        <w:spacing w:after="0" w:line="276"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team of investment professionals. </w:t>
      </w:r>
      <w:r>
        <w:rPr>
          <w:rFonts w:ascii="Arial" w:cs="Arial" w:eastAsia="Arial" w:hAnsi="Arial"/>
          <w:sz w:val="17"/>
          <w:szCs w:val="17"/>
          <w:color w:val="auto"/>
        </w:rPr>
        <w:t>GSV Asset Management’s senior investment professionals and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have significant experience researching and investing in the types of potentially rapidly growing venture-capital-backed emerging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64" w:lineRule="exact"/>
        <w:rPr>
          <w:rFonts w:ascii="Arial" w:cs="Arial" w:eastAsia="Arial" w:hAnsi="Arial"/>
          <w:sz w:val="17"/>
          <w:szCs w:val="17"/>
          <w:color w:val="auto"/>
        </w:rPr>
      </w:pPr>
    </w:p>
    <w:p>
      <w:pPr>
        <w:ind w:left="600" w:right="859" w:hanging="322"/>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and repeatable investment process. </w:t>
      </w:r>
      <w:r>
        <w:rPr>
          <w:rFonts w:ascii="Arial" w:cs="Arial" w:eastAsia="Arial" w:hAnsi="Arial"/>
          <w:sz w:val="18"/>
          <w:szCs w:val="18"/>
          <w:color w:val="auto"/>
        </w:rPr>
        <w:t>We have established a disciplined and repeatable process to locate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available shares at attractive valuations by utilizing multiple sources. In contrast to industry “aggregators” that accumulate stock at market prices, we conduct valuation analyses and make acquisitions only when we can invest at valuations that we believe are attractive to our investors.</w:t>
      </w:r>
    </w:p>
    <w:p>
      <w:pPr>
        <w:spacing w:after="0" w:line="78" w:lineRule="exact"/>
        <w:rPr>
          <w:rFonts w:ascii="Arial" w:cs="Arial" w:eastAsia="Arial" w:hAnsi="Arial"/>
          <w:sz w:val="18"/>
          <w:szCs w:val="18"/>
          <w:color w:val="auto"/>
        </w:rPr>
      </w:pPr>
    </w:p>
    <w:p>
      <w:pPr>
        <w:ind w:left="600" w:right="699" w:hanging="322"/>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relationships with significant credibility to source and complete transactions. </w:t>
      </w:r>
      <w:r>
        <w:rPr>
          <w:rFonts w:ascii="Arial" w:cs="Arial" w:eastAsia="Arial" w:hAnsi="Arial"/>
          <w:sz w:val="18"/>
          <w:szCs w:val="18"/>
          <w:color w:val="auto"/>
        </w:rPr>
        <w:t>GSV Asset Management,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senior investment professionals, are strategically located in the heart of Silicon Valley in Woodside, California. During the course of over two decades of researching and investing in emerging private companies, GSV Asset Management’s senior investment professionals</w:t>
      </w: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0" w:right="819"/>
        <w:spacing w:after="0" w:line="264" w:lineRule="auto"/>
        <w:rPr>
          <w:sz w:val="20"/>
          <w:szCs w:val="20"/>
          <w:color w:val="auto"/>
        </w:rPr>
      </w:pPr>
      <w:r>
        <w:rPr>
          <w:rFonts w:ascii="Arial" w:cs="Arial" w:eastAsia="Arial" w:hAnsi="Arial"/>
          <w:sz w:val="18"/>
          <w:szCs w:val="18"/>
          <w:color w:val="auto"/>
        </w:rPr>
        <w:t>have developed strong reputations within the investing community, particularly within technology-related sectors. GSV Asset Management’s senior investment professionals have also developed strong relationships in the financial, investing and technology-related sectors.</w:t>
      </w:r>
    </w:p>
    <w:p>
      <w:pPr>
        <w:spacing w:after="0" w:line="73" w:lineRule="exact"/>
        <w:rPr>
          <w:sz w:val="20"/>
          <w:szCs w:val="20"/>
          <w:color w:val="auto"/>
        </w:rPr>
      </w:pPr>
    </w:p>
    <w:p>
      <w:pPr>
        <w:ind w:left="600" w:right="699" w:hanging="322"/>
        <w:spacing w:after="0" w:line="25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 traded corporation, we have access to a source of permanent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that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80" w:lineRule="exact"/>
        <w:rPr>
          <w:rFonts w:ascii="Arial" w:cs="Arial" w:eastAsia="Arial" w:hAnsi="Arial"/>
          <w:sz w:val="18"/>
          <w:szCs w:val="18"/>
          <w:color w:val="auto"/>
        </w:rPr>
      </w:pPr>
    </w:p>
    <w:p>
      <w:pPr>
        <w:ind w:left="600" w:right="539" w:hanging="322"/>
        <w:spacing w:after="0" w:line="253"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Early mover advantage. </w:t>
      </w:r>
      <w:r>
        <w:rPr>
          <w:rFonts w:ascii="Arial" w:cs="Arial" w:eastAsia="Arial" w:hAnsi="Arial"/>
          <w:sz w:val="18"/>
          <w:szCs w:val="18"/>
          <w:color w:val="auto"/>
        </w:rPr>
        <w:t>We believe we are one of the few publicly traded business development companies with a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on investing in potentially rapidly growing venture-capital-backed emerging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We were formed as a Maryland corporation and as an externally managed, non-diversified closed-end management investment company. We completed our IPO in May 2011 and have elected to be regulated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 See “– Regulation as a Business Development Company.”</w:t>
      </w:r>
    </w:p>
    <w:p>
      <w:pPr>
        <w:spacing w:after="0" w:line="6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We have elected to be treated as a regulated investment company (“RIC”) under subchapter M of the Internal Revenue Code of 1986, as amended (the “Code”), and expect to continue to operate in a manner so as to qualify for the tax treatment applicable to RICs. See “— Material U.S. Federal Income Tax Considerations” and “Note 1 — Nature of Operations and Significant Accounting Policies — Summary of Significant Accounting Policies — U.S. Federal and State Income Taxes” and “Note 8 — Income Taxes” to our consolidated financial statements for the year ended December 31, 2016 for more information.</w:t>
      </w:r>
    </w:p>
    <w:p>
      <w:pPr>
        <w:spacing w:after="0" w:line="50"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Our investment activities are managed by GSV Asset Management and supervised by our board of directors. GSV Asset Management is an investment adviser registered under the Advisers Act. Under the Investment Advisory Agreement, we have agreed to pay GSV Asset Management an annual base management fee based on our gross assets as well as an incentive fee based on our performance. See “— Investment Advisory Agreement.” We have also entered into an administration agreement under which we have agreed to reimburse GSV Capital Service Company for our allocable portion of overhead and other expenses incurred (the “Administration Agreement”).</w:t>
      </w:r>
    </w:p>
    <w:p>
      <w:pPr>
        <w:spacing w:after="0" w:line="200" w:lineRule="exact"/>
        <w:rPr>
          <w:sz w:val="20"/>
          <w:szCs w:val="20"/>
          <w:color w:val="auto"/>
        </w:rPr>
      </w:pPr>
    </w:p>
    <w:p>
      <w:pPr>
        <w:spacing w:after="0" w:line="3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five sub-segments in which we target companies for investment: social mobile, cloud computing and big data, internet commerce, sustainability and education technology. We remain focused on selecting market leaders within the sub-segments we have identified, while continuing to review our pipeline to ensure we are tracking the next phase of leaders.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117"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We identify prospective portfolio companies through an extensive network of relationships developed by GSV Asset Management’s senior investment professionals, supplemented by the knowledge and relationships of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that we evaluate in greater depth.</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117"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57"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117"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200" w:lineRule="exact"/>
        <w:rPr>
          <w:sz w:val="20"/>
          <w:szCs w:val="20"/>
          <w:color w:val="auto"/>
        </w:rPr>
      </w:pPr>
    </w:p>
    <w:p>
      <w:pPr>
        <w:spacing w:after="0" w:line="30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117"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117"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fair value of our portfolio of investments by asset class as of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213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78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1"/>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of Portfolio</w:t>
            </w:r>
          </w:p>
        </w:tc>
        <w:tc>
          <w:tcPr>
            <w:tcW w:w="16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of Portfolio</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83,074,410</w:t>
            </w:r>
          </w:p>
        </w:tc>
        <w:tc>
          <w:tcPr>
            <w:tcW w:w="9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$102,319,140</w:t>
            </w:r>
          </w:p>
        </w:tc>
        <w:tc>
          <w:tcPr>
            <w:tcW w:w="9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162,238,879</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216,291,092</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7,821,948</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150,904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469,306</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253,286,141</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323,255,397</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1"/>
        </w:trPr>
        <w:tc>
          <w:tcPr>
            <w:tcW w:w="41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 Portfolio</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262,015,146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89.7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349,808,767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29,998,490</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33,676,693</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292,013,636</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383,485,460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-865505</wp:posOffset>
            </wp:positionV>
            <wp:extent cx="52139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left="60" w:right="659" w:firstLine="270"/>
        <w:spacing w:after="0" w:line="293" w:lineRule="auto"/>
        <w:rPr>
          <w:sz w:val="20"/>
          <w:szCs w:val="20"/>
          <w:color w:val="auto"/>
        </w:rPr>
      </w:pPr>
      <w:r>
        <w:rPr>
          <w:rFonts w:ascii="Arial" w:cs="Arial" w:eastAsia="Arial" w:hAnsi="Arial"/>
          <w:sz w:val="16"/>
          <w:szCs w:val="16"/>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GSV Asset Management will provide such managerial assistance on our behalf to portfolio companies that request assistance. We may receive fees for these services and will reimburse GSV Asset Management for its allocated costs in providing such assistance, subject to review by our board of directors, including our independent directors.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60" w:right="639" w:firstLine="270"/>
        <w:spacing w:after="0" w:line="279" w:lineRule="auto"/>
        <w:rPr>
          <w:sz w:val="20"/>
          <w:szCs w:val="20"/>
          <w:color w:val="auto"/>
        </w:rPr>
      </w:pPr>
      <w:r>
        <w:rPr>
          <w:rFonts w:ascii="Arial" w:cs="Arial" w:eastAsia="Arial" w:hAnsi="Arial"/>
          <w:sz w:val="17"/>
          <w:szCs w:val="17"/>
          <w:color w:val="auto"/>
        </w:rPr>
        <w:t>Our primary competitors include specialty finance companies including late stage venture capital funds, private equity funds,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Related to Our Business and Structure.”</w:t>
      </w:r>
    </w:p>
    <w:p>
      <w:pPr>
        <w:spacing w:after="0" w:line="200" w:lineRule="exact"/>
        <w:rPr>
          <w:sz w:val="20"/>
          <w:szCs w:val="20"/>
          <w:color w:val="auto"/>
        </w:rPr>
      </w:pPr>
    </w:p>
    <w:p>
      <w:pPr>
        <w:spacing w:after="0" w:line="3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Our executive officers receive no direct compensation from us, and we have no direct employees. Our day-to-day investment operations are managed by GSV Asset Management. In addition, we reimburse GSV Capital Service Company for an allocable portion of expenses incurred by it in performing its obligations under the Administration Agreement, including a portion of the rent and the compensation of our President, Chief Financial Officer, Chief Compliance Officer and other staff providing administration services. Carl Rizzo, our Chief Compliance Officer, is a director of Alaric Compliance Services LLC and performs his functions as our Chief Compliance Officer under the terms of an agreement between GSV Capital Service Company and Alaric Compliance Services LLC. GSV Capital Service Company has retained Mr. Rizzo and Alaric Compliance Services LLC pursuant to its obligations under the Administration Agreement. See “— Administration Agreement.”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73"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GSV Asset Management’s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59"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75"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among others, could impact our fair value determinations:</w:t>
      </w:r>
    </w:p>
    <w:p>
      <w:pPr>
        <w:spacing w:after="0" w:line="62" w:lineRule="exact"/>
        <w:rPr>
          <w:sz w:val="20"/>
          <w:szCs w:val="20"/>
          <w:color w:val="auto"/>
        </w:rPr>
      </w:pPr>
    </w:p>
    <w:p>
      <w:pPr>
        <w:ind w:left="540" w:hanging="26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117" w:lineRule="exact"/>
        <w:rPr>
          <w:rFonts w:ascii="Arial" w:cs="Arial" w:eastAsia="Arial" w:hAnsi="Arial"/>
          <w:sz w:val="18"/>
          <w:szCs w:val="18"/>
          <w:color w:val="auto"/>
        </w:rPr>
      </w:pPr>
    </w:p>
    <w:p>
      <w:pPr>
        <w:ind w:left="540" w:right="63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right="739"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are invested, where there is meaningful and reputable information available on size, valuation and investors; and</w:t>
      </w:r>
    </w:p>
    <w:p>
      <w:pPr>
        <w:spacing w:after="0" w:line="62" w:lineRule="exact"/>
        <w:rPr>
          <w:rFonts w:ascii="Arial" w:cs="Arial" w:eastAsia="Arial" w:hAnsi="Arial"/>
          <w:sz w:val="18"/>
          <w:szCs w:val="18"/>
          <w:color w:val="auto"/>
        </w:rPr>
      </w:pPr>
    </w:p>
    <w:p>
      <w:pPr>
        <w:ind w:left="540" w:right="679"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investments by us in current portfolio companies, where the price of the new investment differs materially from prior investments.</w:t>
      </w:r>
    </w:p>
    <w:p>
      <w:pPr>
        <w:spacing w:after="0" w:line="62" w:lineRule="exact"/>
        <w:rPr>
          <w:sz w:val="20"/>
          <w:szCs w:val="20"/>
          <w:color w:val="auto"/>
        </w:rPr>
      </w:pPr>
    </w:p>
    <w:p>
      <w:pPr>
        <w:ind w:left="40" w:right="659" w:firstLine="270"/>
        <w:spacing w:after="0" w:line="270" w:lineRule="auto"/>
        <w:rPr>
          <w:sz w:val="20"/>
          <w:szCs w:val="20"/>
          <w:color w:val="auto"/>
        </w:rPr>
      </w:pPr>
      <w:r>
        <w:rPr>
          <w:rFonts w:ascii="Arial" w:cs="Arial" w:eastAsia="Arial" w:hAnsi="Arial"/>
          <w:sz w:val="17"/>
          <w:szCs w:val="17"/>
          <w:color w:val="auto"/>
        </w:rPr>
        <w:t>There is inherent subjectivity in determining the fair value of our investments. In addition, we will accrue as a liability, each time we calculate net asset value, the amount we may owe GSV Asset Management for the income incentive fee and the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Refer to “Note 1 — Nature of Operations and Significant Accounting Policies” to our consolidated financial statements for the year ended December 31, 2016 for a list of our taxable subsidiaries.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Services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GSV Asset Management serves as our investment adviser. GSV Asset Management is registered as an investment adviser under the Advisers Act. Subject to the overall supervision of our board of directors, GSV Asset Management manages our day-to-day operations and provides us with investment advisory services. Under the terms of the Investment Advisory Agreement, GSV Asset Management:</w:t>
      </w:r>
    </w:p>
    <w:p>
      <w:pPr>
        <w:spacing w:after="0" w:line="79" w:lineRule="exact"/>
        <w:rPr>
          <w:sz w:val="20"/>
          <w:szCs w:val="20"/>
          <w:color w:val="auto"/>
        </w:rPr>
      </w:pPr>
    </w:p>
    <w:p>
      <w:pPr>
        <w:ind w:left="600" w:right="11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determines what securities we will purchase, retain or sell;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performs due diligence on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closes, monitors and services the investments we make; and</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from time to time, reasonably require for the investment of our funds.</w:t>
      </w:r>
    </w:p>
    <w:p>
      <w:pPr>
        <w:spacing w:after="0" w:line="6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GSV Asset Management’s services under the Investment Advisory Agreement are not exclusive, and it is free to furnish similar services to other entities so long as its services to us are not impaired. For example, as of March 16, 2017, GSV Asset Management also manages Coursera@GSV Fund, LP and Coursera@GSV-EDBI Fund, LP, special purpose vehicles each comprised of an underlying investment in Coursera stock (collectively, the “Coursera Funds”), and serves as sub-adviser for certain investment series of GSV Ventures I LLC, GSV Ventures II LLC, GSV Ventures III LLC, GSV Ventures IV LLC, GSV Ventures V LLC and GSV Ventures VI LLC, each a venture capital and growth equity fund (collectively, the “GSV Ventures Funds”), and will likely manage one or more private funds, or series within such private funds, in the future. We have no ownership interests in the Coursera Funds or the GSV Ventures Funds sub-advised by GSV Asset Management.</w:t>
      </w:r>
    </w:p>
    <w:p>
      <w:pPr>
        <w:spacing w:after="0" w:line="7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While the investment focus of each of these entities, including the Coursera Funds and the GSV Ventures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Management has established an allocation policy to ensure that we have priority over such other funds. Our Chief Compliance Officer as well as our board of directors will monitor on a quarterly basis any such allocation of investment opportunities between us and any such other funds.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 In aggregate, we paid GSV Asset Management $26,973,242 under the Investment Advisory Agreement during the fiscal years ended December 31, 2016, 2015, and 2014.</w:t>
      </w:r>
    </w:p>
    <w:p>
      <w:pPr>
        <w:spacing w:after="0" w:line="80"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Under the terms of the Investment Advisory Agreement, the base management fee is calculated at an annual rate of 2.00% of our gross assets, which is our total assets as reflected on our balance sheet (with no deduction for liabilities). Effective January 1, 2017 through December 31, 2017, however, pursuant to a voluntary waiver by GSV Asset Management, we will pay GSV Asset Management a base management fee of 1.75%, a 0.25% reduction from the 2.0% base management fee payable under the Investment Advisory Agreement. This waiver of a portion of the base management fee is not subject to recourse against or reimbursement by us. For the years ended December 31, 2016, 2015, and 2014, the base management fee has been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incentive fee is determined and payable in arrears as of the end of each calendar year (or upon termination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Advisory Agreement, as of the termination date), and is equal to the lesser of:</w:t>
      </w:r>
    </w:p>
    <w:p>
      <w:pPr>
        <w:spacing w:after="0" w:line="103" w:lineRule="exact"/>
        <w:rPr>
          <w:sz w:val="20"/>
          <w:szCs w:val="20"/>
          <w:color w:val="auto"/>
        </w:rPr>
      </w:pPr>
    </w:p>
    <w:p>
      <w:pPr>
        <w:ind w:left="600" w:right="53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of our realized capital gains during such calendar year, if any, calculated on an investment-by-investment basis, subject to a non-compounded preferred return, or “hurdle,” and a “catch-up” feature, and</w:t>
      </w:r>
    </w:p>
    <w:p>
      <w:pPr>
        <w:spacing w:after="0" w:line="62" w:lineRule="exact"/>
        <w:rPr>
          <w:rFonts w:ascii="Arial" w:cs="Arial" w:eastAsia="Arial" w:hAnsi="Arial"/>
          <w:sz w:val="18"/>
          <w:szCs w:val="18"/>
          <w:color w:val="auto"/>
        </w:rPr>
      </w:pPr>
    </w:p>
    <w:p>
      <w:pPr>
        <w:ind w:left="600" w:right="939" w:hanging="322"/>
        <w:spacing w:after="0" w:line="26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79" w:lineRule="exact"/>
        <w:rPr>
          <w:sz w:val="20"/>
          <w:szCs w:val="20"/>
          <w:color w:val="auto"/>
        </w:rPr>
      </w:pPr>
    </w:p>
    <w:p>
      <w:pPr>
        <w:jc w:val="both"/>
        <w:ind w:left="600" w:right="699" w:hanging="32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incentive fee is payable on the amount of any realized capital gains from an investment that, when expressed as a non-compounded annual rate of return on the cost of such investment since we initially acquired it, does not exceed the hurdle rate of 8.00% per year.</w:t>
      </w:r>
    </w:p>
    <w:p>
      <w:pPr>
        <w:spacing w:after="0" w:line="73" w:lineRule="exact"/>
        <w:rPr>
          <w:rFonts w:ascii="Arial" w:cs="Arial" w:eastAsia="Arial" w:hAnsi="Arial"/>
          <w:sz w:val="18"/>
          <w:szCs w:val="18"/>
          <w:color w:val="auto"/>
        </w:rPr>
      </w:pPr>
    </w:p>
    <w:p>
      <w:pPr>
        <w:ind w:left="600" w:right="539" w:hanging="322"/>
        <w:spacing w:after="0" w:line="255"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GSV Asset Management with 20% of the amount of our realized capital gains from an investment that, when expressed as a non-compounded annual rate of return on the cost of such investment since we initially acquired it, exceeds a rate of 10.00% per year.</w:t>
      </w:r>
    </w:p>
    <w:p>
      <w:pPr>
        <w:spacing w:after="0" w:line="81" w:lineRule="exact"/>
        <w:rPr>
          <w:rFonts w:ascii="Arial" w:cs="Arial" w:eastAsia="Arial" w:hAnsi="Arial"/>
          <w:sz w:val="18"/>
          <w:szCs w:val="18"/>
          <w:color w:val="auto"/>
        </w:rPr>
      </w:pPr>
    </w:p>
    <w:p>
      <w:pPr>
        <w:ind w:left="600" w:right="759" w:hanging="32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Refer to “Management’s Discussion and Analysis of Financial Condition and Results of Operations — Related-Party Transactions” for details of incentive fees paid and accrued.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83185</wp:posOffset>
            </wp:positionV>
            <wp:extent cx="2984500" cy="1355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8450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8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GSV Asset Management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Our primary operating expenses are the payment of a base management fee and any incentive fees under the Investment Advisory Agreement and the allocable portion of overhead and other expenses incurred by GSV Capital Service Company in performing its obligations under the Administration Agreement. Our base management fee compensates GSV Asset Management for its work in identifying, evaluating, negotiating, executing and servicing our investments. We bear all other expenses of our operations and transactions, including (without limitation) fees and expenses relating to: expenses of offering our debt and equity securities; the investigation and monitoring of our investments, including expenses and travel fees incurred in connection with on-site visits; the cost of calculating our net asset value; the cost of effecting sales and repurchases of shares of our common stock and other securities; management and incentive fees payable pursuant to the Investment Advisory Agreement; fees payable to third parties relating to, or associated with,</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68" w:lineRule="auto"/>
        <w:rPr>
          <w:sz w:val="20"/>
          <w:szCs w:val="20"/>
          <w:color w:val="auto"/>
        </w:rPr>
      </w:pPr>
      <w:r>
        <w:rPr>
          <w:rFonts w:ascii="Arial" w:cs="Arial" w:eastAsia="Arial" w:hAnsi="Arial"/>
          <w:sz w:val="17"/>
          <w:szCs w:val="17"/>
          <w:color w:val="auto"/>
        </w:rPr>
        <w:t>making investments and valuing investments (including third-party valuation firms); transfer agent, trustee and custodial fees; interest payments and other costs related to our borrowings; fees and expenses associated with our website, public relations and marketing efforts (including attendance at industry and investor conferences and similar events); federal and state registration fees; any exchange listing fees; federal, state and local taxes; independent directors’ fees and expenses, including travel expenses, and other costs of board of directors’ meetings; brokerage commissions; costs of preparing and mailing proxy statements, stockholders’ reports and notices; costs of preparing government filings, including periodic and current reports with the SEC; our fidelity bond, directors’ and officers’/errors and omissions liability insurance and other insurance premiums; and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administrative support personnel. All of these expenses are ultimately borne by our common stockholders.</w:t>
      </w:r>
    </w:p>
    <w:p>
      <w:pPr>
        <w:spacing w:after="0" w:line="80" w:lineRule="exact"/>
        <w:rPr>
          <w:sz w:val="20"/>
          <w:szCs w:val="20"/>
          <w:color w:val="auto"/>
        </w:rPr>
      </w:pPr>
    </w:p>
    <w:p>
      <w:pPr>
        <w:ind w:left="40" w:right="719" w:firstLine="270"/>
        <w:spacing w:after="0" w:line="342" w:lineRule="auto"/>
        <w:rPr>
          <w:sz w:val="20"/>
          <w:szCs w:val="20"/>
          <w:color w:val="auto"/>
        </w:rPr>
      </w:pPr>
      <w:r>
        <w:rPr>
          <w:rFonts w:ascii="Arial" w:cs="Arial" w:eastAsia="Arial" w:hAnsi="Arial"/>
          <w:sz w:val="16"/>
          <w:szCs w:val="16"/>
          <w:color w:val="auto"/>
        </w:rPr>
        <w:t>All personnel of GSV Asset Management, when and to the extent engaged in providing investment advisory services, and the compensation and expenses of such personnel allocable to such services, are provided and paid for by GSV Asset Management.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The Investment Advisory Agreement was initially approved by our board of directors on March 28, 2011 and became effective on April 11, 2011. On March 2, 2016, at an in-person meeting, our board of directors, including a majority of the directors who were not “interested persons,” as defined in the 1940 Act, of the Company or GSV Asset Management, approved the continuation of the Investment Advisory Agreement to April 11, 2017. 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GSV Asset Management is a Delaware limited liability company. The principal executive offices of GSV Asset Management are located at 2925 Woodside Road, Woodside, CA 94062.</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ind w:left="40" w:right="739" w:firstLine="270"/>
        <w:spacing w:after="0" w:line="279" w:lineRule="auto"/>
        <w:rPr>
          <w:sz w:val="20"/>
          <w:szCs w:val="20"/>
          <w:color w:val="auto"/>
        </w:rPr>
      </w:pPr>
      <w:r>
        <w:rPr>
          <w:rFonts w:ascii="Arial" w:cs="Arial" w:eastAsia="Arial" w:hAnsi="Arial"/>
          <w:sz w:val="17"/>
          <w:szCs w:val="17"/>
          <w:color w:val="auto"/>
        </w:rPr>
        <w:t>On March 2, 2016, at an in-person meeting, our board of directors, including a majority of the directors who were not “interested persons,” as defined in the 1940 Act, of the Company or GSV Asset Management, approved the continuation of the Investment Advisory Agreement to April 11, 2017. In its consideration of the reapproval of the Investment Advisory Agreement, the board of directors focused on information it had received relating to, among other things:</w:t>
      </w:r>
    </w:p>
    <w:p>
      <w:pPr>
        <w:spacing w:after="0" w:line="63" w:lineRule="exact"/>
        <w:rPr>
          <w:sz w:val="20"/>
          <w:szCs w:val="20"/>
          <w:color w:val="auto"/>
        </w:rPr>
      </w:pPr>
    </w:p>
    <w:p>
      <w:pPr>
        <w:ind w:left="600" w:right="63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GSV Asset Management over the term of the Investment Advisory Agreement, including our performance relative to other business development companies during the prior year;</w:t>
      </w:r>
    </w:p>
    <w:p>
      <w:pPr>
        <w:spacing w:after="0" w:line="73" w:lineRule="exact"/>
        <w:rPr>
          <w:rFonts w:ascii="Arial" w:cs="Arial" w:eastAsia="Arial" w:hAnsi="Arial"/>
          <w:sz w:val="18"/>
          <w:szCs w:val="18"/>
          <w:color w:val="auto"/>
        </w:rPr>
      </w:pPr>
    </w:p>
    <w:p>
      <w:pPr>
        <w:ind w:left="600" w:right="89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with similar investment objectives;</w:t>
      </w:r>
    </w:p>
    <w:p>
      <w:pPr>
        <w:spacing w:after="0" w:line="62" w:lineRule="exact"/>
        <w:rPr>
          <w:rFonts w:ascii="Arial" w:cs="Arial" w:eastAsia="Arial" w:hAnsi="Arial"/>
          <w:sz w:val="18"/>
          <w:szCs w:val="18"/>
          <w:color w:val="auto"/>
        </w:rPr>
      </w:pPr>
    </w:p>
    <w:p>
      <w:pPr>
        <w:ind w:left="600" w:right="103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business development companies with similar investment objectives, including expenses related to investment due diligence, travel and investigating and monitoring investments;</w:t>
      </w:r>
    </w:p>
    <w:p>
      <w:pPr>
        <w:spacing w:after="0" w:line="73" w:lineRule="exact"/>
        <w:rPr>
          <w:rFonts w:ascii="Arial" w:cs="Arial" w:eastAsia="Arial" w:hAnsi="Arial"/>
          <w:sz w:val="18"/>
          <w:szCs w:val="18"/>
          <w:color w:val="auto"/>
        </w:rPr>
      </w:pPr>
    </w:p>
    <w:p>
      <w:pPr>
        <w:ind w:left="600" w:right="53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spacing w:after="0" w:line="73"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Advisory Agreement;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GSV Asset Management and its affiliates;</w:t>
      </w:r>
    </w:p>
    <w:p>
      <w:pPr>
        <w:spacing w:after="0" w:line="117" w:lineRule="exact"/>
        <w:rPr>
          <w:rFonts w:ascii="Arial" w:cs="Arial" w:eastAsia="Arial" w:hAnsi="Arial"/>
          <w:sz w:val="18"/>
          <w:szCs w:val="18"/>
          <w:color w:val="auto"/>
        </w:rPr>
      </w:pPr>
    </w:p>
    <w:p>
      <w:pPr>
        <w:ind w:left="600" w:right="839" w:hanging="322"/>
        <w:spacing w:after="0" w:line="342"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GSV Asset Management’s practices regarding the selection and compensation of brokers that may execute our portfolio transactions and the brokers’ provision of brokerage and research services to GSV Asset Management; and</w:t>
      </w:r>
    </w:p>
    <w:p>
      <w:pPr>
        <w:spacing w:after="0" w:line="15" w:lineRule="exact"/>
        <w:rPr>
          <w:rFonts w:ascii="Arial" w:cs="Arial" w:eastAsia="Arial" w:hAnsi="Arial"/>
          <w:sz w:val="16"/>
          <w:szCs w:val="16"/>
          <w:color w:val="auto"/>
        </w:rPr>
      </w:pPr>
    </w:p>
    <w:p>
      <w:pPr>
        <w:ind w:left="600" w:right="101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62"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Pursuant to a separate Administration Agreement, GSV Capital Service Company, a Delaware limited liability company, furnishes us with office facilities, together with equipment and clerical, bookkeeping and record-keeping services at such facilities. The principal executive offices of GSV Capital Service Company are located at 2925 Woodside Road, Woodside, CA 94062. Under the Administration Agreement, GSV Capital Service Company also performs, or oversees the performance of, our required administrative services, which includes being responsible for the financial records that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administrative services. Pursuant to its obligations under the Administration Agreement, GSV Capital Service Company has retained Carl Rizzo of Alaric Compliance Services LLC to serve as our Chief Compliance Officer.</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Service Company perform administrative tasks for GSV Asset Management, the fees incurred with respect to the actual time dedicated to such tasks will be reimbursed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 The Administration Agreement may be terminated by either party without penalty upon 60 days’ written notice to the other party, and upon a vote of a majority of our outstanding voting securities, or by the vote of our board of directors or by GSV Capital Service Company.</w:t>
      </w:r>
    </w:p>
    <w:p>
      <w:pPr>
        <w:spacing w:after="0" w:line="70"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85"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5"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 a business development company, we are generally required to meet an asset coverage ratio, defined under the 1940 Act as the ratio of our gross assets (less all liabilities and indebtedness not represented by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86" w:lineRule="auto"/>
        <w:rPr>
          <w:sz w:val="20"/>
          <w:szCs w:val="20"/>
          <w:color w:val="auto"/>
        </w:rPr>
      </w:pPr>
      <w:r>
        <w:rPr>
          <w:rFonts w:ascii="Arial" w:cs="Arial" w:eastAsia="Arial" w:hAnsi="Arial"/>
          <w:sz w:val="17"/>
          <w:szCs w:val="17"/>
          <w:color w:val="auto"/>
        </w:rPr>
        <w:t>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5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business development company affect our ability to, and the way in which we, raise additional capital, which may expose us to risks, including the typical risks associated with leverage.”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71"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7"/>
          <w:szCs w:val="17"/>
          <w:color w:val="auto"/>
        </w:rPr>
        <w:t>As a business development company, we are generally limited in our ability to invest in any portfolio company in which our investment adviser, GSV Asset Management, or any of its affiliates currently has an investment or to make any co-investments with GSV Asset Management or its affiliates without an exemptive order from the SEC, subject to certain exceptions.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17"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As a business development company, we are subject to certain risks and uncertainties. See “Risk Factors — Risks Related to Our Business and Structure.”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business are the following:</w:t>
      </w:r>
    </w:p>
    <w:p>
      <w:pPr>
        <w:spacing w:after="0" w:line="79" w:lineRule="exact"/>
        <w:rPr>
          <w:sz w:val="20"/>
          <w:szCs w:val="20"/>
          <w:color w:val="auto"/>
        </w:rPr>
      </w:pPr>
    </w:p>
    <w:p>
      <w:pPr>
        <w:ind w:left="540" w:right="559" w:hanging="262"/>
        <w:spacing w:after="0" w:line="279"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3" w:lineRule="exact"/>
        <w:rPr>
          <w:rFonts w:ascii="Arial" w:cs="Arial" w:eastAsia="Arial" w:hAnsi="Arial"/>
          <w:sz w:val="17"/>
          <w:szCs w:val="17"/>
          <w:color w:val="auto"/>
        </w:rPr>
      </w:pPr>
    </w:p>
    <w:p>
      <w:pPr>
        <w:ind w:left="820" w:hanging="272"/>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759" w:hanging="272"/>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hanging="262"/>
        <w:spacing w:after="0"/>
        <w:tabs>
          <w:tab w:leader="none" w:pos="1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117" w:lineRule="exact"/>
        <w:rPr>
          <w:rFonts w:ascii="Arial" w:cs="Arial" w:eastAsia="Arial" w:hAnsi="Arial"/>
          <w:sz w:val="18"/>
          <w:szCs w:val="18"/>
          <w:color w:val="auto"/>
        </w:rPr>
      </w:pPr>
    </w:p>
    <w:p>
      <w:pPr>
        <w:ind w:left="1080" w:right="819" w:hanging="262"/>
        <w:spacing w:after="0" w:line="277" w:lineRule="auto"/>
        <w:tabs>
          <w:tab w:leader="none" w:pos="1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62" w:lineRule="exact"/>
        <w:rPr>
          <w:rFonts w:ascii="Arial" w:cs="Arial" w:eastAsia="Arial" w:hAnsi="Arial"/>
          <w:sz w:val="18"/>
          <w:szCs w:val="18"/>
          <w:color w:val="auto"/>
        </w:rPr>
      </w:pPr>
    </w:p>
    <w:p>
      <w:pPr>
        <w:ind w:left="1080" w:right="739" w:hanging="262"/>
        <w:spacing w:after="0" w:line="264" w:lineRule="auto"/>
        <w:tabs>
          <w:tab w:leader="none" w:pos="1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is controlled by a business development company or a group of companies including a business development company and the business development company has an affiliated person who is a director of the eligible portfolio company;</w:t>
      </w:r>
    </w:p>
    <w:p>
      <w:pPr>
        <w:spacing w:after="0" w:line="73" w:lineRule="exact"/>
        <w:rPr>
          <w:rFonts w:ascii="Arial" w:cs="Arial" w:eastAsia="Arial" w:hAnsi="Arial"/>
          <w:sz w:val="18"/>
          <w:szCs w:val="18"/>
          <w:color w:val="auto"/>
        </w:rPr>
      </w:pPr>
    </w:p>
    <w:p>
      <w:pPr>
        <w:ind w:left="1080" w:right="659" w:hanging="262"/>
        <w:spacing w:after="0" w:line="277" w:lineRule="auto"/>
        <w:tabs>
          <w:tab w:leader="none" w:pos="1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 or</w:t>
      </w:r>
    </w:p>
    <w:p>
      <w:pPr>
        <w:spacing w:after="0" w:line="62" w:lineRule="exact"/>
        <w:rPr>
          <w:rFonts w:ascii="Arial" w:cs="Arial" w:eastAsia="Arial" w:hAnsi="Arial"/>
          <w:sz w:val="18"/>
          <w:szCs w:val="18"/>
          <w:color w:val="auto"/>
        </w:rPr>
      </w:pPr>
    </w:p>
    <w:p>
      <w:pPr>
        <w:ind w:left="1080" w:hanging="262"/>
        <w:spacing w:after="0"/>
        <w:tabs>
          <w:tab w:leader="none" w:pos="1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right="759" w:hanging="262"/>
        <w:spacing w:after="0" w:line="279"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3" w:lineRule="exact"/>
        <w:rPr>
          <w:rFonts w:ascii="Arial" w:cs="Arial" w:eastAsia="Arial" w:hAnsi="Arial"/>
          <w:sz w:val="17"/>
          <w:szCs w:val="17"/>
          <w:color w:val="auto"/>
        </w:rPr>
      </w:pPr>
    </w:p>
    <w:p>
      <w:pPr>
        <w:ind w:left="540" w:right="55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40" w:right="55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5 above, or pursuant to the exercise of options, warrants or rights relating to such securities.</w:t>
      </w:r>
    </w:p>
    <w:p>
      <w:pPr>
        <w:spacing w:after="0" w:line="62" w:lineRule="exact"/>
        <w:rPr>
          <w:rFonts w:ascii="Arial" w:cs="Arial" w:eastAsia="Arial" w:hAnsi="Arial"/>
          <w:sz w:val="18"/>
          <w:szCs w:val="18"/>
          <w:color w:val="auto"/>
        </w:rPr>
      </w:pPr>
    </w:p>
    <w:p>
      <w:pPr>
        <w:ind w:left="540" w:right="57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62"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then-current gross assets were comprised of qualifying assets. We would not be required, however, to dispose of any non-qualifying assets in such circumstances.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117"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above in Qualifying Assets categories 1, 2, or 3. Further, business development companies generally must offer to make available to the issuer of the securities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17"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GSV Asset Management will monitor the creditworthiness of the counterparties with which we enter into repurchase agreement transactions.</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 and Options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1940 Act, a business development company is subject to restrictions on the amount of warrants, options, restricted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or rights to purchase shares of capital stock that it may have outstanding at any time. Under the 1940 Act, we may generally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only offer warrants provided that (i) the warrants expire by their terms within ten years, (ii) the exercise or conversion price is not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than the current market value at the date of issuance, (iii) our stockholders authorize the proposal to issue such warrants,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board of directors approves such issuance on the basis that the issuance is in the best interests of us and our stockholders and</w:t>
      </w:r>
    </w:p>
    <w:p>
      <w:pPr>
        <w:spacing w:after="0" w:line="32" w:lineRule="exact"/>
        <w:rPr>
          <w:sz w:val="20"/>
          <w:szCs w:val="20"/>
          <w:color w:val="auto"/>
        </w:rPr>
      </w:pPr>
    </w:p>
    <w:p>
      <w:pPr>
        <w:ind w:left="40" w:right="539" w:firstLine="8"/>
        <w:spacing w:after="0" w:line="252"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business development company’s total outstanding shares of capital stock.</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117"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the Convertible Senior Notes, can magnify the potential for gain or loss on amounts invested and may increase the risk of investing in us.”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117"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We and GSV Asset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Compliance with Corporate Governance Regulations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Sarbanes-Oxley Act imposes a wide variety of regulatory requirements on publicly held companies and their insiders.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Many of these requirements affect us. For example:</w:t>
      </w:r>
    </w:p>
    <w:p>
      <w:pPr>
        <w:spacing w:after="0" w:line="103" w:lineRule="exact"/>
        <w:rPr>
          <w:sz w:val="20"/>
          <w:szCs w:val="20"/>
          <w:color w:val="auto"/>
        </w:rPr>
      </w:pPr>
    </w:p>
    <w:p>
      <w:pPr>
        <w:ind w:left="600" w:right="91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jc w:val="both"/>
        <w:ind w:left="600" w:right="699" w:hanging="322"/>
        <w:spacing w:after="0" w:line="264"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73" w:lineRule="exact"/>
        <w:rPr>
          <w:rFonts w:ascii="Arial" w:cs="Arial" w:eastAsia="Arial" w:hAnsi="Arial"/>
          <w:sz w:val="18"/>
          <w:szCs w:val="18"/>
          <w:color w:val="auto"/>
        </w:rPr>
      </w:pPr>
    </w:p>
    <w:p>
      <w:pPr>
        <w:ind w:left="600" w:right="719" w:hanging="322"/>
        <w:spacing w:after="0" w:line="259"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color w:val="auto"/>
        </w:rPr>
        <w:t>monitor our compliance with all regulations that are adopted under the Sarbanes-Oxley Act and will take actions necessary to ensure that we are in compliance therewith.</w:t>
      </w:r>
    </w:p>
    <w:p>
      <w:pPr>
        <w:spacing w:after="0" w:line="62"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 to GSV Asset Management.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An investment adviser registered under the Advisers Act has a fiduciary duty to act in the best interests of its clients, without regard to the investment adviser’s financial or other interest. As part of this duty, we recognize that we must vote client securities in a timely manner, free of actual or apparent conflicts of interest and in the best interests of our clients (or, where the client is a pooled investment vehicle or other similar entity, the client’s equity interest holders (“stockholders”), viewed as a group rather than individually).</w:t>
      </w:r>
    </w:p>
    <w:p>
      <w:pPr>
        <w:spacing w:after="0" w:line="80"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We will vote proxies relating to portfolio securities in what we perceive to be the best interests of our clients or, as applicable, their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are compelling long-term reasons to do so.</w:t>
      </w:r>
    </w:p>
    <w:p>
      <w:pPr>
        <w:spacing w:after="0" w:line="46"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Our proxy voting decisions are made by the senior officers who are responsible for monitoring the relevant client’s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senior management in order to reduce any attempted influence from interested parties.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You may obtain information about how we voted proxies with respect to our portfolio securities by making a written request for proxy voting information to: Chief Compliance Officer, GSV Asset Management, 2925 Woodside Road, Woodside, CA 94062 or compliance@gsvam.com.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117"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GSV Asset Management and its affiliates with a legitimate business need for the information. We maintain physical, electronic and procedural safeguards designed to protect the non-public personal information of our stockholders.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63"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www.gsvcap.com</w:t>
      </w:r>
      <w:r>
        <w:rPr>
          <w:rFonts w:ascii="Arial" w:cs="Arial" w:eastAsia="Arial" w:hAnsi="Arial"/>
          <w:sz w:val="16"/>
          <w:szCs w:val="16"/>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following discussion is a general summary of certain material U.S. federal income tax considerations relating to our qualification and taxation as a RIC under subchapter M of the Code, and the acquisition, ownership and disposition of our common stock. This summary does not purport to be a complete description of the income tax considerations applicable to such an investment. For example, we have not described all of the tax consequences that may be relevant to certain types of holders subject to special treatment under U.S. federal income tax laws, including stockholders subject to the alternative minimum tax, tax-exempt organizations, insurance companies, dealers in securities, traders in securities that elect to use a mark-to-market method of accounting for their securities holdings, pension plans and trusts, and financial institutions. This summary is limited to beneficial owners of our common stock that will hold such common stock as capital assets (within the meaning of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80"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46"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If a partnership (including an entity treated as a partnership for U.S. federal income tax purposes) holds the shares of our common stock, the tax treatment of a partner in the partnership generally will depend upon the status of the partner, the activities of the partnership and certain determinations made at the partner level. Investors treated as a partnership for U.S. federal income tax purposes (or investors that are partners in such a partnership), are encouraged to consult with their own tax advisers with respect to the tax consequences relating to the acquisition, ownership and disposition of our common stock.</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“U.S. stockholder” generally is a beneficial owner of common stock who is for U.S. federal income tax purposes:</w:t>
      </w:r>
    </w:p>
    <w:p>
      <w:pPr>
        <w:spacing w:after="0" w:line="117"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600" w:right="599" w:hanging="322"/>
        <w:spacing w:after="0" w:line="286"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 (and an entity organized outside of the United States that is treated as a U.S. corporation under specialized sections of the Code);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39" w:hanging="322"/>
        <w:spacing w:after="0" w:line="264"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court within the United States has primary supervision over its administration and one or more U.S. persons have the authority to control all of its substantive decisions, or if the trust has a valid election in effect under applicable U.S. Treasury regulations to be treated as a U.S. person); or</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used herein, the term “Non-U.S. stockholder” means a beneficial owner of common stock that is not a U.S. stockholder or a partnership for U.S. federal income tax purposes. A “Non-U.S. stockholder” does not include an individual present in the United States for 183 days or more in the taxable year of disposition of the common stock. Such a stockholder is encouraged to consult his or her own tax adviser regarding U.S. federal income tax consequences of the sale, exchange or other taxable disposition of the common stock.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117" w:lineRule="exact"/>
        <w:rPr>
          <w:sz w:val="20"/>
          <w:szCs w:val="20"/>
          <w:color w:val="auto"/>
        </w:rPr>
      </w:pPr>
    </w:p>
    <w:p>
      <w:pPr>
        <w:ind w:left="40" w:right="659" w:firstLine="270"/>
        <w:spacing w:after="0" w:line="271" w:lineRule="auto"/>
        <w:rPr>
          <w:sz w:val="20"/>
          <w:szCs w:val="20"/>
          <w:color w:val="auto"/>
        </w:rPr>
      </w:pPr>
      <w:r>
        <w:rPr>
          <w:rFonts w:ascii="Arial" w:cs="Arial" w:eastAsia="Arial" w:hAnsi="Arial"/>
          <w:sz w:val="17"/>
          <w:szCs w:val="17"/>
          <w:color w:val="auto"/>
        </w:rPr>
        <w:t>We elected to be treated as a RIC under the Code beginning with our taxable year ended December 31, 2014, have qualified to be treated as a RIC for the subsequent taxable years and expect to continue to operate in a manner so as to qualify for the tax treatment applicable to RICs. Included in our consolidated financial statements, the following wholly-owned subsidiaries are taxable subsidiaries (collectively, the “GSVC Holdings”), regardless of whether we are a RIC: GSVC AE Holdings, Inc., GSVC AV Holdings, Inc., GSVC NG Holdings, Inc., GSVC SW Holdings, Inc., GSVC WS Holdings, Inc., and GSVC SVDS Holdings, Inc.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71"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For the fiscal year ended 2012, however, we failed to satisfy certain tests required for us to qualify as a RIC under the Code, and were therefore subject to corporate-level U.S. federal income tax. In September 2014, we filed our 2013 tax return as a RIC and sought to be granted RIC status for our 2013 taxable year; however, we determined we would not be eligible to elect to be treated as a RIC for the 2013 taxable year unless we were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In September 2015, we had not received such SEC Certification for our 2013 taxable year, and we determined it was in the best interests of our stockholders to file the 2013 tax return as a C corporation. As of March 2017, we had not received and do not anticipate receiving such SEC Certification for our 2013 taxable year. We do not intend to pursue this certification with the SEC.</w:t>
      </w:r>
    </w:p>
    <w:p>
      <w:pPr>
        <w:spacing w:after="0" w:line="59"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us as a RIC will represent obligations of our investors and will not be reflected in our consolidated financial statements. To qualify as a RIC, we must, among other things, meet certain source-of-income and asset diversification requirements (as described below). In addition, in order to qualify for the special treatment accorded to RICs, we are required to distribute to our stockholders on a timely basis each year at least 90% of “investment company taxable income,” which is generally our net ordinary income plus the excess of realized net short-term capital gains over realized net long-term capital losses (the “Annual Distribution Requirement”), and to meet certain asset diversification requirements on a quarterly basis.</w:t>
      </w:r>
    </w:p>
    <w:p>
      <w:pPr>
        <w:spacing w:after="0" w:line="58"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we:</w:t>
      </w:r>
    </w:p>
    <w:p>
      <w:pPr>
        <w:spacing w:after="0" w:line="117"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then the following rules will apply to us. We will not be subject to U.S. federal income tax on the portion of our income we distribute (or are deemed to distribute) to stockholders. We will be subject to U.S. federal income tax at the regular corporate rates on any income, including capital gains not distributed (or deemed distributed) to our stockholders.</w:t>
      </w:r>
    </w:p>
    <w:p>
      <w:pPr>
        <w:spacing w:after="0" w:line="7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gains in excess of capital losses for the one-year period ending October 31 in that calendar year and (3) any ordinary income and net capital gains for preceding years that were not distributed during such preceding years (the “Excise Tax Avoidance Requirement”). We generally will endeavor in each year to make sufficient distributions to our stockholders to avoid any U.S. federal excise tax on our earnings.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right="7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in effect an election to be regulated as a business development company under the 1940 Act at all times during each taxable year;</w:t>
      </w:r>
    </w:p>
    <w:p>
      <w:pPr>
        <w:spacing w:after="0" w:line="62" w:lineRule="exact"/>
        <w:rPr>
          <w:rFonts w:ascii="Arial" w:cs="Arial" w:eastAsia="Arial" w:hAnsi="Arial"/>
          <w:sz w:val="18"/>
          <w:szCs w:val="18"/>
          <w:color w:val="auto"/>
        </w:rPr>
      </w:pPr>
    </w:p>
    <w:p>
      <w:pPr>
        <w:ind w:left="600" w:right="719" w:hanging="322"/>
        <w:spacing w:after="0" w:line="259"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619" w:hanging="332"/>
        <w:spacing w:after="0" w:line="312" w:lineRule="auto"/>
        <w:tabs>
          <w:tab w:leader="none" w:pos="8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38" w:lineRule="exact"/>
        <w:rPr>
          <w:rFonts w:ascii="Arial" w:cs="Arial" w:eastAsia="Arial" w:hAnsi="Arial"/>
          <w:sz w:val="16"/>
          <w:szCs w:val="16"/>
          <w:color w:val="auto"/>
        </w:rPr>
      </w:pPr>
    </w:p>
    <w:p>
      <w:pPr>
        <w:ind w:left="880" w:right="679" w:hanging="332"/>
        <w:spacing w:after="0" w:line="25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“25% Diversification Test,” and together with the 50% Diversification Test, the “Diversification Tests”).</w:t>
      </w:r>
    </w:p>
    <w:p>
      <w:pPr>
        <w:spacing w:after="0" w:line="8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 assuming that it is not the first quarter of RIC qualification.</w:t>
      </w:r>
    </w:p>
    <w:p>
      <w:pPr>
        <w:spacing w:after="0" w:line="74"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An alternative 50% Diversification Test applies to certain RICs that obtain SEC Certification for the applicable taxable year. Such SEC Certification may not be received earlier than 60 days prior to the close of the taxable year to which it applies. If a RIC has received this certification, then, for purposes of the 50% Diversification Test, securities of an issuer will be treated as good investments as long as the RIC’s basis in the securities of such issuer did not exceed 5% of the RIC’s total assets when acquired whether or not the</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64" w:lineRule="auto"/>
        <w:rPr>
          <w:sz w:val="20"/>
          <w:szCs w:val="20"/>
          <w:color w:val="auto"/>
        </w:rPr>
      </w:pPr>
      <w:r>
        <w:rPr>
          <w:rFonts w:ascii="Arial" w:cs="Arial" w:eastAsia="Arial" w:hAnsi="Arial"/>
          <w:sz w:val="18"/>
          <w:szCs w:val="18"/>
          <w:color w:val="auto"/>
        </w:rPr>
        <w:t>RIC owns more than 10% of the voting securities of such issuer. This alternative test does not apply to the securities of any issuer if the RIC has continuously held securities of the issuer for 10 or more years preceding the applicable quarter end. The 25% Diversification Test is not affected by this alternative 50% Diversification Test.</w:t>
      </w:r>
    </w:p>
    <w:p>
      <w:pPr>
        <w:spacing w:after="0" w:line="73"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As a result of converting from a C corporation to a RIC, we are required to pay a corporate-level U.S. federal income tax on the net amount of the net built-in gains, if any, in our assets (i.e., the amount by which the net fair market value of our assets exceeds our net adjusted basis in our assets) as of the date of conversion (i.e., January 1, 2014) to the extent that such gains are recognized by us during the applicable recognition period, which is the five-year period beginning on the date of conversion.</w:t>
      </w:r>
    </w:p>
    <w:p>
      <w:pPr>
        <w:spacing w:after="0" w:line="46"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U.S. federal income tax on built-in gain will be an expense that will reduce the amount available for distribution to our stockholders. The built-in gain tax is calculated by determining a RIC’s net unrealized built-in gains, if any, by which the fair market value of the assets of the RIC at the beginning of the first RIC-year exceeds the aggregate adjusted basis of such assets at that time.</w:t>
      </w:r>
    </w:p>
    <w:p>
      <w:pPr>
        <w:spacing w:after="0" w:line="59"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6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71"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color w:val="auto"/>
        </w:rPr>
        <w:t>exercise of a warrant acquired by us, our tax basis in the stock purchased under the warrant will equal the sum of the amount paid for the warrant plus the strike price paid on the exercise of the warrant.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Maintain our Qualification as a RIC</w:t>
      </w:r>
    </w:p>
    <w:p>
      <w:pPr>
        <w:spacing w:after="0" w:line="11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5 years, unless we made a special election to pay corporate-level U.S. federal income tax on such built-in gain at the time of our requalification as a RIC.</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58" w:lineRule="exact"/>
        <w:rPr>
          <w:sz w:val="20"/>
          <w:szCs w:val="20"/>
          <w:color w:val="auto"/>
        </w:rPr>
      </w:pPr>
    </w:p>
    <w:p>
      <w:pPr>
        <w:ind w:left="40" w:right="1319"/>
        <w:spacing w:after="0" w:line="282" w:lineRule="auto"/>
        <w:rPr>
          <w:sz w:val="20"/>
          <w:szCs w:val="20"/>
          <w:color w:val="auto"/>
        </w:rPr>
      </w:pPr>
      <w:r>
        <w:rPr>
          <w:rFonts w:ascii="Arial" w:cs="Arial" w:eastAsia="Arial" w:hAnsi="Arial"/>
          <w:sz w:val="18"/>
          <w:szCs w:val="18"/>
          <w:b w:val="1"/>
          <w:bCs w:val="1"/>
          <w:color w:val="auto"/>
        </w:rPr>
        <w:t>Our investments in the rapidly growing venture-capital-backed emerging companies that we are targeting may be extremely risky and we could lose all or part of our investments.</w:t>
      </w:r>
    </w:p>
    <w:p>
      <w:pPr>
        <w:spacing w:after="0" w:line="58"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Investment in the rapidly growing venture-capital-backed emerging companies that we are targeting involves a number of significant risks, including the following:</w:t>
      </w:r>
    </w:p>
    <w:p>
      <w:pPr>
        <w:spacing w:after="0" w:line="62" w:lineRule="exact"/>
        <w:rPr>
          <w:sz w:val="20"/>
          <w:szCs w:val="20"/>
          <w:color w:val="auto"/>
        </w:rPr>
      </w:pPr>
    </w:p>
    <w:p>
      <w:pPr>
        <w:ind w:left="600" w:right="559" w:hanging="322"/>
        <w:spacing w:after="0" w:line="286"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57" w:lineRule="exact"/>
        <w:rPr>
          <w:rFonts w:ascii="Arial" w:cs="Arial" w:eastAsia="Arial" w:hAnsi="Arial"/>
          <w:sz w:val="17"/>
          <w:szCs w:val="17"/>
          <w:color w:val="auto"/>
        </w:rPr>
      </w:pPr>
    </w:p>
    <w:p>
      <w:pPr>
        <w:jc w:val="both"/>
        <w:ind w:left="600" w:right="919" w:hanging="322"/>
        <w:spacing w:after="0" w:line="286"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57" w:lineRule="exact"/>
        <w:rPr>
          <w:rFonts w:ascii="Arial" w:cs="Arial" w:eastAsia="Arial" w:hAnsi="Arial"/>
          <w:sz w:val="17"/>
          <w:szCs w:val="17"/>
          <w:color w:val="auto"/>
        </w:rPr>
      </w:pPr>
    </w:p>
    <w:p>
      <w:pPr>
        <w:ind w:left="600" w:right="899" w:hanging="322"/>
        <w:spacing w:after="0" w:line="312"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59" w:hanging="322"/>
        <w:spacing w:after="0" w:line="273"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because they are privately owned, there is generally little publicly available information about these businesses; therefore, although GSV Asset Management’s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70" w:lineRule="exact"/>
        <w:rPr>
          <w:rFonts w:ascii="Arial" w:cs="Arial" w:eastAsia="Arial" w:hAnsi="Arial"/>
          <w:sz w:val="17"/>
          <w:szCs w:val="17"/>
          <w:color w:val="auto"/>
        </w:rPr>
      </w:pPr>
    </w:p>
    <w:p>
      <w:pPr>
        <w:ind w:left="600" w:right="659" w:hanging="322"/>
        <w:spacing w:after="0" w:line="264"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73"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86" w:lineRule="exact"/>
        <w:rPr>
          <w:sz w:val="20"/>
          <w:szCs w:val="20"/>
          <w:color w:val="auto"/>
        </w:rPr>
      </w:pPr>
    </w:p>
    <w:p>
      <w:pPr>
        <w:ind w:left="40" w:right="599"/>
        <w:spacing w:after="0" w:line="282" w:lineRule="auto"/>
        <w:rPr>
          <w:sz w:val="20"/>
          <w:szCs w:val="20"/>
          <w:color w:val="auto"/>
        </w:rPr>
      </w:pPr>
      <w:r>
        <w:rPr>
          <w:rFonts w:ascii="Arial" w:cs="Arial" w:eastAsia="Arial" w:hAnsi="Arial"/>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58"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84" w:lineRule="auto"/>
        <w:rPr>
          <w:sz w:val="20"/>
          <w:szCs w:val="20"/>
          <w:color w:val="auto"/>
        </w:rPr>
      </w:pPr>
      <w:r>
        <w:rPr>
          <w:rFonts w:ascii="Arial" w:cs="Arial" w:eastAsia="Arial" w:hAnsi="Arial"/>
          <w:sz w:val="16"/>
          <w:szCs w:val="16"/>
          <w:color w:val="auto"/>
        </w:rPr>
        <w:t>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members of GSV Asset Management’s portfolio management team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313" w:lineRule="exact"/>
        <w:rPr>
          <w:sz w:val="20"/>
          <w:szCs w:val="20"/>
          <w:color w:val="auto"/>
        </w:rPr>
      </w:pPr>
    </w:p>
    <w:p>
      <w:pPr>
        <w:ind w:left="40" w:right="779"/>
        <w:spacing w:after="0" w:line="266" w:lineRule="auto"/>
        <w:rPr>
          <w:sz w:val="20"/>
          <w:szCs w:val="20"/>
          <w:color w:val="auto"/>
        </w:rPr>
      </w:pPr>
      <w:r>
        <w:rPr>
          <w:rFonts w:ascii="Arial" w:cs="Arial" w:eastAsia="Arial" w:hAnsi="Arial"/>
          <w:sz w:val="18"/>
          <w:szCs w:val="18"/>
          <w:b w:val="1"/>
          <w:b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72" w:lineRule="exact"/>
        <w:rPr>
          <w:sz w:val="20"/>
          <w:szCs w:val="20"/>
          <w:color w:val="auto"/>
        </w:rPr>
      </w:pPr>
    </w:p>
    <w:p>
      <w:pPr>
        <w:jc w:val="both"/>
        <w:ind w:left="40" w:right="939" w:firstLine="270"/>
        <w:spacing w:after="0" w:line="264" w:lineRule="auto"/>
        <w:rPr>
          <w:sz w:val="20"/>
          <w:szCs w:val="20"/>
          <w:color w:val="auto"/>
        </w:rPr>
      </w:pPr>
      <w:r>
        <w:rPr>
          <w:rFonts w:ascii="Arial" w:cs="Arial" w:eastAsia="Arial" w:hAnsi="Arial"/>
          <w:sz w:val="18"/>
          <w:szCs w:val="18"/>
          <w:color w:val="auto"/>
        </w:rPr>
        <w:t>We invest principally in the equity and equity-related securities of what we believe to be rapidly growing venture-capital-backed emerging companies. However, the equity interests we acquire may not appreciate in value and, in fact, may decline in value.</w:t>
      </w:r>
    </w:p>
    <w:p>
      <w:pPr>
        <w:spacing w:after="0" w:line="73"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599"/>
        <w:spacing w:after="0" w:line="282" w:lineRule="auto"/>
        <w:rPr>
          <w:sz w:val="20"/>
          <w:szCs w:val="20"/>
          <w:color w:val="auto"/>
        </w:rPr>
      </w:pPr>
      <w:r>
        <w:rPr>
          <w:rFonts w:ascii="Arial" w:cs="Arial" w:eastAsia="Arial" w:hAnsi="Arial"/>
          <w:sz w:val="18"/>
          <w:szCs w:val="18"/>
          <w:b w:val="1"/>
          <w:bCs w:val="1"/>
          <w:color w:val="auto"/>
        </w:rPr>
        <w:t>Most of our portfolio companies are currently experiencing operating losses, which may be substantial, and there can be no assurance when or if such companies will operate at a profit.</w:t>
      </w:r>
    </w:p>
    <w:p>
      <w:pPr>
        <w:spacing w:after="0" w:line="58"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We have limited information about the financial performance and profitability of some of our portfolio companies. While according to public filings with the SEC,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15" w:lineRule="exact"/>
        <w:rPr>
          <w:sz w:val="20"/>
          <w:szCs w:val="20"/>
          <w:color w:val="auto"/>
        </w:rPr>
      </w:pPr>
    </w:p>
    <w:p>
      <w:pPr>
        <w:ind w:left="40" w:right="1199"/>
        <w:spacing w:after="0" w:line="282" w:lineRule="auto"/>
        <w:rPr>
          <w:sz w:val="20"/>
          <w:szCs w:val="20"/>
          <w:color w:val="auto"/>
        </w:rPr>
      </w:pPr>
      <w:r>
        <w:rPr>
          <w:rFonts w:ascii="Arial" w:cs="Arial" w:eastAsia="Arial" w:hAnsi="Arial"/>
          <w:sz w:val="18"/>
          <w:szCs w:val="18"/>
          <w:b w:val="1"/>
          <w:bCs w:val="1"/>
          <w:color w:val="auto"/>
        </w:rPr>
        <w:t>The lack of liquidity in, and potentially extended holding period of, our many investments may adversely affect our business and will delay any distributions of gains, if any.</w:t>
      </w:r>
    </w:p>
    <w:p>
      <w:pPr>
        <w:spacing w:after="0" w:line="58"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70"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01" w:lineRule="exact"/>
        <w:rPr>
          <w:sz w:val="20"/>
          <w:szCs w:val="20"/>
          <w:color w:val="auto"/>
        </w:rPr>
      </w:pPr>
    </w:p>
    <w:p>
      <w:pPr>
        <w:jc w:val="both"/>
        <w:ind w:left="40" w:right="759"/>
        <w:spacing w:after="0" w:line="266" w:lineRule="auto"/>
        <w:rPr>
          <w:sz w:val="20"/>
          <w:szCs w:val="20"/>
          <w:color w:val="auto"/>
        </w:rPr>
      </w:pPr>
      <w:r>
        <w:rPr>
          <w:rFonts w:ascii="Arial" w:cs="Arial" w:eastAsia="Arial" w:hAnsi="Arial"/>
          <w:sz w:val="18"/>
          <w:szCs w:val="18"/>
          <w:b w:val="1"/>
          <w:b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7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2016, 53.4% of our net asset value was comprised of investments in 5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financial results could be negatively affected if a significant portfolio investment fails to perform as expected.</w:t>
      </w:r>
    </w:p>
    <w:p>
      <w:pPr>
        <w:spacing w:after="0" w:line="133"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positions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3"/>
              </w:rPr>
              <w:t>Asset Value</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Data Analysis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17,198,903</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41,508,965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Spotify Technology S.A.</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Online Music Streaming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13,599,572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18,931,691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Coursera, Inc.</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14,519,519</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14,510,855</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JAMF Holdings, Inc.</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Mobile Device Management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9,999,928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13,856,754</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Assembly Space, Inc.</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Education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5,999,961</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13,746,764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Cloud Computing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13,656,926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13,190,484</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Lytro, Inc.</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Light Field Imaging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Platform</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10,502,083</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10,908,151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Ozy Media, Inc.</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Digital Media Platform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10,500,199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10,609,999</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Course Hero, Inc.</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10,532,304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Curious.com Inc.</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9,984,954</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112,977,098</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157,780,921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82.13%</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right="539"/>
        <w:spacing w:after="0" w:line="313" w:lineRule="auto"/>
        <w:rPr>
          <w:sz w:val="20"/>
          <w:szCs w:val="20"/>
          <w:color w:val="auto"/>
        </w:rPr>
      </w:pPr>
      <w:r>
        <w:rPr>
          <w:rFonts w:ascii="Arial" w:cs="Arial" w:eastAsia="Arial" w:hAnsi="Arial"/>
          <w:sz w:val="17"/>
          <w:szCs w:val="17"/>
          <w:b w:val="1"/>
          <w:bCs w:val="1"/>
          <w:color w:val="auto"/>
        </w:rPr>
        <w:t>Technology-related sectors in which we invest are subject to many risks, including volatility, intense competition, decreasing life cycles, product obsolescence, changing consumer preferences and periodic downturns.</w:t>
      </w:r>
    </w:p>
    <w:p>
      <w:pPr>
        <w:spacing w:after="0" w:line="34"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Given the experience of GSV Asset Management’s senior investment professionals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 in technology-related sectors may decrease over time, which could adversely affect their operating results and, correspondingly, the value of any equity securities that we may hold. This could, in turn, materially adversely affect our business, financial condition and results of operations.</w:t>
      </w:r>
    </w:p>
    <w:p>
      <w:pPr>
        <w:spacing w:after="0" w:line="107" w:lineRule="exact"/>
        <w:rPr>
          <w:sz w:val="20"/>
          <w:szCs w:val="20"/>
          <w:color w:val="auto"/>
        </w:rPr>
      </w:pPr>
    </w:p>
    <w:p>
      <w:pPr>
        <w:ind w:left="60" w:right="1039"/>
        <w:spacing w:after="0" w:line="282" w:lineRule="auto"/>
        <w:rPr>
          <w:sz w:val="20"/>
          <w:szCs w:val="20"/>
          <w:color w:val="auto"/>
        </w:rPr>
      </w:pPr>
      <w:r>
        <w:rPr>
          <w:rFonts w:ascii="Arial" w:cs="Arial" w:eastAsia="Arial" w:hAnsi="Arial"/>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58"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79" w:lineRule="exact"/>
        <w:rPr>
          <w:sz w:val="20"/>
          <w:szCs w:val="20"/>
          <w:color w:val="auto"/>
        </w:rPr>
      </w:pPr>
    </w:p>
    <w:p>
      <w:pPr>
        <w:ind w:left="60" w:right="619" w:firstLine="270"/>
        <w:spacing w:after="0" w:line="253" w:lineRule="auto"/>
        <w:rPr>
          <w:sz w:val="20"/>
          <w:szCs w:val="20"/>
          <w:color w:val="auto"/>
        </w:rPr>
      </w:pPr>
      <w:r>
        <w:rPr>
          <w:rFonts w:ascii="Arial" w:cs="Arial" w:eastAsia="Arial" w:hAnsi="Arial"/>
          <w:sz w:val="18"/>
          <w:szCs w:val="18"/>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qualify to maintain our status as a RIC, or we lack access to the desired follow-on investment opportunity.</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IPO as a result of regulatory or financial restrictions.</w:t>
      </w:r>
    </w:p>
    <w:p>
      <w:pPr>
        <w:spacing w:after="0" w:line="8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7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Investments in foreign companies may involve significant risks in addition to the risks inherent in U.S. investments.</w:t>
      </w:r>
    </w:p>
    <w:p>
      <w:pPr>
        <w:spacing w:after="0" w:line="13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While we invest primarily in U.S. companies, we may invest on an opportunistic basis in certain non-U.S. companies, including those located in emerging markets, that otherwise meet our investment criteria. In regards to the regulatory requirements for business development companies,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73"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121"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72" w:lineRule="auto"/>
        <w:rPr>
          <w:sz w:val="20"/>
          <w:szCs w:val="20"/>
          <w:color w:val="auto"/>
        </w:rPr>
      </w:pPr>
      <w:r>
        <w:rPr>
          <w:rFonts w:ascii="Arial" w:cs="Arial" w:eastAsia="Arial" w:hAnsi="Arial"/>
          <w:sz w:val="17"/>
          <w:szCs w:val="17"/>
          <w:color w:val="auto"/>
        </w:rPr>
        <w:t>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Any failure on our part to maintain our status as a business development company would reduce our operating flexibility.</w:t>
      </w:r>
    </w:p>
    <w:p>
      <w:pPr>
        <w:spacing w:after="0" w:line="144"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maintain our qualification, to be regulated as a business development company,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06" w:lineRule="exact"/>
        <w:rPr>
          <w:sz w:val="20"/>
          <w:szCs w:val="20"/>
          <w:color w:val="auto"/>
        </w:rPr>
      </w:pPr>
    </w:p>
    <w:p>
      <w:pPr>
        <w:ind w:left="40" w:right="679"/>
        <w:spacing w:after="0" w:line="266" w:lineRule="auto"/>
        <w:rPr>
          <w:sz w:val="20"/>
          <w:szCs w:val="20"/>
          <w:color w:val="auto"/>
        </w:rPr>
      </w:pPr>
      <w:r>
        <w:rPr>
          <w:rFonts w:ascii="Arial" w:cs="Arial" w:eastAsia="Arial" w:hAnsi="Arial"/>
          <w:sz w:val="18"/>
          <w:szCs w:val="18"/>
          <w:b w:val="1"/>
          <w:bCs w:val="1"/>
          <w:color w:val="auto"/>
        </w:rPr>
        <w:t>We are dependent upon GSV Asset Management’s senior investment professionals for our future success. If we lose any of GSV Asset Management’s senior investment professionals, our ability to implement our business strategy could be significantly harmed.</w:t>
      </w:r>
    </w:p>
    <w:p>
      <w:pPr>
        <w:spacing w:after="0" w:line="72" w:lineRule="exact"/>
        <w:rPr>
          <w:sz w:val="20"/>
          <w:szCs w:val="20"/>
          <w:color w:val="auto"/>
        </w:rPr>
      </w:pPr>
    </w:p>
    <w:p>
      <w:pPr>
        <w:jc w:val="both"/>
        <w:ind w:left="40" w:right="1119" w:firstLine="270"/>
        <w:spacing w:after="0" w:line="297" w:lineRule="auto"/>
        <w:rPr>
          <w:sz w:val="20"/>
          <w:szCs w:val="20"/>
          <w:color w:val="auto"/>
        </w:rPr>
      </w:pPr>
      <w:r>
        <w:rPr>
          <w:rFonts w:ascii="Arial" w:cs="Arial" w:eastAsia="Arial" w:hAnsi="Arial"/>
          <w:sz w:val="16"/>
          <w:szCs w:val="16"/>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GSV Asset Management’s senior investment professionals, particularly Michael T. Moe, Mark W. Flynn, William Tanona, and Luben Pampoulov.</w:t>
      </w:r>
    </w:p>
    <w:p>
      <w:pPr>
        <w:spacing w:after="0" w:line="5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All of GSV Asset Management’s senior investment professionals, including Michael T. Moe, Mark W. Flynn, William Tanona, and Luben Pampoulov, are at-will employees. As a result, although Messrs. Moe, Flynn, Tanona, and Pampoulov comprise the principals of GSV Asset Management, they are free to terminate their employment with GSV Asset Management at any time. In addition, none of GSV Asset Management’s senior investment professionals, including Messrs. Moe, Flynn, Tanona, and Pampoulov,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GSV Asset Management will be successful in retaining its senior investment professionals, including Messrs. Moe, Flynn, Tanona, and Pampoulov. The departure of any of Messrs. Moe, Flynn, Tanona, and Pampoulov could have a material adverse effect on our ability to achieve our investment objective.</w:t>
      </w:r>
    </w:p>
    <w:p>
      <w:pPr>
        <w:spacing w:after="0" w:line="70"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 does.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financial condition and results of operations will depend on our ability to achieve our investment objective.</w:t>
      </w:r>
    </w:p>
    <w:p>
      <w:pPr>
        <w:spacing w:after="0" w:line="133"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Our ability to achieve our investment objective will depend on GSV Asset Management’s ability to identify, analyze and invest in companies that meet our investment criteria. Accomplishing this result on a cost-effective basis is largely a function of GSV Asset Management’s structuring of the investment process and its ability to provide competent, attentive and efficient services to us. We seek a specified number of investments in rapidly growing venture-capital-backed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70"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addition to monitoring the performance of our existing investments, GSV Asset Management is required to offer, and may be called upon, to provide, managerial assistance to some of our portfolio companies. For example, as of March 16, 2017, GSV Asset Management also manages the Coursera Funds and serves as sub-adviser for certain investment series of the GSV Ventures Funds, and will likely manage one or more private funds, or series within such private funds, in the future. We have no ownership interests in the Coursera Funds or the GSV Ventures Funds sub-advised by GSV Asset Management.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11" w:lineRule="exact"/>
        <w:rPr>
          <w:sz w:val="20"/>
          <w:szCs w:val="20"/>
          <w:color w:val="auto"/>
        </w:rPr>
      </w:pPr>
    </w:p>
    <w:p>
      <w:pPr>
        <w:ind w:left="40" w:right="1419"/>
        <w:spacing w:after="0" w:line="282" w:lineRule="auto"/>
        <w:rPr>
          <w:sz w:val="20"/>
          <w:szCs w:val="20"/>
          <w:color w:val="auto"/>
        </w:rPr>
      </w:pPr>
      <w:r>
        <w:rPr>
          <w:rFonts w:ascii="Arial" w:cs="Arial" w:eastAsia="Arial" w:hAnsi="Arial"/>
          <w:sz w:val="18"/>
          <w:szCs w:val="18"/>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58"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2016,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9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Our business model depends upon the development and maintenance of strong referral relationships with private equity, venture capital funds and investment banking firms.</w:t>
      </w:r>
    </w:p>
    <w:p>
      <w:pPr>
        <w:spacing w:after="0" w:line="58" w:lineRule="exact"/>
        <w:rPr>
          <w:sz w:val="20"/>
          <w:szCs w:val="20"/>
          <w:color w:val="auto"/>
        </w:rPr>
      </w:pPr>
    </w:p>
    <w:p>
      <w:pPr>
        <w:ind w:left="40" w:right="639" w:firstLine="270"/>
        <w:spacing w:after="0" w:line="254" w:lineRule="auto"/>
        <w:rPr>
          <w:sz w:val="20"/>
          <w:szCs w:val="20"/>
          <w:color w:val="auto"/>
        </w:rPr>
      </w:pPr>
      <w:r>
        <w:rPr>
          <w:rFonts w:ascii="Arial" w:cs="Arial" w:eastAsia="Arial" w:hAnsi="Arial"/>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 or other secondary transactions.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There are significant potential risks relating to investing in securities traded on private secondary marketplaces.</w:t>
      </w:r>
    </w:p>
    <w:p>
      <w:pPr>
        <w:spacing w:after="0" w:line="13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have utilized and expect to continue to utilize private secondary marketplaces, such as SharesPost, Inc. and the NASDAQ Private Market, LLC, to acquire investments for our portfolio. When we purchase secondary shares, we may have little or no direct access to financial or other information from these portfolio companies. As a result, we are dependent upon the relationships and contacts of GSV Asset Management’s senior investment professionals and our board of directors to obtain the information for GSV Asset Management to perform research and due diligence, and to monitor our investments after they are made. There can be no assurance that GSV Asset Management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70"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59"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16" w:lineRule="exact"/>
        <w:rPr>
          <w:sz w:val="20"/>
          <w:szCs w:val="20"/>
          <w:color w:val="auto"/>
        </w:rPr>
      </w:pPr>
    </w:p>
    <w:p>
      <w:pPr>
        <w:ind w:left="40" w:right="1399"/>
        <w:spacing w:after="0" w:line="282" w:lineRule="auto"/>
        <w:rPr>
          <w:sz w:val="20"/>
          <w:szCs w:val="20"/>
          <w:color w:val="auto"/>
        </w:rPr>
      </w:pPr>
      <w:r>
        <w:rPr>
          <w:rFonts w:ascii="Arial" w:cs="Arial" w:eastAsia="Arial" w:hAnsi="Arial"/>
          <w:sz w:val="18"/>
          <w:szCs w:val="18"/>
          <w:b w:val="1"/>
          <w:bCs w:val="1"/>
          <w:color w:val="auto"/>
        </w:rPr>
        <w:t>Due to transfer restrictions and the illiquid nature of our investments, we may not be able to purchase or sell our investments when we wish to do so.</w:t>
      </w:r>
    </w:p>
    <w:p>
      <w:pPr>
        <w:spacing w:after="0" w:line="58"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4" w:lineRule="auto"/>
        <w:rPr>
          <w:sz w:val="20"/>
          <w:szCs w:val="20"/>
          <w:color w:val="auto"/>
        </w:rPr>
      </w:pPr>
      <w:r>
        <w:rPr>
          <w:rFonts w:ascii="Arial" w:cs="Arial" w:eastAsia="Arial" w:hAnsi="Arial"/>
          <w:sz w:val="18"/>
          <w:szCs w:val="18"/>
          <w:color w:val="auto"/>
        </w:rPr>
        <w:t>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84"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85"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There are significant potential risks associated with investing in venture capital companies with complex capital structures.</w:t>
      </w:r>
    </w:p>
    <w:p>
      <w:pPr>
        <w:spacing w:after="0" w:line="14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GSV Asset Management’s senior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03" w:lineRule="exact"/>
        <w:rPr>
          <w:sz w:val="20"/>
          <w:szCs w:val="20"/>
          <w:color w:val="auto"/>
        </w:rPr>
      </w:pPr>
    </w:p>
    <w:p>
      <w:pPr>
        <w:ind w:left="40" w:right="679"/>
        <w:spacing w:after="0" w:line="282" w:lineRule="auto"/>
        <w:rPr>
          <w:sz w:val="20"/>
          <w:szCs w:val="20"/>
          <w:color w:val="auto"/>
        </w:rPr>
      </w:pPr>
      <w:r>
        <w:rPr>
          <w:rFonts w:ascii="Arial" w:cs="Arial" w:eastAsia="Arial" w:hAnsi="Arial"/>
          <w:sz w:val="18"/>
          <w:szCs w:val="18"/>
          <w:b w:val="1"/>
          <w:bCs w:val="1"/>
          <w:color w:val="auto"/>
        </w:rPr>
        <w:t>Our business is subject to increasingly complex corporate governance, public disclosure and accounting requirements that are costly and could adversely affect our business and financial results.</w:t>
      </w:r>
    </w:p>
    <w:p>
      <w:pPr>
        <w:spacing w:after="0" w:line="58"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50"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87" w:lineRule="exact"/>
        <w:rPr>
          <w:sz w:val="20"/>
          <w:szCs w:val="20"/>
          <w:color w:val="auto"/>
        </w:rPr>
      </w:pPr>
    </w:p>
    <w:p>
      <w:pPr>
        <w:ind w:left="40" w:right="779"/>
        <w:spacing w:after="0" w:line="314" w:lineRule="auto"/>
        <w:rPr>
          <w:sz w:val="20"/>
          <w:szCs w:val="20"/>
          <w:color w:val="auto"/>
        </w:rPr>
      </w:pPr>
      <w:r>
        <w:rPr>
          <w:rFonts w:ascii="Arial" w:cs="Arial" w:eastAsia="Arial" w:hAnsi="Arial"/>
          <w:sz w:val="16"/>
          <w:szCs w:val="16"/>
          <w:b w:val="1"/>
          <w:bCs w:val="1"/>
          <w:color w:val="auto"/>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38"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As a business development company,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While market conditions have largely recovered from the events of 2008 and 2009, there have been continuing periods of volatility, some lasting longer than others. For example, the referendum by British voters to exit the European Union (“E.U.”) (“Brexit”) in June 2016 has led to further disruption and instability in the global markets. There can be no assurance these market conditions will not repeat themselves or worsen in the future.</w:t>
      </w:r>
    </w:p>
    <w:p>
      <w:pPr>
        <w:spacing w:after="0" w:line="70"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Equity capital may be difficult to raise during periods of adverse or volatile market conditions because, subject to some limited exceptions, as a business development company, we are generally not able to issue additional shares of our common stock at a price less than net asset value without first obtaining approval for such issuance from our stockholders and our independent directors.</w:t>
      </w:r>
    </w:p>
    <w:p>
      <w:pPr>
        <w:spacing w:after="0" w:line="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Volatility and dislocation in the capital markets can also create a challenging environment in which to raise or access debt capital. The reappearance of market conditions similar to those experienced from 2008 through 2009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w:t>
      </w:r>
    </w:p>
    <w:p>
      <w:pPr>
        <w:spacing w:after="0" w:line="84"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Significant changes or volatility in the capital markets may also have a negative effect on the valuations of our investments. Significant changes in the capital markets may also affect the pace of our investment activity and the potential for liquidity events involving our investments. Thus,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could have a material adverse effect on our business, financial condition or results of operations.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739"/>
        <w:spacing w:after="0" w:line="266" w:lineRule="auto"/>
        <w:rPr>
          <w:sz w:val="20"/>
          <w:szCs w:val="20"/>
          <w:color w:val="auto"/>
        </w:rPr>
      </w:pPr>
      <w:r>
        <w:rPr>
          <w:rFonts w:ascii="Arial" w:cs="Arial" w:eastAsia="Arial" w:hAnsi="Arial"/>
          <w:sz w:val="18"/>
          <w:szCs w:val="18"/>
          <w:b w:val="1"/>
          <w:bCs w:val="1"/>
          <w:color w:val="auto"/>
        </w:rPr>
        <w:t>Uncertainty about the financial stability of the United States, several countries in Europe and China, and uncertainties about the new U.S. presidential administration could have a significant adverse effect on our business, financial condition and results of operations.</w:t>
      </w:r>
    </w:p>
    <w:p>
      <w:pPr>
        <w:spacing w:after="0" w:line="72"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in August 2011. Further, Moody’s and Fitch had warned that they may downgrade the federal government’s credit rating. Further downgrades or warnings by S&amp;P or other rating agencies, and the United States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70"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While the financial stability of many of such countries has improved significantly, risks resulting from any future debt crisis in Europe or any similar crisis could have a detrimental impact on the global economic recovery, sovereign and non-sovereign debt in these countries and the financial condition of European financial institutions.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6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In the second quarter of 2015, stock prices in China experienced a significant drop, resulting primarily from continued sell-off of shares trading in Chinese markets. In addition, in August 2015, Chinese authorities sharply devalued China’s currency. Since then, the Chinese capital markets have continued to experience periods of instability. These market and economic disruptions have affected, and may in the future affect, the U.S. capital markets, which could adversely affect our business, financial condition or results of operations.</w:t>
      </w:r>
    </w:p>
    <w:p>
      <w:pPr>
        <w:spacing w:after="0" w:line="80" w:lineRule="exact"/>
        <w:rPr>
          <w:sz w:val="20"/>
          <w:szCs w:val="20"/>
          <w:color w:val="auto"/>
        </w:rPr>
      </w:pPr>
    </w:p>
    <w:p>
      <w:pPr>
        <w:ind w:left="40" w:right="719" w:firstLine="270"/>
        <w:spacing w:after="0" w:line="302" w:lineRule="auto"/>
        <w:rPr>
          <w:sz w:val="20"/>
          <w:szCs w:val="20"/>
          <w:color w:val="auto"/>
        </w:rPr>
      </w:pPr>
      <w:r>
        <w:rPr>
          <w:rFonts w:ascii="Arial" w:cs="Arial" w:eastAsia="Arial" w:hAnsi="Arial"/>
          <w:sz w:val="16"/>
          <w:szCs w:val="16"/>
          <w:color w:val="auto"/>
        </w:rPr>
        <w:t>The Federal Reserve raised the Federal Funds Rate in December 2015 and again in December 2016, and has announced its intention to continue to raise the federal funds rate over time. These developments, along with the United States government’s credit and deficit concerns, the European sovereign debt crisis and the economic slowdown in China, could cause interest rates to be volatile, which may negatively impact our ability to access the debt markets on favorable terms.</w:t>
      </w:r>
    </w:p>
    <w:p>
      <w:pPr>
        <w:spacing w:after="0" w:line="46"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In November 2016, the United States held its Federal election and elected Donald Trump, the Republican Party nominee, as President. Following President Trump’s inauguration in January 2017, the Republican Party controls both the executive and legislative branches of government, which increases the likelihood that legislation will be adopted implementing the policies of the Trump administration. While campaigning, President Trump made statements suggesting he may seek to have Congress adopt legislation that could significantly affect the regulation of United States financial markets. Areas subject to potential change, amendment or repeal include the Dodd — Frank Act, including the Volcker Rule and various swaps and derivatives regulations, the authority of the Federal Reserve and the Financial Stability Oversight Council, and renewed proposals to separate banks’ commercial and investment banking activities. President Trump also stated he would cause the United States to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Any further disruptive conditions in the financial industry and the impact of new legislation in response to those conditions could restrict our business operations and could adversely impact our results of operations and financial condition. In addition, the business development company market may be more sensitive to changes in interest rates or other factors and to the extent the business development company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82" w:lineRule="exact"/>
        <w:rPr>
          <w:sz w:val="20"/>
          <w:szCs w:val="20"/>
          <w:color w:val="auto"/>
        </w:rPr>
      </w:pPr>
    </w:p>
    <w:p>
      <w:pPr>
        <w:jc w:val="both"/>
        <w:ind w:left="40" w:right="759"/>
        <w:spacing w:after="0" w:line="266" w:lineRule="auto"/>
        <w:rPr>
          <w:sz w:val="20"/>
          <w:szCs w:val="20"/>
          <w:color w:val="auto"/>
        </w:rPr>
      </w:pPr>
      <w:r>
        <w:rPr>
          <w:rFonts w:ascii="Arial" w:cs="Arial" w:eastAsia="Arial" w:hAnsi="Arial"/>
          <w:sz w:val="18"/>
          <w:szCs w:val="18"/>
          <w:b w:val="1"/>
          <w:b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72"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business development company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operate in a highly competitive market for direct equity investment opportunities.</w:t>
      </w:r>
    </w:p>
    <w:p>
      <w:pPr>
        <w:spacing w:after="0" w:line="121"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management and incentive fees may induce GSV Asset Management to make speculative investments.</w:t>
      </w:r>
    </w:p>
    <w:p>
      <w:pPr>
        <w:spacing w:after="0" w:line="121" w:lineRule="exact"/>
        <w:rPr>
          <w:sz w:val="20"/>
          <w:szCs w:val="20"/>
          <w:color w:val="auto"/>
        </w:rPr>
      </w:pPr>
    </w:p>
    <w:p>
      <w:pPr>
        <w:ind w:left="40" w:right="659" w:firstLine="270"/>
        <w:spacing w:after="0" w:line="320" w:lineRule="auto"/>
        <w:rPr>
          <w:sz w:val="20"/>
          <w:szCs w:val="20"/>
          <w:color w:val="auto"/>
        </w:rPr>
      </w:pPr>
      <w:r>
        <w:rPr>
          <w:rFonts w:ascii="Arial" w:cs="Arial" w:eastAsia="Arial" w:hAnsi="Arial"/>
          <w:sz w:val="15"/>
          <w:szCs w:val="15"/>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72" w:lineRule="auto"/>
        <w:rPr>
          <w:sz w:val="20"/>
          <w:szCs w:val="20"/>
          <w:color w:val="auto"/>
        </w:rPr>
      </w:pPr>
      <w:r>
        <w:rPr>
          <w:rFonts w:ascii="Arial" w:cs="Arial" w:eastAsia="Arial" w:hAnsi="Arial"/>
          <w:sz w:val="17"/>
          <w:szCs w:val="17"/>
          <w:color w:val="auto"/>
        </w:rPr>
        <w:t>reflected on our balance sheet (with no deduction for liabilities), may encourage GSV Asset Management to use leverage to make additional investments. On September 17, 2013, we completed a private placement of $69.0 million in aggregate principal amount of 5-year unsecured 5.25% Convertible Senior Notes (the “Convertible Senior Notes”).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70"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In addition,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based on the management and incentive fees paid by us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The independent members of our board of directors monitor such conflicts of interest in connection with their review of the performance of GSV Asset Management under our Investment Advisory Agreement, as well as during their quarterly review of our financial performance and results of operations.</w:t>
      </w:r>
    </w:p>
    <w:p>
      <w:pPr>
        <w:spacing w:after="0" w:line="97"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Borrowings, such as the Convertible Senior Notes, can magnify the potential for gain or loss on amounts invested and may increase the risk of investing in us.</w:t>
      </w:r>
    </w:p>
    <w:p>
      <w:pPr>
        <w:spacing w:after="0" w:line="58"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our securities. In addition to the Convertible Senior Notes,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Senior Notes and any future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 As a result of our use of leverage, we have experienced a substantial increase in operating expenses and may continue to do so in the future.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use of borrowed funds to make investments exposes us to risks typically associated with leverage.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borrow money and may issue additional debt securities or preferred stock to leverage our capital structure. As a result:</w:t>
      </w:r>
    </w:p>
    <w:p>
      <w:pPr>
        <w:spacing w:after="0" w:line="129" w:lineRule="exact"/>
        <w:rPr>
          <w:sz w:val="20"/>
          <w:szCs w:val="20"/>
          <w:color w:val="auto"/>
        </w:rPr>
      </w:pPr>
    </w:p>
    <w:p>
      <w:pPr>
        <w:ind w:left="600" w:right="999" w:hanging="322"/>
        <w:spacing w:after="0" w:line="342"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15"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depreciation in the value of our assets may magnify losses associated with an investment and could totally eliminate the value of an asset to us;</w:t>
      </w:r>
    </w:p>
    <w:p>
      <w:pPr>
        <w:spacing w:after="0" w:line="62" w:lineRule="exact"/>
        <w:rPr>
          <w:rFonts w:ascii="Arial" w:cs="Arial" w:eastAsia="Arial" w:hAnsi="Arial"/>
          <w:sz w:val="18"/>
          <w:szCs w:val="18"/>
          <w:color w:val="auto"/>
        </w:rPr>
      </w:pPr>
    </w:p>
    <w:p>
      <w:pPr>
        <w:ind w:left="600" w:right="579" w:hanging="322"/>
        <w:spacing w:after="0" w:line="26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7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pay dividends on our common stock may be restricted if our asset coverage ratio, as provided in the 1940 Act, is not at least 200%, and any amounts used to service indebtedness or preferred stock would not be available for such dividends;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credit facility would be subject to periodic renewal by our lenders, whose continued participation cannot be guaranteed;</w:t>
      </w:r>
    </w:p>
    <w:p>
      <w:pPr>
        <w:spacing w:after="0" w:line="14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73"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 indirectly our common stockholders, bear the entire cost of issuing and paying interest or dividends on such securities;</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38" w:lineRule="exact"/>
        <w:rPr>
          <w:rFonts w:ascii="Arial" w:cs="Arial" w:eastAsia="Arial" w:hAnsi="Arial"/>
          <w:sz w:val="16"/>
          <w:szCs w:val="16"/>
          <w:color w:val="auto"/>
        </w:rPr>
      </w:pPr>
    </w:p>
    <w:p>
      <w:pPr>
        <w:ind w:left="600" w:right="77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may have rights, preferences and privileges more favorable than those of our common shares; and</w:t>
      </w:r>
    </w:p>
    <w:p>
      <w:pPr>
        <w:spacing w:after="0" w:line="62" w:lineRule="exact"/>
        <w:rPr>
          <w:rFonts w:ascii="Arial" w:cs="Arial" w:eastAsia="Arial" w:hAnsi="Arial"/>
          <w:sz w:val="18"/>
          <w:szCs w:val="18"/>
          <w:color w:val="auto"/>
        </w:rPr>
      </w:pPr>
    </w:p>
    <w:p>
      <w:pPr>
        <w:ind w:left="600" w:right="65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w:t>
      </w:r>
    </w:p>
    <w:p>
      <w:pPr>
        <w:spacing w:after="0" w:line="73"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Under the provisions of the 1940 Act, we are permitted, as a business development company,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69" w:lineRule="exact"/>
        <w:rPr>
          <w:sz w:val="20"/>
          <w:szCs w:val="20"/>
          <w:color w:val="auto"/>
        </w:rPr>
      </w:pPr>
    </w:p>
    <w:p>
      <w:pPr>
        <w:ind w:left="40" w:right="819"/>
        <w:spacing w:after="0" w:line="282" w:lineRule="auto"/>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 and limit the flexibility of our investment policies.</w:t>
      </w:r>
    </w:p>
    <w:p>
      <w:pPr>
        <w:spacing w:after="0" w:line="58"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Chief Executive Officer and Chairman of our board of directors. Messrs. Moe, Tanona and Flynn, as principals of GSV Asset Management, collectively manage the business and internal affairs of GSV Asset Management. In addition, GSV Capital Service Company provides us with office facilities and administrative services pursuant to an Administration Agreement. GSV Capital Service Company is controlled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9"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As discussed above,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In addition, Mark Klein, a member of our board of directors, or entities with which he is affiliated, receives fees from GSV Asset Management equal to a percentage of each of the base management fee and the incentive fee paid by us to GSV Asset Management pursuant to a consulting agreement with GSV Asset Management.</w:t>
      </w:r>
    </w:p>
    <w:p>
      <w:pPr>
        <w:spacing w:after="0" w:line="58"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Further,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79"/>
        <w:spacing w:after="0" w:line="264" w:lineRule="auto"/>
        <w:rPr>
          <w:sz w:val="20"/>
          <w:szCs w:val="20"/>
          <w:color w:val="auto"/>
        </w:rPr>
      </w:pPr>
      <w:r>
        <w:rPr>
          <w:rFonts w:ascii="Arial" w:cs="Arial" w:eastAsia="Arial" w:hAnsi="Arial"/>
          <w:sz w:val="18"/>
          <w:szCs w:val="18"/>
          <w:color w:val="auto"/>
        </w:rPr>
        <w:t>stockholders. For example, GSV Asset Management also serves as sub-adviser to the GSV Ventures Funds and manages the Coursera Funds. We have no ownership interests in the Coursera Funds or the GSV Ventures Funds sub-advised by GSV Asset Management.</w:t>
      </w:r>
    </w:p>
    <w:p>
      <w:pPr>
        <w:spacing w:after="0" w:line="73"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GSV Ventures Funds and the Coursera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5"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any administrative services, which creates conflicts of interest that our board of directors must monitor.</w:t>
      </w:r>
    </w:p>
    <w:p>
      <w:pPr>
        <w:spacing w:after="0" w:line="102" w:lineRule="exact"/>
        <w:rPr>
          <w:sz w:val="20"/>
          <w:szCs w:val="20"/>
          <w:color w:val="auto"/>
        </w:rPr>
      </w:pPr>
    </w:p>
    <w:p>
      <w:pPr>
        <w:ind w:left="40" w:right="559"/>
        <w:spacing w:after="0" w:line="266" w:lineRule="auto"/>
        <w:rPr>
          <w:sz w:val="20"/>
          <w:szCs w:val="20"/>
          <w:color w:val="auto"/>
        </w:rPr>
      </w:pPr>
      <w:r>
        <w:rPr>
          <w:rFonts w:ascii="Arial" w:cs="Arial" w:eastAsia="Arial" w:hAnsi="Arial"/>
          <w:sz w:val="18"/>
          <w:szCs w:val="18"/>
          <w:b w:val="1"/>
          <w:bCs w:val="1"/>
          <w:color w:val="auto"/>
        </w:rPr>
        <w:t>GSV Asset Management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72"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GSV Asset Management has the right, under the Investment Advisory Agreement, to resign at any time upon not more than 60 days’ written notice, whether we have found a replacement or not. If GSV Asset Management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GSV Asset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98" w:lineRule="exact"/>
        <w:rPr>
          <w:sz w:val="20"/>
          <w:szCs w:val="20"/>
          <w:color w:val="auto"/>
        </w:rPr>
      </w:pPr>
    </w:p>
    <w:p>
      <w:pPr>
        <w:ind w:left="40" w:right="1359"/>
        <w:spacing w:after="0" w:line="282" w:lineRule="auto"/>
        <w:rPr>
          <w:sz w:val="20"/>
          <w:szCs w:val="20"/>
          <w:color w:val="auto"/>
        </w:rPr>
      </w:pPr>
      <w:r>
        <w:rPr>
          <w:rFonts w:ascii="Arial" w:cs="Arial" w:eastAsia="Arial" w:hAnsi="Arial"/>
          <w:sz w:val="18"/>
          <w:szCs w:val="18"/>
          <w:b w:val="1"/>
          <w:bCs w:val="1"/>
          <w:color w:val="auto"/>
        </w:rPr>
        <w:t>We may have difficulty paying our required distributions if we recognize income before or without receiving cash representing such income.</w:t>
      </w:r>
    </w:p>
    <w:p>
      <w:pPr>
        <w:spacing w:after="0" w:line="58"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64" w:lineRule="auto"/>
        <w:rPr>
          <w:sz w:val="20"/>
          <w:szCs w:val="20"/>
          <w:color w:val="auto"/>
        </w:rPr>
      </w:pPr>
      <w:r>
        <w:rPr>
          <w:rFonts w:ascii="Arial" w:cs="Arial" w:eastAsia="Arial" w:hAnsi="Arial"/>
          <w:sz w:val="18"/>
          <w:szCs w:val="18"/>
          <w:color w:val="auto"/>
        </w:rPr>
        <w:t>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96" w:lineRule="exact"/>
        <w:rPr>
          <w:sz w:val="20"/>
          <w:szCs w:val="20"/>
          <w:color w:val="auto"/>
        </w:rPr>
      </w:pPr>
    </w:p>
    <w:p>
      <w:pPr>
        <w:ind w:left="40" w:right="879"/>
        <w:spacing w:after="0" w:line="347" w:lineRule="auto"/>
        <w:rPr>
          <w:sz w:val="20"/>
          <w:szCs w:val="20"/>
          <w:color w:val="auto"/>
        </w:rPr>
      </w:pPr>
      <w:r>
        <w:rPr>
          <w:rFonts w:ascii="Arial" w:cs="Arial" w:eastAsia="Arial" w:hAnsi="Arial"/>
          <w:sz w:val="16"/>
          <w:szCs w:val="16"/>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1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We may in the future issue additional debt securities or preferred stock and/or borrow money from banks or other financial institutions, which we refer to collectively (along with the Convertible Senior Notes) as “senior securities,” up to the maximum amount permitted by the 1940 Act. Under the provisions of the 1940 Act, we are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8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All of the costs of offering and servicing the Convertible Senior Notes and any additional debt or preferred stock we may issue in the future, including interest or preferential dividend payments thereon, will be borne by our common stockholders. The interests of the holders of the Convertible Senior Notes, any additional debt or preferred stock we may issue will not necessarily be aligned with the interests of our common stockholders. In particular, the rights of holders of the Convertible Senior Notes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7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06" w:lineRule="exact"/>
        <w:rPr>
          <w:sz w:val="20"/>
          <w:szCs w:val="20"/>
          <w:color w:val="auto"/>
        </w:rPr>
      </w:pPr>
    </w:p>
    <w:p>
      <w:pPr>
        <w:jc w:val="both"/>
        <w:ind w:left="40" w:right="539"/>
        <w:spacing w:after="0" w:line="289" w:lineRule="auto"/>
        <w:rPr>
          <w:sz w:val="20"/>
          <w:szCs w:val="20"/>
          <w:color w:val="auto"/>
        </w:rPr>
      </w:pPr>
      <w:r>
        <w:rPr>
          <w:rFonts w:ascii="Arial" w:cs="Arial" w:eastAsia="Arial" w:hAnsi="Arial"/>
          <w:sz w:val="17"/>
          <w:szCs w:val="17"/>
          <w:b w:val="1"/>
          <w:bCs w:val="1"/>
          <w:color w:val="auto"/>
        </w:rPr>
        <w:t>In addition to regulatory requirements that restrict our ability to raise capital, the Convertible Senior Notes contain various covenants which, if not complied with, could require us to repurchase the Convertible Senior Notes, thereby materially and adversely affecting our liquidity, financial condition, results of operations and ability to pay dividends.</w:t>
      </w:r>
    </w:p>
    <w:p>
      <w:pPr>
        <w:spacing w:after="0" w:line="54"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The Convertible Senior Notes require us to comply with certain financial and operational covenants. These covenants require us to, among other things, maintain certain financial ratios, including asset coverage, debt to equity and interest coverage. 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from the lenders under the Convertible Senior Notes and accelerate repurchase of the Convertible Senior Notes, would have a material adverse impact on our liquidity, financial condition, results of operations and ability to pay dividends. In addition, holders of the Convertible Senior Notes will have the right to require us to repurchase the Convertible Senior Notes upon the occurrence of a fundamental</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19"/>
        <w:spacing w:after="0" w:line="308" w:lineRule="auto"/>
        <w:rPr>
          <w:sz w:val="20"/>
          <w:szCs w:val="20"/>
          <w:color w:val="auto"/>
        </w:rPr>
      </w:pPr>
      <w:r>
        <w:rPr>
          <w:rFonts w:ascii="Arial" w:cs="Arial" w:eastAsia="Arial" w:hAnsi="Arial"/>
          <w:sz w:val="17"/>
          <w:szCs w:val="17"/>
          <w:color w:val="auto"/>
        </w:rPr>
        <w:t>change at a repurchase price equal to 100% of their principal amount, plus accrued and unpaid interest, if any. We may not have enough available cash or be able to obtain financing at the time we are required to make repurchases.</w:t>
      </w:r>
    </w:p>
    <w:p>
      <w:pPr>
        <w:spacing w:after="0" w:line="62"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We will be subject to corporate-level U.S. federal income tax if we are profitable and are unable to qualify as a RIC, which could have a material adverse effect on us and our stockholders.</w:t>
      </w:r>
    </w:p>
    <w:p>
      <w:pPr>
        <w:spacing w:after="0" w:line="58"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For the fiscal year ended 2012, however, we failed to satisfy certain tests required for us to qualify as a RIC under the Code, and were therefore subject to corporate-level U.S. federal income tax. In September 2014, we filed our 2013 tax return as a RIC and sought to be granted RIC status for our 2013 taxable year; however, we determined we would not be eligible to elect to be treated as a RIC for the 2013 taxable year unless we were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In September 2015, we had not received such SEC Certification for our 2013 taxable year and we determined it was in the best interests of our stockholders to file the 2013 tax return as a C corporation. As of March 16, 2017, we had not received and do not anticipate receiving such SEC Certification for our 2013 taxable year. We do not intend to pursue this certification with the SEC. See “Business — Material U.S. Federal Income Tax Considerations” and “Note 1 — Nature of Operations and Significant Accounting Policies — Summary of Significant Accounting Policies — U.S. Federal and State Income Taxes” and “Note 8 — Income Taxes” to our consolidated financial statements for the year ended December 31, 2016 for more information.</w:t>
      </w:r>
    </w:p>
    <w:p>
      <w:pPr>
        <w:spacing w:after="0" w:line="64"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Management generally believes that it will be in our best interests to be treated a RIC in any year in which we are profitable. If we fail to qualify as a RIC for any year in which we are profitable and such profits exceed certain loss carryforwards that we are entitled to utilize, we will be subject to corporate-level U.S. federal income tax, which could substantially reduce our net assets, the amount of income available for distribution or reinvestment and the amount of our distributions. Such a failure could have a material adverse effect on us and our stockholders.</w:t>
      </w:r>
    </w:p>
    <w:p>
      <w:pPr>
        <w:spacing w:after="0" w:line="8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107" w:lineRule="exact"/>
        <w:rPr>
          <w:sz w:val="20"/>
          <w:szCs w:val="20"/>
          <w:color w:val="auto"/>
        </w:rPr>
      </w:pPr>
    </w:p>
    <w:p>
      <w:pPr>
        <w:jc w:val="both"/>
        <w:ind w:left="40" w:right="579"/>
        <w:spacing w:after="0" w:line="266" w:lineRule="auto"/>
        <w:rPr>
          <w:sz w:val="20"/>
          <w:szCs w:val="20"/>
          <w:color w:val="auto"/>
        </w:rPr>
      </w:pPr>
      <w:r>
        <w:rPr>
          <w:rFonts w:ascii="Arial" w:cs="Arial" w:eastAsia="Arial" w:hAnsi="Arial"/>
          <w:sz w:val="18"/>
          <w:szCs w:val="18"/>
          <w:b w:val="1"/>
          <w:bCs w:val="1"/>
          <w:color w:val="auto"/>
        </w:rPr>
        <w:t>In any year in which we intend to be treated as a RIC, we may be forced to dispose of investments at times when GSV Asset Management would not otherwise do so or raise additional capital at times when we would not otherwise do so, in each case in order to qualify for the special tax treatment accorded to RICs.</w:t>
      </w:r>
    </w:p>
    <w:p>
      <w:pPr>
        <w:spacing w:after="0" w:line="72"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55" w:lineRule="auto"/>
        <w:rPr>
          <w:sz w:val="20"/>
          <w:szCs w:val="20"/>
          <w:color w:val="auto"/>
        </w:rPr>
      </w:pPr>
      <w:r>
        <w:rPr>
          <w:rFonts w:ascii="Arial" w:cs="Arial" w:eastAsia="Arial" w:hAnsi="Arial"/>
          <w:sz w:val="18"/>
          <w:szCs w:val="18"/>
          <w:color w:val="auto"/>
        </w:rPr>
        <w:t>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108" w:lineRule="exact"/>
        <w:rPr>
          <w:sz w:val="20"/>
          <w:szCs w:val="20"/>
          <w:color w:val="auto"/>
        </w:rPr>
      </w:pPr>
    </w:p>
    <w:p>
      <w:pPr>
        <w:ind w:left="40" w:right="999"/>
        <w:spacing w:after="0" w:line="266" w:lineRule="auto"/>
        <w:rPr>
          <w:sz w:val="20"/>
          <w:szCs w:val="20"/>
          <w:color w:val="auto"/>
        </w:rPr>
      </w:pPr>
      <w:r>
        <w:rPr>
          <w:rFonts w:ascii="Arial" w:cs="Arial" w:eastAsia="Arial" w:hAnsi="Arial"/>
          <w:sz w:val="18"/>
          <w:szCs w:val="18"/>
          <w:b w:val="1"/>
          <w:b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72"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We have elected to be taxed for U.S. federal income tax purposes as a RIC under Subchapter M of the Code. If we meet certain requirements, including source of income, asset diversification and distribution requirements, and if we continue to qualify as a business development company, we will continue to qualify to be a RIC under the Code and will not have to pay corporate-level income taxes on income we distribute to our stockholders as dividends, allowing us to substantially reduce or eliminate our U.S. federal corporate-level income tax liability. As a business development company, we are generally required to meet a coverage ratio of total assets to total senior securities, which includes all of our borrowings and any preferred stock we may issue in the future, of at least 200%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business development company,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03" w:lineRule="exact"/>
        <w:rPr>
          <w:sz w:val="20"/>
          <w:szCs w:val="20"/>
          <w:color w:val="auto"/>
        </w:rPr>
      </w:pPr>
    </w:p>
    <w:p>
      <w:pPr>
        <w:ind w:left="40" w:right="539"/>
        <w:spacing w:after="0" w:line="282" w:lineRule="auto"/>
        <w:rPr>
          <w:sz w:val="20"/>
          <w:szCs w:val="20"/>
          <w:color w:val="auto"/>
        </w:rPr>
      </w:pPr>
      <w:r>
        <w:rPr>
          <w:rFonts w:ascii="Arial" w:cs="Arial" w:eastAsia="Arial" w:hAnsi="Arial"/>
          <w:sz w:val="18"/>
          <w:szCs w:val="18"/>
          <w:b w:val="1"/>
          <w:bCs w:val="1"/>
          <w:color w:val="auto"/>
        </w:rPr>
        <w:t>We may continue to choose to pay dividends in our common stock, in which case you may be required to pay tax in excess of the cash you receive.</w:t>
      </w:r>
    </w:p>
    <w:p>
      <w:pPr>
        <w:spacing w:after="0" w:line="58"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We have in the past, and may continue to, distribute taxable dividends that are payable in part in shares of our common stock. For example, on November 4, 2015, our Board of Directors declared a dividend of $2.76 per share to stockholders, paid in part cash and part shares of our common stock on December 31, 2015. In accordance with certain applicable Treasury regulations and private letter rulings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common stock). In no event will any stockholder, electing to receive cash, receive less than 20% of his or her entire distribution in cash.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Even in the event the value of your investment declines, the base management fee will still be payable.</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Under the terms of the Investment Advisory Agreement, the base management fee is calculated at an annual rate of 2.0% of the value of our gross assets, which we pay monthly in arrears. Effective January 1, 2017 through December 31, 2017, however, pursuant to a voluntary waiver by GSV Asset Management, we will pay GSV Asset Management a base management fee of 1.75%, a 0.25% reduction from the 2.0% base management fee payable under the Investment Advisory Agreement. This waiver of a portion of the base management fee is not subject to recourse against or reimbursement by us.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121"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15" w:lineRule="exact"/>
        <w:rPr>
          <w:sz w:val="20"/>
          <w:szCs w:val="20"/>
          <w:color w:val="auto"/>
        </w:rPr>
      </w:pPr>
    </w:p>
    <w:p>
      <w:pPr>
        <w:ind w:left="40" w:right="1139"/>
        <w:spacing w:after="0" w:line="313" w:lineRule="auto"/>
        <w:rPr>
          <w:sz w:val="20"/>
          <w:szCs w:val="20"/>
          <w:color w:val="auto"/>
        </w:rPr>
      </w:pPr>
      <w:r>
        <w:rPr>
          <w:rFonts w:ascii="Arial" w:cs="Arial" w:eastAsia="Arial" w:hAnsi="Arial"/>
          <w:sz w:val="17"/>
          <w:szCs w:val="17"/>
          <w:b w:val="1"/>
          <w:bCs w:val="1"/>
          <w:color w:val="auto"/>
        </w:rPr>
        <w:t>We may in the future determine to fund a portion of our investments with preferred stock, which would magnify the potential for gain or loss and the risks of investing in us in the same way as our borrowings.</w:t>
      </w:r>
    </w:p>
    <w:p>
      <w:pPr>
        <w:spacing w:after="0" w:line="34"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03" w:lineRule="exact"/>
        <w:rPr>
          <w:sz w:val="20"/>
          <w:szCs w:val="20"/>
          <w:color w:val="auto"/>
        </w:rPr>
      </w:pPr>
    </w:p>
    <w:p>
      <w:pPr>
        <w:ind w:left="40" w:right="739"/>
        <w:spacing w:after="0" w:line="282" w:lineRule="auto"/>
        <w:rPr>
          <w:sz w:val="20"/>
          <w:szCs w:val="20"/>
          <w:color w:val="auto"/>
        </w:rPr>
      </w:pPr>
      <w:r>
        <w:rPr>
          <w:rFonts w:ascii="Arial" w:cs="Arial" w:eastAsia="Arial" w:hAnsi="Arial"/>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58"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039"/>
        <w:spacing w:after="0" w:line="282" w:lineRule="auto"/>
        <w:rPr>
          <w:sz w:val="20"/>
          <w:szCs w:val="20"/>
          <w:color w:val="auto"/>
        </w:rPr>
      </w:pPr>
      <w:r>
        <w:rPr>
          <w:rFonts w:ascii="Arial" w:cs="Arial" w:eastAsia="Arial" w:hAnsi="Arial"/>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58" w:lineRule="exact"/>
        <w:rPr>
          <w:sz w:val="20"/>
          <w:szCs w:val="20"/>
          <w:color w:val="auto"/>
        </w:rPr>
      </w:pPr>
    </w:p>
    <w:p>
      <w:pPr>
        <w:ind w:left="40" w:right="859" w:firstLine="270"/>
        <w:spacing w:after="0" w:line="257"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17" w:lineRule="exact"/>
        <w:rPr>
          <w:sz w:val="20"/>
          <w:szCs w:val="20"/>
          <w:color w:val="auto"/>
        </w:rPr>
      </w:pPr>
    </w:p>
    <w:p>
      <w:pPr>
        <w:ind w:left="40" w:right="839"/>
        <w:spacing w:after="0" w:line="282"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58"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111" w:lineRule="exact"/>
        <w:rPr>
          <w:sz w:val="20"/>
          <w:szCs w:val="20"/>
          <w:color w:val="auto"/>
        </w:rPr>
      </w:pPr>
    </w:p>
    <w:p>
      <w:pPr>
        <w:ind w:left="40" w:right="679"/>
        <w:spacing w:after="0" w:line="313" w:lineRule="auto"/>
        <w:rPr>
          <w:sz w:val="20"/>
          <w:szCs w:val="20"/>
          <w:color w:val="auto"/>
        </w:rPr>
      </w:pPr>
      <w:r>
        <w:rPr>
          <w:rFonts w:ascii="Arial" w:cs="Arial" w:eastAsia="Arial" w:hAnsi="Arial"/>
          <w:sz w:val="17"/>
          <w:szCs w:val="17"/>
          <w:b w:val="1"/>
          <w:b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34"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64"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117"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85" w:lineRule="exact"/>
        <w:rPr>
          <w:sz w:val="20"/>
          <w:szCs w:val="20"/>
          <w:color w:val="auto"/>
        </w:rPr>
      </w:pPr>
    </w:p>
    <w:p>
      <w:pPr>
        <w:ind w:left="40" w:right="699"/>
        <w:spacing w:after="0" w:line="282" w:lineRule="auto"/>
        <w:rPr>
          <w:sz w:val="20"/>
          <w:szCs w:val="20"/>
          <w:color w:val="auto"/>
        </w:rPr>
      </w:pPr>
      <w:r>
        <w:rPr>
          <w:rFonts w:ascii="Arial" w:cs="Arial" w:eastAsia="Arial" w:hAnsi="Arial"/>
          <w:sz w:val="18"/>
          <w:szCs w:val="18"/>
          <w:b w:val="1"/>
          <w:bCs w:val="1"/>
          <w:color w:val="auto"/>
        </w:rPr>
        <w:t>Terrorist attacks, acts of war or natural disasters may affect any market for our securities, impact the businesses in which we invest and harm our business, operating results and financial condition.</w:t>
      </w:r>
    </w:p>
    <w:p>
      <w:pPr>
        <w:spacing w:after="0" w:line="58"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face cyber-security risks.</w:t>
      </w:r>
    </w:p>
    <w:p>
      <w:pPr>
        <w:spacing w:after="0" w:line="121" w:lineRule="exact"/>
        <w:rPr>
          <w:sz w:val="20"/>
          <w:szCs w:val="20"/>
          <w:color w:val="auto"/>
        </w:rPr>
      </w:pPr>
    </w:p>
    <w:p>
      <w:pPr>
        <w:ind w:left="40" w:right="759" w:firstLine="270"/>
        <w:spacing w:after="0" w:line="302" w:lineRule="auto"/>
        <w:rPr>
          <w:sz w:val="20"/>
          <w:szCs w:val="20"/>
          <w:color w:val="auto"/>
        </w:rPr>
      </w:pPr>
      <w:r>
        <w:rPr>
          <w:rFonts w:ascii="Arial" w:cs="Arial" w:eastAsia="Arial" w:hAnsi="Arial"/>
          <w:sz w:val="16"/>
          <w:szCs w:val="16"/>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83" w:lineRule="exact"/>
        <w:rPr>
          <w:sz w:val="20"/>
          <w:szCs w:val="20"/>
          <w:color w:val="auto"/>
        </w:rPr>
      </w:pPr>
    </w:p>
    <w:p>
      <w:pPr>
        <w:ind w:left="40" w:right="579"/>
        <w:spacing w:after="0" w:line="313" w:lineRule="auto"/>
        <w:rPr>
          <w:sz w:val="20"/>
          <w:szCs w:val="20"/>
          <w:color w:val="auto"/>
        </w:rPr>
      </w:pPr>
      <w:r>
        <w:rPr>
          <w:rFonts w:ascii="Arial" w:cs="Arial" w:eastAsia="Arial" w:hAnsi="Arial"/>
          <w:sz w:val="17"/>
          <w:szCs w:val="17"/>
          <w:b w:val="1"/>
          <w:bCs w:val="1"/>
          <w:color w:val="auto"/>
        </w:rPr>
        <w:t>The failure in cyber security systems, as well as the occurrence of events unanticipated in our disaster recovery systems and management continuity planning could impair our ability to conduct business effectively.</w:t>
      </w:r>
    </w:p>
    <w:p>
      <w:pPr>
        <w:spacing w:after="0" w:line="34"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our managers were unavailable in the event of a disaster, our ability to effectively conduct our business could be severely compromised.</w:t>
      </w:r>
    </w:p>
    <w:p>
      <w:pPr>
        <w:spacing w:after="0" w:line="50"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stockholders may experience dilution upon the conversion of our Convertible Senior Notes.</w:t>
      </w:r>
    </w:p>
    <w:p>
      <w:pPr>
        <w:spacing w:after="0" w:line="121"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Our Convertible Senior Notes are convertible into shares of our common stock. Upon conversion, we must deliver shares of our common stock. The conversion rate of our Convertible Senior Notes is 83.3596 shares of common stock per $1,000 principal amount of the Convertible Senior Notes, which is equivalent to a conversion price of approximately $12.00 per share of common stock. Based on the current conversion rate, the maximum number of shares of common stock that would be issued upon conversion of the $69.0 million convertible debt currently outstanding is 5,751,815. If we deliver shares of common stock upon a conversion at the time our net asset value per share exceeds the conversion price in effect at such time, our stockholders will incur dilution. In addition, our stockholders will experience dilution in their ownership percentage of our common stock upon our issuance of common stock in connection with the conversion of our Convertible Senior Notes and any dividends paid on our common stock will also be paid on shares issued in connection with such conversion after such issuance.</w:t>
      </w:r>
    </w:p>
    <w:p>
      <w:pPr>
        <w:spacing w:after="0" w:line="95" w:lineRule="exact"/>
        <w:rPr>
          <w:sz w:val="20"/>
          <w:szCs w:val="20"/>
          <w:color w:val="auto"/>
        </w:rPr>
      </w:pPr>
    </w:p>
    <w:p>
      <w:pPr>
        <w:jc w:val="both"/>
        <w:ind w:left="40" w:right="1039"/>
        <w:spacing w:after="0" w:line="266" w:lineRule="auto"/>
        <w:rPr>
          <w:sz w:val="20"/>
          <w:szCs w:val="20"/>
          <w:color w:val="auto"/>
        </w:rPr>
      </w:pPr>
      <w:r>
        <w:rPr>
          <w:rFonts w:ascii="Arial" w:cs="Arial" w:eastAsia="Arial" w:hAnsi="Arial"/>
          <w:sz w:val="18"/>
          <w:szCs w:val="18"/>
          <w:b w:val="1"/>
          <w:bCs w:val="1"/>
          <w:color w:val="auto"/>
        </w:rPr>
        <w:t>We may not have, or have the ability to raise, the funds necessary to repurchase our Convertible Senior Notes upon a fundamental change, and our debt may contain limitations on our ability to deliver shares of our common stock upon conversion or pay cash upon repurchase of our Convertible Senior Notes.</w:t>
      </w:r>
    </w:p>
    <w:p>
      <w:pPr>
        <w:spacing w:after="0" w:line="72"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Holders of our Convertible Senior Notes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Convertible Senior Notes surrendered therefor. In addition, our ability to repurchase our Convertible Senior Notes or deliver shares of our common stock upon conversions of the Convertible Senior Notes may be limited by law, by regulatory authority or by agreements governing our indebtedness. Our failure to</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spacing w:after="0" w:line="273" w:lineRule="auto"/>
        <w:rPr>
          <w:sz w:val="20"/>
          <w:szCs w:val="20"/>
          <w:color w:val="auto"/>
        </w:rPr>
      </w:pPr>
      <w:r>
        <w:rPr>
          <w:rFonts w:ascii="Arial" w:cs="Arial" w:eastAsia="Arial" w:hAnsi="Arial"/>
          <w:sz w:val="17"/>
          <w:szCs w:val="17"/>
          <w:color w:val="auto"/>
        </w:rPr>
        <w:t>repurchase the notes at a time when the repurchase is required by the indenture relating to the Convertible Senior Notes or to deliver any shares of our common stock deliverable on future conversions of the Convertible Senior Notes as required by the indenture would constitute a default under the indenture. A default under the indenture or the occurrence of a fundamental change itself could also lead to a default under agreements governing our indebtedness. If the repayment of the related indebtedness were to be accelerated after any applicable notice or grace periods, we may not have sufficient funds to repay the indebtedness and repurchase our Convertible Senior Notes.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Provisions of our Convertible Senior Notes could discourage an acquisition of us by a third party.</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Certain provisions of our Convertible Senior Notes could make it more difficult or more expensive for a third party to acquire us. Upon the occurrence of a fundamental change, the holders of our Convertible Senior Notes will have the right, at their option, to require us to repurchase all or a portion of their Convertible Senior Notes, plus accrued and unpaid interest. We may also be required to increase the conversion rate of the Convertible Senior Notes in certain other circumstances, including in the event of certain fundamental changes. These provisions could discourage an acquisition of us by a third party.</w:t>
      </w:r>
    </w:p>
    <w:p>
      <w:pPr>
        <w:spacing w:after="0" w:line="101" w:lineRule="exact"/>
        <w:rPr>
          <w:sz w:val="20"/>
          <w:szCs w:val="20"/>
          <w:color w:val="auto"/>
        </w:rPr>
      </w:pPr>
    </w:p>
    <w:p>
      <w:pPr>
        <w:ind w:left="40" w:right="619"/>
        <w:spacing w:after="0" w:line="282" w:lineRule="auto"/>
        <w:rPr>
          <w:sz w:val="20"/>
          <w:szCs w:val="20"/>
          <w:color w:val="auto"/>
        </w:rPr>
      </w:pPr>
      <w:r>
        <w:rPr>
          <w:rFonts w:ascii="Arial" w:cs="Arial" w:eastAsia="Arial" w:hAnsi="Arial"/>
          <w:sz w:val="18"/>
          <w:szCs w:val="18"/>
          <w:b w:val="1"/>
          <w:bCs w:val="1"/>
          <w:color w:val="auto"/>
        </w:rPr>
        <w:t>Certain adverse consequences could result if our Convertible Senior Notes are treated as equity interests in us for purposes of regulations under the Employee Retirement Income Security Act of 1974.</w:t>
      </w:r>
    </w:p>
    <w:p>
      <w:pPr>
        <w:spacing w:after="0" w:line="58"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Pursuant to regulations under the Employee Retirement Income Security Act of 1974 (“ERISA”), it is possible that, due to their convertibility feature, our Convertible Senior Notes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our Convertible Senior Notes,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parties-in-interest or disqualified persons by virtue of their provision of such services.</w:t>
      </w:r>
    </w:p>
    <w:p>
      <w:pPr>
        <w:spacing w:after="0" w:line="67" w:lineRule="exact"/>
        <w:rPr>
          <w:sz w:val="20"/>
          <w:szCs w:val="20"/>
          <w:color w:val="auto"/>
        </w:rPr>
      </w:pPr>
    </w:p>
    <w:p>
      <w:pPr>
        <w:ind w:left="40" w:right="539" w:firstLine="270"/>
        <w:spacing w:after="0" w:line="308" w:lineRule="auto"/>
        <w:rPr>
          <w:sz w:val="20"/>
          <w:szCs w:val="20"/>
          <w:color w:val="auto"/>
        </w:rPr>
      </w:pPr>
      <w:r>
        <w:rPr>
          <w:rFonts w:ascii="Arial" w:cs="Arial" w:eastAsia="Arial" w:hAnsi="Arial"/>
          <w:sz w:val="17"/>
          <w:szCs w:val="17"/>
          <w:color w:val="auto"/>
        </w:rPr>
        <w:t>We do not believe that our Convertible Senior Notes should be treated as equity interests in us for purposes of ERISA in light of the relevant regulations. No assurance can be given, however, that our Convertible Senior Notes will not be so treated.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accounting for convertible debt securities is complex and subject to uncertainty.</w:t>
      </w:r>
    </w:p>
    <w:p>
      <w:pPr>
        <w:spacing w:after="0" w:line="121"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accounting for convertible debt securities is complex and subject to frequent scrutiny by the accounting regulatory bodies and is subject to change. The issuance of our Convertible Senior Notes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common stock price may be volatile and may decrease substantially.</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79"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55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RICs, business development companies or other financial services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business development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117" w:lineRule="exact"/>
        <w:rPr>
          <w:rFonts w:ascii="Arial" w:cs="Arial" w:eastAsia="Arial" w:hAnsi="Arial"/>
          <w:sz w:val="18"/>
          <w:szCs w:val="18"/>
          <w:color w:val="auto"/>
        </w:rPr>
      </w:pPr>
    </w:p>
    <w:p>
      <w:pPr>
        <w:ind w:left="600" w:right="105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 or changes in the expectations of securities analysts;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departures of any of the senior investment professionals of GSV Asset Management.</w:t>
      </w:r>
    </w:p>
    <w:p>
      <w:pPr>
        <w:spacing w:after="0" w:line="117" w:lineRule="exact"/>
        <w:rPr>
          <w:sz w:val="20"/>
          <w:szCs w:val="20"/>
          <w:color w:val="auto"/>
        </w:rPr>
      </w:pPr>
    </w:p>
    <w:p>
      <w:pPr>
        <w:ind w:left="40" w:right="859" w:firstLine="27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15" w:lineRule="exact"/>
        <w:rPr>
          <w:sz w:val="20"/>
          <w:szCs w:val="20"/>
          <w:color w:val="auto"/>
        </w:rPr>
      </w:pPr>
    </w:p>
    <w:p>
      <w:pPr>
        <w:ind w:left="40" w:right="1039"/>
        <w:spacing w:after="0" w:line="282" w:lineRule="auto"/>
        <w:rPr>
          <w:sz w:val="20"/>
          <w:szCs w:val="20"/>
          <w:color w:val="auto"/>
        </w:rPr>
      </w:pPr>
      <w:r>
        <w:rPr>
          <w:rFonts w:ascii="Arial" w:cs="Arial" w:eastAsia="Arial" w:hAnsi="Arial"/>
          <w:sz w:val="18"/>
          <w:szCs w:val="18"/>
          <w:b w:val="1"/>
          <w:bCs w:val="1"/>
          <w:color w:val="auto"/>
        </w:rPr>
        <w:t>Shares of our common stock have recently traded, and may in the future trade, at discounts from net asset value or at premiums that may prove to be unsustainable.</w:t>
      </w:r>
    </w:p>
    <w:p>
      <w:pPr>
        <w:spacing w:after="0" w:line="58"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70" w:lineRule="exact"/>
        <w:rPr>
          <w:sz w:val="20"/>
          <w:szCs w:val="20"/>
          <w:color w:val="auto"/>
        </w:rPr>
      </w:pPr>
    </w:p>
    <w:p>
      <w:pPr>
        <w:ind w:left="40" w:right="699" w:firstLine="270"/>
        <w:spacing w:after="0" w:line="291" w:lineRule="auto"/>
        <w:rPr>
          <w:sz w:val="20"/>
          <w:szCs w:val="20"/>
          <w:color w:val="auto"/>
        </w:rPr>
      </w:pPr>
      <w:r>
        <w:rPr>
          <w:rFonts w:ascii="Arial" w:cs="Arial" w:eastAsia="Arial" w:hAnsi="Arial"/>
          <w:sz w:val="16"/>
          <w:szCs w:val="16"/>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15, 2017, the closing price of our common stock on the Nasdaq Capital Market was $5.37 per share, which represented an approximately 38.0% discount to our net asset value of $8.66 per share as of December 31, 2016.</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979"/>
        <w:spacing w:after="0" w:line="282" w:lineRule="auto"/>
        <w:rPr>
          <w:sz w:val="20"/>
          <w:szCs w:val="20"/>
          <w:color w:val="auto"/>
        </w:rPr>
      </w:pPr>
      <w:r>
        <w:rPr>
          <w:rFonts w:ascii="Arial" w:cs="Arial" w:eastAsia="Arial" w:hAnsi="Arial"/>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58"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101" w:lineRule="exact"/>
        <w:rPr>
          <w:sz w:val="20"/>
          <w:szCs w:val="20"/>
          <w:color w:val="auto"/>
        </w:rPr>
      </w:pPr>
    </w:p>
    <w:p>
      <w:pPr>
        <w:ind w:left="40" w:right="1219"/>
        <w:spacing w:after="0" w:line="282" w:lineRule="auto"/>
        <w:rPr>
          <w:sz w:val="20"/>
          <w:szCs w:val="20"/>
          <w:color w:val="auto"/>
        </w:rPr>
      </w:pPr>
      <w:r>
        <w:rPr>
          <w:rFonts w:ascii="Arial" w:cs="Arial" w:eastAsia="Arial" w:hAnsi="Arial"/>
          <w:sz w:val="18"/>
          <w:szCs w:val="18"/>
          <w:b w:val="1"/>
          <w:bCs w:val="1"/>
          <w:color w:val="auto"/>
        </w:rPr>
        <w:t>We have broad discretion over the use of proceeds from our offerings, to the extent they are successful, and will use proceeds in part to satisfy operating expenses.</w:t>
      </w:r>
    </w:p>
    <w:p>
      <w:pPr>
        <w:spacing w:after="0" w:line="58"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879" w:firstLine="270"/>
        <w:spacing w:after="0" w:line="312" w:lineRule="auto"/>
        <w:rPr>
          <w:sz w:val="20"/>
          <w:szCs w:val="20"/>
          <w:color w:val="auto"/>
        </w:rPr>
      </w:pPr>
      <w:r>
        <w:rPr>
          <w:rFonts w:ascii="Arial" w:cs="Arial" w:eastAsia="Arial" w:hAnsi="Arial"/>
          <w:sz w:val="16"/>
          <w:szCs w:val="16"/>
          <w:color w:val="auto"/>
        </w:rPr>
        <w:t>Our corporate headquarters are located at 2925 Woodside Road, Woodside, California, 94062, in the offices of GSV Asset Management. We do not own or lease any office space directly; however, we will pay a portion of the rent as allocated to us by GSV Capital Service Company. Our office facilities are suitable and adequate for our business as it is presently conducted.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color w:val="auto"/>
        </w:rPr>
        <w:t>Our common stock is traded on the Nasdaq Capital Market under the symbol “GSVC.” The following table sets forth the high and low closing prices for our common stock for each fiscal quarter for the years ended December 31, 2016 and 2015. As required by the instructions to Item 201 of Regulation S-K, the closing market prices reported below have been adjusted to give retroactive effect to material changes resulting from stock dividends. The reported closing market price of our common stock on March 15, 2017 was $5.37.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96"/>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2016</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13, 2017, there were 3 holders of record of our common stock (including Cede &amp; Co.).</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68" w:lineRule="auto"/>
        <w:rPr>
          <w:sz w:val="20"/>
          <w:szCs w:val="20"/>
          <w:color w:val="auto"/>
        </w:rPr>
      </w:pPr>
      <w:r>
        <w:rPr>
          <w:rFonts w:ascii="Arial" w:cs="Arial" w:eastAsia="Arial" w:hAnsi="Arial"/>
          <w:sz w:val="17"/>
          <w:szCs w:val="17"/>
          <w:color w:val="auto"/>
        </w:rPr>
        <w:t>We have elected to be treated as a RIC under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also may be eligible to claim a tax credit (or, in certain circumstances, a tax refund) equal to the allocable share of the tax we paid on the capital gains deemed distributed to them. See “Business —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2016.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10"/>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6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August 16, 2016</w:t>
            </w:r>
          </w:p>
        </w:tc>
        <w:tc>
          <w:tcPr>
            <w:tcW w:w="16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2"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69" w:lineRule="exact"/>
        <w:rPr>
          <w:rFonts w:ascii="Arial" w:cs="Arial" w:eastAsia="Arial" w:hAnsi="Arial"/>
          <w:sz w:val="17"/>
          <w:szCs w:val="17"/>
          <w:color w:val="auto"/>
        </w:rPr>
      </w:pPr>
    </w:p>
    <w:p>
      <w:pPr>
        <w:ind w:left="300" w:right="679" w:hanging="27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62" w:lineRule="exact"/>
        <w:rPr>
          <w:sz w:val="20"/>
          <w:szCs w:val="20"/>
          <w:color w:val="auto"/>
        </w:rPr>
      </w:pPr>
    </w:p>
    <w:p>
      <w:pPr>
        <w:ind w:left="60" w:right="7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85" w:lineRule="exact"/>
        <w:rPr>
          <w:sz w:val="20"/>
          <w:szCs w:val="20"/>
          <w:color w:val="auto"/>
        </w:rPr>
      </w:pPr>
    </w:p>
    <w:p>
      <w:pPr>
        <w:ind w:left="60" w:right="559" w:firstLine="270"/>
        <w:spacing w:after="0" w:line="287" w:lineRule="auto"/>
        <w:rPr>
          <w:sz w:val="20"/>
          <w:szCs w:val="20"/>
          <w:color w:val="auto"/>
        </w:rPr>
      </w:pPr>
      <w:r>
        <w:rPr>
          <w:rFonts w:ascii="Arial" w:cs="Arial" w:eastAsia="Arial" w:hAnsi="Arial"/>
          <w:sz w:val="16"/>
          <w:szCs w:val="16"/>
          <w:color w:val="auto"/>
        </w:rPr>
        <w:t>Our current intention is to make any distributions out of assets legally available in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it will not receive a corresponding cash distribution. In addition, reinvested dividends have the effect of increasing our gross assets, which may correspondingly increase the management fee payable to GSV Asset Management. If stockholders hold shares in the name of a broker or financial intermediary, they should contact the broker or financial intermediary regarding their election to receive distributions in cash.</w:t>
      </w: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2016. The graph assumes that, on December 31, 2011, a person invested $100.00 in our common stock, at the closing price of our common stock on December 31, 2011,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5600065" cy="30016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006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12/31/11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12/31/12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12/31/13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12/31/14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12/31/16</w:t>
            </w: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149.72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179.50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192.97</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w:t>
            </w:r>
          </w:p>
        </w:tc>
      </w:tr>
    </w:tbl>
    <w:p>
      <w:pPr>
        <w:spacing w:after="0" w:line="94"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In connection with the cash and stock distribution declared by our board of directors on November 4, 2015 and paid on December 31, 2015, and as a result of the election of stockholders, we issued 2,860,903 shares of common stock, or approximately 14.8% of our outstanding shares prior to the distribution, at a price of $9.425 per share, which equaled the average of the volume weighted-average trading price per share of our common stock on December 28, 29 and 30, 2015. We have reported all other sales of our unregistered equity securities that occurred during the period covered by this report in our reports on Form 10-Q or Form 8-K, as applicable.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 w:right="919" w:firstLine="270"/>
        <w:spacing w:after="0" w:line="259" w:lineRule="auto"/>
        <w:rPr>
          <w:sz w:val="20"/>
          <w:szCs w:val="20"/>
          <w:color w:val="auto"/>
        </w:rPr>
      </w:pPr>
      <w:r>
        <w:rPr>
          <w:rFonts w:ascii="Arial" w:cs="Arial" w:eastAsia="Arial" w:hAnsi="Arial"/>
          <w:sz w:val="18"/>
          <w:szCs w:val="18"/>
          <w:color w:val="auto"/>
        </w:rPr>
        <w:t>The following selected financial and other data for the fiscal years ended December 31, 2016, 2015, 2014, 2013 and 2012, respectively, have been derived from our audited financial statements. The data should be read in conjunction with our audited financial statements and notes thereto and “Management’s Discussion and Analysis of Financial Condition and Results of Operations,” which are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31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As of and for</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the year ended</w:t>
            </w: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the 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19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Total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736,283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290,896</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185,946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48,951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248,077</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1,999,646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26,978,235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21,775,939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22,083,875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8,530,958</w:t>
            </w:r>
          </w:p>
        </w:tc>
      </w:tr>
      <w:tr>
        <w:trPr>
          <w:trHeight w:val="193"/>
        </w:trPr>
        <w:tc>
          <w:tcPr>
            <w:tcW w:w="3200" w:type="dxa"/>
            <w:vAlign w:val="bottom"/>
            <w:gridSpan w:val="3"/>
          </w:tcPr>
          <w:p>
            <w:pPr>
              <w:ind w:left="20"/>
              <w:spacing w:after="0"/>
              <w:rPr>
                <w:sz w:val="20"/>
                <w:szCs w:val="20"/>
                <w:color w:val="auto"/>
              </w:rPr>
            </w:pPr>
            <w:r>
              <w:rPr>
                <w:rFonts w:ascii="Arial" w:cs="Arial" w:eastAsia="Arial" w:hAnsi="Arial"/>
                <w:sz w:val="16"/>
                <w:szCs w:val="16"/>
                <w:color w:val="auto"/>
                <w:w w:val="96"/>
              </w:rPr>
              <w:t>(Provision)/Benefit for taxes on net investment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6"/>
                <w:szCs w:val="16"/>
                <w:color w:val="auto"/>
              </w:rPr>
              <w:t>loss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(21,969,370)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8,810,102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13,159,268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investment loss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(1,263,363)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(48,656,709)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(12,779,891)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(8,875,656)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(8,282,881)</w:t>
            </w: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Net realized gain (loss) on investments</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(2,634,471)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54,144,229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23,926,124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(21,706,021)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(1,380,519)</w:t>
            </w:r>
          </w:p>
        </w:tc>
      </w:tr>
      <w:tr>
        <w:trPr>
          <w:trHeight w:val="19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(Provision)/Benefit for taxes on net realized</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losses/gains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(9,769,036)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9,426,234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Net change in unrealized</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6"/>
                <w:szCs w:val="16"/>
                <w:color w:val="auto"/>
              </w:rPr>
              <w:t>appreciation/(depreciation) of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(73,213,845)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(13,422,245)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(5,811,797)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87,445,149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(10,170,850)</w:t>
            </w:r>
          </w:p>
        </w:tc>
      </w:tr>
      <w:tr>
        <w:trPr>
          <w:trHeight w:val="19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(Provision)/Benefit for taxes on unrealized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appreciation/depreciation of investments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2,116,784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16,058,080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2,371,829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(30,906,063)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3200" w:type="dxa"/>
            <w:vAlign w:val="bottom"/>
            <w:gridSpan w:val="3"/>
          </w:tcPr>
          <w:p>
            <w:pPr>
              <w:ind w:left="20"/>
              <w:spacing w:after="0"/>
              <w:rPr>
                <w:sz w:val="20"/>
                <w:szCs w:val="20"/>
                <w:color w:val="auto"/>
              </w:rPr>
            </w:pPr>
            <w:r>
              <w:rPr>
                <w:rFonts w:ascii="Arial" w:cs="Arial" w:eastAsia="Arial" w:hAnsi="Arial"/>
                <w:sz w:val="16"/>
                <w:szCs w:val="16"/>
                <w:color w:val="auto"/>
                <w:w w:val="95"/>
              </w:rPr>
              <w:t>Net increase/(decrease) in net assets resulting</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6"/>
                <w:szCs w:val="16"/>
                <w:color w:val="auto"/>
              </w:rPr>
              <w:t>from operations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(74,994,895)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8,466,157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(2,062,771)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35,383,643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(19,834,250)</w:t>
            </w:r>
          </w:p>
        </w:tc>
      </w:tr>
      <w:tr>
        <w:trPr>
          <w:trHeight w:val="20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3"/>
        </w:trPr>
        <w:tc>
          <w:tcPr>
            <w:tcW w:w="3200" w:type="dxa"/>
            <w:vAlign w:val="bottom"/>
            <w:gridSpan w:val="3"/>
          </w:tcPr>
          <w:p>
            <w:pPr>
              <w:ind w:left="20"/>
              <w:spacing w:after="0"/>
              <w:rPr>
                <w:sz w:val="20"/>
                <w:szCs w:val="20"/>
                <w:color w:val="auto"/>
              </w:rPr>
            </w:pPr>
            <w:r>
              <w:rPr>
                <w:rFonts w:ascii="Arial" w:cs="Arial" w:eastAsia="Arial" w:hAnsi="Arial"/>
                <w:sz w:val="16"/>
                <w:szCs w:val="16"/>
                <w:color w:val="auto"/>
                <w:w w:val="95"/>
              </w:rPr>
              <w:t>Net increase (decrease) in net assets resulting</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6"/>
                <w:szCs w:val="16"/>
                <w:color w:val="auto"/>
              </w:rPr>
              <w:t>from operations per average share: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i w:val="1"/>
                <w:iCs w:val="1"/>
                <w:color w:val="auto"/>
              </w:rPr>
              <w:t>Weighted-Average Common Shares: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22,181,003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19,327,938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19,320,100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16,096,330</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19,327,938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20,541,014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16,096,330</w:t>
            </w:r>
          </w:p>
        </w:tc>
      </w:tr>
      <w:tr>
        <w:trPr>
          <w:trHeight w:val="243"/>
        </w:trPr>
        <w:tc>
          <w:tcPr>
            <w:tcW w:w="320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Net asset value per share</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13.07</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Market price at year-end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Distributions declared</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Shares Outstanding at year end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19,320,100</w:t>
            </w:r>
          </w:p>
        </w:tc>
      </w:tr>
      <w:tr>
        <w:trPr>
          <w:trHeight w:val="203"/>
        </w:trPr>
        <w:tc>
          <w:tcPr>
            <w:tcW w:w="320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320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Total assets</w:t>
            </w:r>
            <w:r>
              <w:rPr>
                <w:rFonts w:ascii="Arial" w:cs="Arial" w:eastAsia="Arial" w:hAnsi="Arial"/>
                <w:sz w:val="27"/>
                <w:szCs w:val="27"/>
                <w:color w:val="auto"/>
                <w:vertAlign w:val="superscript"/>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300,964,426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397,843,071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482,979,027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374,569,437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253,130,728</w:t>
            </w:r>
          </w:p>
        </w:tc>
      </w:tr>
      <w:tr>
        <w:trPr>
          <w:trHeight w:val="193"/>
        </w:trPr>
        <w:tc>
          <w:tcPr>
            <w:tcW w:w="3200" w:type="dxa"/>
            <w:vAlign w:val="bottom"/>
            <w:gridSpan w:val="3"/>
          </w:tcPr>
          <w:p>
            <w:pPr>
              <w:ind w:left="20"/>
              <w:spacing w:after="0"/>
              <w:rPr>
                <w:sz w:val="20"/>
                <w:szCs w:val="20"/>
                <w:color w:val="auto"/>
              </w:rPr>
            </w:pPr>
            <w:r>
              <w:rPr>
                <w:rFonts w:ascii="Arial" w:cs="Arial" w:eastAsia="Arial" w:hAnsi="Arial"/>
                <w:sz w:val="16"/>
                <w:szCs w:val="16"/>
                <w:color w:val="auto"/>
                <w:w w:val="95"/>
              </w:rPr>
              <w:t>Convertible Senior Notes embedded derivative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Arial" w:cs="Arial" w:eastAsia="Arial" w:hAnsi="Arial"/>
                <w:sz w:val="16"/>
                <w:szCs w:val="16"/>
                <w:color w:val="auto"/>
              </w:rPr>
              <w:t>liability</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799,000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Convertible Senior Notes payable 5.25% due</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18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September 15, 2018</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67,512,798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66,649,047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65,795,284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64,957,174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20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Total liabilities</w:t>
            </w:r>
            <w:r>
              <w:rPr>
                <w:rFonts w:ascii="Arial" w:cs="Arial" w:eastAsia="Arial" w:hAnsi="Arial"/>
                <w:sz w:val="27"/>
                <w:szCs w:val="27"/>
                <w:color w:val="auto"/>
                <w:vertAlign w:val="superscript"/>
              </w:rPr>
              <w:t>(3)</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108,835,616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129,832,126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197,075,354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86,602,993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547,927</w:t>
            </w:r>
          </w:p>
        </w:tc>
      </w:tr>
      <w:tr>
        <w:trPr>
          <w:trHeight w:val="203"/>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net assets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192,128,810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268,010,945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285,903,673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287,966,444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252,582,801</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56" w:lineRule="exact"/>
        <w:rPr>
          <w:sz w:val="20"/>
          <w:szCs w:val="20"/>
          <w:color w:val="auto"/>
        </w:rPr>
      </w:pPr>
    </w:p>
    <w:p>
      <w:pPr>
        <w:ind w:left="300" w:hanging="27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asset value per share is based on basic shares outstanding at the end of the period.</w:t>
      </w:r>
    </w:p>
    <w:p>
      <w:pPr>
        <w:spacing w:after="0" w:line="117" w:lineRule="exact"/>
        <w:rPr>
          <w:rFonts w:ascii="Arial" w:cs="Arial" w:eastAsia="Arial" w:hAnsi="Arial"/>
          <w:sz w:val="18"/>
          <w:szCs w:val="18"/>
          <w:color w:val="auto"/>
        </w:rPr>
      </w:pPr>
    </w:p>
    <w:p>
      <w:pPr>
        <w:ind w:left="300" w:right="519" w:hanging="272"/>
        <w:spacing w:after="0" w:line="291" w:lineRule="auto"/>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years ended December 31, 2013 and 2012, total assets increased due to the issuance of Convertible Senior Notes in September 2013, as well as multiple equity offerings. During the year ended December 31, 2014, total assets increased due to the purchase of a United States Treasury Bill on margin. During the year ended December 31, 2015, total assets decreased due to a declared dividend, which was paid on December 31, 2015. Refer to Note 4 to the consolidated financial statements for further details. During the year ended December 31, 2016, total assets and net assets decreased due to a change in unrealized depreciation of investments. For further discussion of factors that affected our total assets and net assets refer to “Management’s Discussion and Analysis of Financial Condition and Results of Operations — Results of Operations”.</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579" w:hanging="272"/>
        <w:spacing w:after="0" w:line="293" w:lineRule="auto"/>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Deferred debt issuance costs of $1,947,572, $2,667,069 and $3,378,121, as of December 31, 2015, 2014 and 2013, respectively, related to the Company’s issuance of the Convertible Senior Notes payable were previously classified as “Deferred financing costs” as of December 31, 2015, 2014 and 2013. In accordance with ASU 2015-03, each of these balances has been retrospectively reclassified as a direct deduction from the Convertible Senior Notes. Refer to “Note 1 — Nature of Operations and Significant Accounting Policies — Recently Adopted Accounting Standards,” as well as “Note 9 — Long Term Liabilities” of the consolidated financial statements as of December 31, 2016 included in this annual report on Form 10-K for further detail.</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2559" w:hanging="39"/>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The forward-looking statements contained in this annual report on Form 10-K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investment activities;</w:t>
      </w:r>
    </w:p>
    <w:p>
      <w:pPr>
        <w:spacing w:after="0" w:line="128" w:lineRule="exact"/>
        <w:rPr>
          <w:rFonts w:ascii="Arial" w:cs="Arial" w:eastAsia="Arial" w:hAnsi="Arial"/>
          <w:sz w:val="17"/>
          <w:szCs w:val="17"/>
          <w:color w:val="auto"/>
        </w:rPr>
      </w:pPr>
    </w:p>
    <w:p>
      <w:pPr>
        <w:ind w:left="600" w:right="93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this annual report on Form 10-K and in our filings with the SEC.</w:t>
      </w:r>
    </w:p>
    <w:p>
      <w:pPr>
        <w:spacing w:after="0" w:line="62"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this annual report on Form 10-K, in the “Risk Factors” section. You should not place undue reliance on these forward-looking statements, which apply only as of the date of this annual report on Form 10-K.</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308" w:lineRule="auto"/>
        <w:rPr>
          <w:sz w:val="20"/>
          <w:szCs w:val="20"/>
          <w:color w:val="auto"/>
        </w:rPr>
      </w:pPr>
      <w:r>
        <w:rPr>
          <w:rFonts w:ascii="Arial" w:cs="Arial" w:eastAsia="Arial" w:hAnsi="Arial"/>
          <w:sz w:val="17"/>
          <w:szCs w:val="17"/>
          <w:color w:val="auto"/>
        </w:rPr>
        <w:t>The following analysis of our financial condition and results of operations should be read in conjunction with our consolidated financial statements and the related notes thereto contained elsewhere in this annual report on Form 10-K.</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 See “Business — Operating and Regulatory Structure.”</w:t>
      </w:r>
    </w:p>
    <w:p>
      <w:pPr>
        <w:spacing w:after="0" w:line="64"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3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2016, of all of our portfolio investments, excluding U.S. Treasury Bills, was $262,015,146.</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19" w:firstLine="270"/>
        <w:spacing w:after="0" w:line="302" w:lineRule="auto"/>
        <w:rPr>
          <w:sz w:val="20"/>
          <w:szCs w:val="20"/>
          <w:color w:val="auto"/>
        </w:rPr>
      </w:pPr>
      <w:r>
        <w:rPr>
          <w:rFonts w:ascii="Arial" w:cs="Arial" w:eastAsia="Arial" w:hAnsi="Arial"/>
          <w:sz w:val="16"/>
          <w:szCs w:val="16"/>
          <w:color w:val="auto"/>
        </w:rPr>
        <w:t>The following tables summarize the investment purchases we funded during the years ended December 31, 2016, 2015 and 2014, respectively. “Total Gross Payments” include both the actual cost of an investment as well as capitalized costs (such as legal and other fees) associated with entering a portfolio company investment. Refer to “Note 1 — Nature of Operations and Significant Accounting Policies” to our consolidated financial statements as of December 31, 2016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5213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Total for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Fiscal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Year ended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Beamreach Solar, Inc. (f/k/a Solexel,</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 (Solar Power)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Curious.com Inc. (Online Education)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2,000,003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Fullbridge, Inc. (Business Education)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Lytro, Inc. (Light Field Imaging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Platform)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2,500,001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3,000,002</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NestGSV, Inc. (d/b/a GSV Labs, Inc.)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Innovation Platform)</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526,000</w:t>
            </w: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1,526,000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w w:val="94"/>
              </w:rPr>
              <w:t>Ozy Media, Inc. (Digital Media Platform)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Snap Inc. (f/k/a Snapchat, Inc.) (Social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3,999,990</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3,999,990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Capitalized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27,347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$ 6,005,951</w:t>
            </w:r>
          </w:p>
        </w:tc>
        <w:tc>
          <w:tcPr>
            <w:tcW w:w="8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$ 4,508,150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$ 2,505,721</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783,520</w:t>
            </w:r>
          </w:p>
        </w:tc>
        <w:tc>
          <w:tcPr>
            <w:tcW w:w="8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13,803,342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for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2"/>
                <w:szCs w:val="12"/>
                <w:color w:val="auto"/>
              </w:rPr>
            </w:pPr>
          </w:p>
        </w:tc>
        <w:tc>
          <w:tcPr>
            <w:tcW w:w="9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Fiscal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year ended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NestGSV, Inc. (d/b/a GSV Labs, Inc.)</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Innovation Platform)</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$ 1,000,000</w:t>
            </w:r>
          </w:p>
        </w:tc>
        <w:tc>
          <w:tcPr>
            <w:tcW w:w="8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$ 1,499,999</w:t>
            </w:r>
          </w:p>
        </w:tc>
        <w:tc>
          <w:tcPr>
            <w:tcW w:w="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$ 1,000,000</w:t>
            </w: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3,499,999</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Fullbridge, Inc. (Business Education)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964,042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Lyft, Inc. (Peer to Peer Ridesharing)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2,499,985</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2,499,985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PayNearMe, Inc. (Cash Payment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Network)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3,999,998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GSV Sustainability Partners (Clean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1,200,000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Earlyshares.com, Inc.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Crowdfunding)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Enjoy Technology, Inc. (On-Demand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4,000,000</w:t>
            </w: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Aspiration Partners, Inc. (Financial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999,975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999,975</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Declara, Inc. (Social Cognitive Learning)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EdSurge, Inc. (Education Media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Platform)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Circle Media (f/k/a S3 Digital Corp.</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(d/b/a S3i)) (Sports Analytics)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040" w:type="dxa"/>
            <w:vAlign w:val="bottom"/>
          </w:tcPr>
          <w:p>
            <w:pPr>
              <w:ind w:left="20"/>
              <w:spacing w:after="0" w:line="201" w:lineRule="exact"/>
              <w:rPr>
                <w:sz w:val="20"/>
                <w:szCs w:val="20"/>
                <w:color w:val="auto"/>
              </w:rPr>
            </w:pPr>
            <w:r>
              <w:rPr>
                <w:rFonts w:ascii="Arial" w:cs="Arial" w:eastAsia="Arial" w:hAnsi="Arial"/>
                <w:sz w:val="18"/>
                <w:szCs w:val="18"/>
                <w:color w:val="auto"/>
              </w:rPr>
              <w:t>Spotify Technology S.A. (Music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Streaming Service)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10,001,100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10,001,100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Fees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26,100</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$ 8,990,125</w:t>
            </w: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6"/>
              </w:rPr>
              <w:t>$ 1,554,439</w:t>
            </w: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6"/>
              </w:rPr>
              <w:t>$ 6,602,095</w:t>
            </w:r>
          </w:p>
        </w:tc>
        <w:tc>
          <w:tcPr>
            <w:tcW w:w="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13,808,860</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30,955,519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-4390390</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-779780</wp:posOffset>
            </wp:positionV>
            <wp:extent cx="521398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52139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1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Total for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6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Quarter ended</w:t>
            </w:r>
          </w:p>
        </w:tc>
        <w:tc>
          <w:tcPr>
            <w:tcW w:w="8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Fiscal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year ended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Fundings by Portfolio Company (Industry)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10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AlwaysOn, Inc. (Social Media)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Circle Media (f.k.a. S3 Digital Corp.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(d/b/a S3i) (Sports Analytics)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410,001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6"/>
              </w:rPr>
              <w:t>Course Hero, Inc. (Online Education)</w:t>
            </w:r>
            <w:r>
              <w:rPr>
                <w:rFonts w:ascii="Arial" w:cs="Arial" w:eastAsia="Arial" w:hAnsi="Arial"/>
                <w:sz w:val="29"/>
                <w:szCs w:val="29"/>
                <w:color w:val="auto"/>
                <w:w w:val="96"/>
                <w:vertAlign w:val="superscript"/>
              </w:rPr>
              <w:t>(1)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5,000,001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5,000,001</w:t>
            </w:r>
          </w:p>
        </w:tc>
        <w:tc>
          <w:tcPr>
            <w:tcW w:w="132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Clever, Inc. (Education Software)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2,000,001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2,000,001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CUX, Inc. (d/b/a CorpU) (Corporate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Education)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Dailybreak, Inc. (Social Advertising)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Declara, Inc. (Social Cognitive Learning)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9,973,479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9,973,479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88"/>
              </w:rPr>
              <w:t>DogVacay, Inc. (Peer-to-Peer Pet Services)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2,499,999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2,499,999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Earlyshares.com (Equity Crowd Funding)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249,998</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2"/>
              </w:rPr>
              <w:t>EdSurge, Inc. (Education Media Platform)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482,146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482,146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Enjoy Technology, Inc. (On-Demand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Commerce)</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Fullbridge, Inc. (Business Education)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1,280,000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1,297,620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2,577,620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Assembly Space, Inc. (Online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Education)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5,991,641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5,991,641</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NestGSV, Inc. (d/b/a GSV Labs, Inc.)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(Global Innovation Platform)</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297,000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1,145,249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501,000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899,999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2,843,248</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GSV Sustainability Partners (Clean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596,550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3,875,000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4,821,550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JAMF Holdings, Inc. (Mobile Device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Management)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4,996,044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4,996,044</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Orchestra One, Inc. (f/k/a Learnist Inc.)</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Health Technology)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1,450,000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Lyft, Inc. (On-Demand Transportation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4,999,991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4,999,991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Lytro, Inc. (Light Field Imaging Platform)</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7,500,001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7,500,001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Ozy Media, Inc. (Daily News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Information Site)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4,999,999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4,999,999</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Beamreach Solar, Inc. (f/k/a Solexel, Inc.)</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(Solar Power)</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2,999,999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2,999,999</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StormWind, LLC (Interactive Learning)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3,092,255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999,997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4,092,252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Totus Solutions, Inc. (LED Lighting)</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Capitalized Fees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17,629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73,413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17,688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17,105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125,835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Payments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21,818,810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13,476,310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5,303,684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30,242,105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70,840,909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55</w:t>
            </w: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-633730</wp:posOffset>
            </wp:positionV>
            <wp:extent cx="52139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-6165215</wp:posOffset>
            </wp:positionV>
            <wp:extent cx="51796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portfolio investments we sold during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080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117475</wp:posOffset>
            </wp:positionV>
            <wp:extent cx="6080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40" w:type="dxa"/>
            <w:vAlign w:val="bottom"/>
            <w:gridSpan w:val="3"/>
          </w:tcPr>
          <w:p>
            <w:pPr>
              <w:jc w:val="right"/>
              <w:ind w:right="309"/>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8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8"/>
              </w:rPr>
              <w:t>Realized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Realized</w:t>
            </w:r>
          </w:p>
        </w:tc>
        <w:tc>
          <w:tcPr>
            <w:tcW w:w="0" w:type="dxa"/>
            <w:vAlign w:val="bottom"/>
          </w:tcPr>
          <w:p>
            <w:pPr>
              <w:spacing w:after="0"/>
              <w:rPr>
                <w:sz w:val="1"/>
                <w:szCs w:val="1"/>
                <w:color w:val="auto"/>
              </w:rPr>
            </w:pPr>
          </w:p>
        </w:tc>
      </w:tr>
      <w:tr>
        <w:trPr>
          <w:trHeight w:val="185"/>
        </w:trPr>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Portfolio Company</w:t>
            </w:r>
          </w:p>
        </w:tc>
        <w:tc>
          <w:tcPr>
            <w:tcW w:w="1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5"/>
                <w:szCs w:val="15"/>
                <w:color w:val="auto"/>
              </w:rPr>
            </w:pPr>
          </w:p>
        </w:tc>
        <w:tc>
          <w:tcPr>
            <w:tcW w:w="7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88"/>
              </w:rPr>
              <w:t>(Losses)</w:t>
            </w:r>
            <w:r>
              <w:rPr>
                <w:rFonts w:ascii="Arial" w:cs="Arial" w:eastAsia="Arial" w:hAnsi="Arial"/>
                <w:sz w:val="20"/>
                <w:szCs w:val="20"/>
                <w:b w:val="1"/>
                <w:bCs w:val="1"/>
                <w:color w:val="auto"/>
                <w:w w:val="88"/>
                <w:vertAlign w:val="superscript"/>
              </w:rPr>
              <w:t>(1)</w:t>
            </w:r>
          </w:p>
        </w:tc>
        <w:tc>
          <w:tcPr>
            <w:tcW w:w="1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5"/>
                <w:szCs w:val="15"/>
                <w:color w:val="auto"/>
              </w:rPr>
            </w:pPr>
          </w:p>
        </w:tc>
        <w:tc>
          <w:tcPr>
            <w:tcW w:w="740" w:type="dxa"/>
            <w:vAlign w:val="bottom"/>
          </w:tcPr>
          <w:p>
            <w:pPr>
              <w:jc w:val="center"/>
              <w:ind w:right="29"/>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w w:val="91"/>
              </w:rPr>
              <w:t>Proceeds</w:t>
            </w:r>
          </w:p>
        </w:tc>
        <w:tc>
          <w:tcPr>
            <w:tcW w:w="80" w:type="dxa"/>
            <w:vAlign w:val="bottom"/>
          </w:tcPr>
          <w:p>
            <w:pPr>
              <w:spacing w:after="0"/>
              <w:rPr>
                <w:sz w:val="15"/>
                <w:szCs w:val="15"/>
                <w:color w:val="auto"/>
              </w:rPr>
            </w:pPr>
          </w:p>
        </w:tc>
        <w:tc>
          <w:tcPr>
            <w:tcW w:w="740" w:type="dxa"/>
            <w:vAlign w:val="bottom"/>
          </w:tcPr>
          <w:p>
            <w:pPr>
              <w:jc w:val="center"/>
              <w:ind w:right="29"/>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Proceeds</w:t>
            </w:r>
          </w:p>
        </w:tc>
        <w:tc>
          <w:tcPr>
            <w:tcW w:w="80" w:type="dxa"/>
            <w:vAlign w:val="bottom"/>
          </w:tcPr>
          <w:p>
            <w:pPr>
              <w:spacing w:after="0"/>
              <w:rPr>
                <w:sz w:val="15"/>
                <w:szCs w:val="15"/>
                <w:color w:val="auto"/>
              </w:rPr>
            </w:pPr>
          </w:p>
        </w:tc>
        <w:tc>
          <w:tcPr>
            <w:tcW w:w="74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88"/>
              </w:rPr>
              <w:t>(Losses)</w:t>
            </w:r>
            <w:r>
              <w:rPr>
                <w:rFonts w:ascii="Arial" w:cs="Arial" w:eastAsia="Arial" w:hAnsi="Arial"/>
                <w:sz w:val="20"/>
                <w:szCs w:val="20"/>
                <w:b w:val="1"/>
                <w:bCs w:val="1"/>
                <w:color w:val="auto"/>
                <w:w w:val="88"/>
                <w:vertAlign w:val="superscript"/>
              </w:rPr>
              <w:t>(1)</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w w:val="88"/>
              </w:rPr>
              <w:t>Proceeds</w:t>
            </w:r>
          </w:p>
        </w:tc>
        <w:tc>
          <w:tcPr>
            <w:tcW w:w="80" w:type="dxa"/>
            <w:vAlign w:val="bottom"/>
          </w:tcPr>
          <w:p>
            <w:pPr>
              <w:spacing w:after="0"/>
              <w:rPr>
                <w:sz w:val="15"/>
                <w:szCs w:val="15"/>
                <w:color w:val="auto"/>
              </w:rPr>
            </w:pPr>
          </w:p>
        </w:tc>
        <w:tc>
          <w:tcPr>
            <w:tcW w:w="7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23"/>
        </w:trPr>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Bloom Energy</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Corporation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w w:val="99"/>
              </w:rPr>
              <w:t>2,973,438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(882,162)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2,973,438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(882,162)</w:t>
            </w:r>
          </w:p>
        </w:tc>
        <w:tc>
          <w:tcPr>
            <w:tcW w:w="0" w:type="dxa"/>
            <w:vAlign w:val="bottom"/>
          </w:tcPr>
          <w:p>
            <w:pPr>
              <w:spacing w:after="0"/>
              <w:rPr>
                <w:sz w:val="1"/>
                <w:szCs w:val="1"/>
                <w:color w:val="auto"/>
              </w:rPr>
            </w:pPr>
          </w:p>
        </w:tc>
      </w:tr>
      <w:tr>
        <w:trPr>
          <w:trHeight w:val="130"/>
        </w:trPr>
        <w:tc>
          <w:tcPr>
            <w:tcW w:w="12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20" w:type="dxa"/>
            <w:vAlign w:val="bottom"/>
            <w:tcBorders>
              <w:right w:val="single" w:sz="8" w:color="CCEEFF"/>
            </w:tcBorders>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Holdings,</w:t>
            </w: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Inc.</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427,270</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(6,167,164)</w:t>
            </w: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1,991</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429,261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(6,165,173)</w:t>
            </w:r>
          </w:p>
        </w:tc>
        <w:tc>
          <w:tcPr>
            <w:tcW w:w="0" w:type="dxa"/>
            <w:vAlign w:val="bottom"/>
          </w:tcPr>
          <w:p>
            <w:pPr>
              <w:spacing w:after="0"/>
              <w:rPr>
                <w:sz w:val="1"/>
                <w:szCs w:val="1"/>
                <w:color w:val="auto"/>
              </w:rPr>
            </w:pPr>
          </w:p>
        </w:tc>
      </w:tr>
      <w:tr>
        <w:trPr>
          <w:trHeight w:val="149"/>
        </w:trPr>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Lyft, Inc.</w:t>
            </w:r>
          </w:p>
        </w:tc>
        <w:tc>
          <w:tcPr>
            <w:tcW w:w="10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1,638,925</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974,224</w:t>
            </w: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6"/>
              </w:rPr>
              <w:t>1,932,965</w:t>
            </w: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1,104,244</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4,080,000</w:t>
            </w: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2,351,752</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7,651,890</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4,430,220</w:t>
            </w: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NestGSV, Inc.</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Twitter, Inc.</w:t>
            </w:r>
          </w:p>
        </w:tc>
        <w:tc>
          <w:tcPr>
            <w:tcW w:w="10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4"/>
              </w:rPr>
              <w:t>14,578,469</w:t>
            </w: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306,603</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4"/>
              </w:rPr>
              <w:t>14,578,469</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306,603</w:t>
            </w:r>
          </w:p>
        </w:tc>
        <w:tc>
          <w:tcPr>
            <w:tcW w:w="0" w:type="dxa"/>
            <w:vAlign w:val="bottom"/>
          </w:tcPr>
          <w:p>
            <w:pPr>
              <w:spacing w:after="0"/>
              <w:rPr>
                <w:sz w:val="1"/>
                <w:szCs w:val="1"/>
                <w:color w:val="auto"/>
              </w:rPr>
            </w:pPr>
          </w:p>
        </w:tc>
      </w:tr>
      <w:tr>
        <w:trPr>
          <w:trHeight w:val="130"/>
        </w:trPr>
        <w:tc>
          <w:tcPr>
            <w:tcW w:w="12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Upwork Global Inc.</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(f/k/a Odesk</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108,531</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(77,819)</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108,531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(77,819)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 Sales</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line="142" w:lineRule="exact"/>
              <w:rPr>
                <w:sz w:val="20"/>
                <w:szCs w:val="20"/>
                <w:color w:val="auto"/>
              </w:rPr>
            </w:pPr>
            <w:r>
              <w:rPr>
                <w:rFonts w:ascii="Arial" w:cs="Arial" w:eastAsia="Arial" w:hAnsi="Arial"/>
                <w:sz w:val="14"/>
                <w:szCs w:val="14"/>
                <w:color w:val="auto"/>
                <w:w w:val="99"/>
              </w:rPr>
              <w:t>5,039,633</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4"/>
              </w:rPr>
              <w:t>(6,075,102)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6"/>
              </w:rPr>
              <w:t>1,932,965</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1,104,244</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line="142" w:lineRule="exact"/>
              <w:rPr>
                <w:sz w:val="20"/>
                <w:szCs w:val="20"/>
                <w:color w:val="auto"/>
              </w:rPr>
            </w:pPr>
            <w:r>
              <w:rPr>
                <w:rFonts w:ascii="Arial" w:cs="Arial" w:eastAsia="Arial" w:hAnsi="Arial"/>
                <w:sz w:val="14"/>
                <w:szCs w:val="14"/>
                <w:color w:val="auto"/>
                <w:w w:val="94"/>
              </w:rPr>
              <w:t>18,658,469</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2,658,355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610,522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(75,828)</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line="142" w:lineRule="exact"/>
              <w:rPr>
                <w:sz w:val="20"/>
                <w:szCs w:val="20"/>
                <w:color w:val="auto"/>
              </w:rPr>
            </w:pPr>
            <w:r>
              <w:rPr>
                <w:rFonts w:ascii="Arial" w:cs="Arial" w:eastAsia="Arial" w:hAnsi="Arial"/>
                <w:sz w:val="14"/>
                <w:szCs w:val="14"/>
                <w:color w:val="auto"/>
                <w:w w:val="94"/>
              </w:rPr>
              <w:t>26,241,589</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2"/>
              </w:rPr>
              <w:t>(2,388,331)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60801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36" w:lineRule="exact"/>
        <w:rPr>
          <w:sz w:val="20"/>
          <w:szCs w:val="20"/>
          <w:color w:val="auto"/>
        </w:rPr>
      </w:pPr>
    </w:p>
    <w:p>
      <w:pPr>
        <w:ind w:left="300" w:right="105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Realized gains/(losses) exclude any realized gains/(losses) incurred on the maturity of our treasury investments as well as realized losses of $246,714 from our investments in warrants of FullBridge, Inc.</w:t>
      </w:r>
    </w:p>
    <w:p>
      <w:pPr>
        <w:spacing w:after="0" w:line="62" w:lineRule="exact"/>
        <w:rPr>
          <w:rFonts w:ascii="Arial" w:cs="Arial" w:eastAsia="Arial" w:hAnsi="Arial"/>
          <w:sz w:val="18"/>
          <w:szCs w:val="18"/>
          <w:color w:val="auto"/>
        </w:rPr>
      </w:pPr>
    </w:p>
    <w:p>
      <w:pPr>
        <w:ind w:left="300" w:right="1059" w:hanging="272"/>
        <w:spacing w:after="0" w:line="342" w:lineRule="auto"/>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$1,991 received from Gilt Groupe Holdings, Inc. represents an excess distribution of proceeds received as part of the January 2016 sale of Gilt Groupe Holdings, Inc. to Hudson’s Bay Co., the parent company of Saks Fifth Avenue.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portfolio investments we sold during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089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90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117475</wp:posOffset>
            </wp:positionV>
            <wp:extent cx="6089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309"/>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6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Quarter ended</w:t>
            </w: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Quarter ended</w:t>
            </w:r>
          </w:p>
        </w:tc>
        <w:tc>
          <w:tcPr>
            <w:tcW w:w="1680" w:type="dxa"/>
            <w:vAlign w:val="bottom"/>
            <w:gridSpan w:val="3"/>
          </w:tcPr>
          <w:p>
            <w:pPr>
              <w:ind w:left="3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June 30, 2015</w:t>
            </w:r>
          </w:p>
        </w:tc>
        <w:tc>
          <w:tcPr>
            <w:tcW w:w="1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December 31, 2015</w:t>
            </w:r>
          </w:p>
        </w:tc>
        <w:tc>
          <w:tcPr>
            <w:tcW w:w="16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8"/>
              </w:rPr>
              <w:t>Realized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w w:val="98"/>
              </w:rPr>
              <w:t>Realized</w:t>
            </w:r>
          </w:p>
        </w:tc>
        <w:tc>
          <w:tcPr>
            <w:tcW w:w="860" w:type="dxa"/>
            <w:vAlign w:val="bottom"/>
          </w:tcPr>
          <w:p>
            <w:pPr>
              <w:spacing w:after="0"/>
              <w:rPr>
                <w:sz w:val="10"/>
                <w:szCs w:val="10"/>
                <w:color w:val="auto"/>
              </w:rPr>
            </w:pPr>
          </w:p>
        </w:tc>
        <w:tc>
          <w:tcPr>
            <w:tcW w:w="8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Realized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Realized</w:t>
            </w:r>
          </w:p>
        </w:tc>
        <w:tc>
          <w:tcPr>
            <w:tcW w:w="86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Realized</w:t>
            </w:r>
          </w:p>
        </w:tc>
        <w:tc>
          <w:tcPr>
            <w:tcW w:w="0" w:type="dxa"/>
            <w:vAlign w:val="bottom"/>
          </w:tcPr>
          <w:p>
            <w:pPr>
              <w:spacing w:after="0"/>
              <w:rPr>
                <w:sz w:val="1"/>
                <w:szCs w:val="1"/>
                <w:color w:val="auto"/>
              </w:rPr>
            </w:pPr>
          </w:p>
        </w:tc>
      </w:tr>
      <w:tr>
        <w:trPr>
          <w:trHeight w:val="185"/>
        </w:trPr>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Portfolio Company</w:t>
            </w:r>
          </w:p>
        </w:tc>
        <w:tc>
          <w:tcPr>
            <w:tcW w:w="8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Gains/</w:t>
            </w: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Net</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Gains/</w:t>
            </w:r>
          </w:p>
        </w:tc>
        <w:tc>
          <w:tcPr>
            <w:tcW w:w="1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Gains/</w:t>
            </w: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Net</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88"/>
              </w:rPr>
              <w:t>Proceeds</w:t>
            </w:r>
          </w:p>
        </w:tc>
        <w:tc>
          <w:tcPr>
            <w:tcW w:w="80" w:type="dxa"/>
            <w:vAlign w:val="bottom"/>
          </w:tcPr>
          <w:p>
            <w:pPr>
              <w:spacing w:after="0"/>
              <w:rPr>
                <w:sz w:val="15"/>
                <w:szCs w:val="15"/>
                <w:color w:val="auto"/>
              </w:rPr>
            </w:pPr>
          </w:p>
        </w:tc>
        <w:tc>
          <w:tcPr>
            <w:tcW w:w="740" w:type="dxa"/>
            <w:vAlign w:val="bottom"/>
          </w:tcPr>
          <w:p>
            <w:pPr>
              <w:jc w:val="center"/>
              <w:ind w:right="29"/>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w w:val="88"/>
              </w:rPr>
              <w:t>Proceeds</w:t>
            </w:r>
          </w:p>
        </w:tc>
        <w:tc>
          <w:tcPr>
            <w:tcW w:w="60" w:type="dxa"/>
            <w:vAlign w:val="bottom"/>
          </w:tcPr>
          <w:p>
            <w:pPr>
              <w:spacing w:after="0"/>
              <w:rPr>
                <w:sz w:val="15"/>
                <w:szCs w:val="15"/>
                <w:color w:val="auto"/>
              </w:rPr>
            </w:pPr>
          </w:p>
        </w:tc>
        <w:tc>
          <w:tcPr>
            <w:tcW w:w="760" w:type="dxa"/>
            <w:vAlign w:val="bottom"/>
          </w:tcPr>
          <w:p>
            <w:pPr>
              <w:jc w:val="center"/>
              <w:ind w:right="49"/>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Proceeds</w:t>
            </w:r>
          </w:p>
        </w:tc>
        <w:tc>
          <w:tcPr>
            <w:tcW w:w="86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w w:val="88"/>
              </w:rPr>
              <w:t>Proceeds</w:t>
            </w:r>
          </w:p>
        </w:tc>
        <w:tc>
          <w:tcPr>
            <w:tcW w:w="8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Proceeds</w:t>
            </w:r>
          </w:p>
        </w:tc>
        <w:tc>
          <w:tcPr>
            <w:tcW w:w="82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88"/>
              </w:rPr>
              <w:t>(Losses)</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123"/>
        </w:trPr>
        <w:tc>
          <w:tcPr>
            <w:tcW w:w="12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2U, Inc. (f/k/a 2tor,</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w w:val="90"/>
              </w:rPr>
              <w:t>$ 47,192,835</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$37,160,718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w w:val="90"/>
              </w:rPr>
              <w:t>$ 47,192,835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$37,160,718</w:t>
            </w: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3,000</w:t>
            </w:r>
          </w:p>
        </w:tc>
        <w:tc>
          <w:tcPr>
            <w:tcW w:w="8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(2,854,204)</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3,000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(2,854,204)</w:t>
            </w:r>
          </w:p>
        </w:tc>
        <w:tc>
          <w:tcPr>
            <w:tcW w:w="0" w:type="dxa"/>
            <w:vAlign w:val="bottom"/>
          </w:tcPr>
          <w:p>
            <w:pPr>
              <w:spacing w:after="0"/>
              <w:rPr>
                <w:sz w:val="1"/>
                <w:szCs w:val="1"/>
                <w:color w:val="auto"/>
              </w:rPr>
            </w:pPr>
          </w:p>
        </w:tc>
      </w:tr>
      <w:tr>
        <w:trPr>
          <w:trHeight w:val="130"/>
        </w:trPr>
        <w:tc>
          <w:tcPr>
            <w:tcW w:w="12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Global Education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Learning</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Ltd.</w:t>
            </w:r>
            <w:r>
              <w:rPr>
                <w:rFonts w:ascii="Arial" w:cs="Arial" w:eastAsia="Arial" w:hAnsi="Arial"/>
                <w:sz w:val="22"/>
                <w:szCs w:val="22"/>
                <w:color w:val="auto"/>
                <w:vertAlign w:val="superscript"/>
              </w:rPr>
              <w:t>(2)</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3,354,594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305,800</w:t>
            </w:r>
          </w:p>
        </w:tc>
        <w:tc>
          <w:tcPr>
            <w:tcW w:w="8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3,660,394</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NewZoom, Inc.</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(260,476)</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(260,476)</w:t>
            </w:r>
          </w:p>
        </w:tc>
        <w:tc>
          <w:tcPr>
            <w:tcW w:w="0" w:type="dxa"/>
            <w:vAlign w:val="bottom"/>
          </w:tcPr>
          <w:p>
            <w:pPr>
              <w:spacing w:after="0"/>
              <w:rPr>
                <w:sz w:val="1"/>
                <w:szCs w:val="1"/>
                <w:color w:val="auto"/>
              </w:rPr>
            </w:pPr>
          </w:p>
        </w:tc>
      </w:tr>
      <w:tr>
        <w:trPr>
          <w:trHeight w:val="149"/>
        </w:trPr>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SugarCRM, Inc.</w:t>
            </w: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1,874,000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549,710</w:t>
            </w: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1,874,000</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549,710</w:t>
            </w: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19,558,200</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1"/>
              </w:rPr>
              <w:t>13,220,095</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88"/>
              </w:rPr>
              <w:t>20,608,011</w:t>
            </w:r>
          </w:p>
        </w:tc>
        <w:tc>
          <w:tcPr>
            <w:tcW w:w="6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91"/>
              </w:rPr>
              <w:t>13,666,419</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40,166,211</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26,886,514</w:t>
            </w:r>
          </w:p>
        </w:tc>
        <w:tc>
          <w:tcPr>
            <w:tcW w:w="0" w:type="dxa"/>
            <w:vAlign w:val="bottom"/>
          </w:tcPr>
          <w:p>
            <w:pPr>
              <w:spacing w:after="0"/>
              <w:rPr>
                <w:sz w:val="1"/>
                <w:szCs w:val="1"/>
                <w:color w:val="auto"/>
              </w:rPr>
            </w:pPr>
          </w:p>
        </w:tc>
      </w:tr>
      <w:tr>
        <w:trPr>
          <w:trHeight w:val="140"/>
        </w:trPr>
        <w:tc>
          <w:tcPr>
            <w:tcW w:w="124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Totus Solutions,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Inc.</w:t>
            </w:r>
            <w:r>
              <w:rPr>
                <w:rFonts w:ascii="Arial" w:cs="Arial" w:eastAsia="Arial" w:hAnsi="Arial"/>
                <w:sz w:val="22"/>
                <w:szCs w:val="22"/>
                <w:color w:val="auto"/>
                <w:vertAlign w:val="superscript"/>
              </w:rPr>
              <w:t>(3)</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50,000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(6,052,203)</w:t>
            </w:r>
          </w:p>
        </w:tc>
        <w:tc>
          <w:tcPr>
            <w:tcW w:w="1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(6,052,203)</w:t>
            </w:r>
          </w:p>
        </w:tc>
        <w:tc>
          <w:tcPr>
            <w:tcW w:w="0" w:type="dxa"/>
            <w:vAlign w:val="bottom"/>
          </w:tcPr>
          <w:p>
            <w:pPr>
              <w:spacing w:after="0"/>
              <w:rPr>
                <w:sz w:val="1"/>
                <w:szCs w:val="1"/>
                <w:color w:val="auto"/>
              </w:rPr>
            </w:pPr>
          </w:p>
        </w:tc>
      </w:tr>
      <w:tr>
        <w:trPr>
          <w:trHeight w:val="130"/>
        </w:trPr>
        <w:tc>
          <w:tcPr>
            <w:tcW w:w="12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The rSmart Group,</w:t>
            </w: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(1,264,160)</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(1,264,160)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4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 Sales</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ind w:right="8"/>
              <w:spacing w:after="0" w:line="142" w:lineRule="exact"/>
              <w:rPr>
                <w:sz w:val="20"/>
                <w:szCs w:val="20"/>
                <w:color w:val="auto"/>
              </w:rPr>
            </w:pPr>
            <w:r>
              <w:rPr>
                <w:rFonts w:ascii="Arial" w:cs="Arial" w:eastAsia="Arial" w:hAnsi="Arial"/>
                <w:sz w:val="14"/>
                <w:szCs w:val="14"/>
                <w:color w:val="auto"/>
                <w:w w:val="91"/>
              </w:rPr>
              <w:t>19,558,200</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w w:val="91"/>
              </w:rPr>
              <w:t>13,220,095</w:t>
            </w:r>
          </w:p>
        </w:tc>
        <w:tc>
          <w:tcPr>
            <w:tcW w:w="10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8"/>
              </w:rPr>
              <w:t>20,608,011</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tcPr>
          <w:p>
            <w:pPr>
              <w:jc w:val="right"/>
              <w:ind w:right="29"/>
              <w:spacing w:after="0" w:line="142" w:lineRule="exact"/>
              <w:rPr>
                <w:sz w:val="20"/>
                <w:szCs w:val="20"/>
                <w:color w:val="auto"/>
              </w:rPr>
            </w:pPr>
            <w:r>
              <w:rPr>
                <w:rFonts w:ascii="Arial" w:cs="Arial" w:eastAsia="Arial" w:hAnsi="Arial"/>
                <w:sz w:val="14"/>
                <w:szCs w:val="14"/>
                <w:color w:val="auto"/>
                <w:w w:val="91"/>
              </w:rPr>
              <w:t>13,666,419</w:t>
            </w:r>
          </w:p>
        </w:tc>
        <w:tc>
          <w:tcPr>
            <w:tcW w:w="8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0"/>
              </w:rPr>
              <w:t>$ 52,479,429</w:t>
            </w:r>
          </w:p>
        </w:tc>
        <w:tc>
          <w:tcPr>
            <w:tcW w:w="860" w:type="dxa"/>
            <w:vAlign w:val="bottom"/>
            <w:gridSpan w:val="2"/>
          </w:tcPr>
          <w:p>
            <w:pPr>
              <w:jc w:val="right"/>
              <w:ind w:right="12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27,279,385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305,800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0"/>
              </w:rPr>
              <w:t>$ 92,951,440</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54,165,899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608901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9015" cy="13716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Realized gains/(losses) excludes any realized gains/(losses) incurred on the maturity of our treasury investments.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 tax distribution from Global Education Learning (Holdings) Ltd.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sales of multiple share classes, as well as a debt investment in Totus Solutions, Inc.</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portfolio investments we sold during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080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117475</wp:posOffset>
            </wp:positionV>
            <wp:extent cx="6080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Quarter ended</w:t>
            </w:r>
          </w:p>
        </w:tc>
        <w:tc>
          <w:tcPr>
            <w:tcW w:w="4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Quarter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14"/>
                <w:szCs w:val="14"/>
                <w:color w:val="auto"/>
              </w:rPr>
            </w:pPr>
          </w:p>
        </w:tc>
        <w:tc>
          <w:tcPr>
            <w:tcW w:w="1680" w:type="dxa"/>
            <w:vAlign w:val="bottom"/>
            <w:gridSpan w:val="6"/>
          </w:tcPr>
          <w:p>
            <w:pPr>
              <w:ind w:left="3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March 31, 2014</w:t>
            </w:r>
          </w:p>
        </w:tc>
        <w:tc>
          <w:tcPr>
            <w:tcW w:w="40" w:type="dxa"/>
            <w:vAlign w:val="bottom"/>
          </w:tcPr>
          <w:p>
            <w:pPr>
              <w:spacing w:after="0"/>
              <w:rPr>
                <w:sz w:val="14"/>
                <w:szCs w:val="14"/>
                <w:color w:val="auto"/>
              </w:rPr>
            </w:pPr>
          </w:p>
        </w:tc>
        <w:tc>
          <w:tcPr>
            <w:tcW w:w="16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June 30, 2014</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September 30, 2014</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tcPr>
          <w:p>
            <w:pPr>
              <w:spacing w:after="0"/>
              <w:rPr>
                <w:sz w:val="14"/>
                <w:szCs w:val="14"/>
                <w:color w:val="auto"/>
              </w:rPr>
            </w:pPr>
          </w:p>
        </w:tc>
        <w:tc>
          <w:tcPr>
            <w:tcW w:w="16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Realized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Realized</w:t>
            </w:r>
          </w:p>
        </w:tc>
        <w:tc>
          <w:tcPr>
            <w:tcW w:w="0" w:type="dxa"/>
            <w:vAlign w:val="bottom"/>
          </w:tcPr>
          <w:p>
            <w:pPr>
              <w:spacing w:after="0"/>
              <w:rPr>
                <w:sz w:val="1"/>
                <w:szCs w:val="1"/>
                <w:color w:val="auto"/>
              </w:rPr>
            </w:pPr>
          </w:p>
        </w:tc>
      </w:tr>
      <w:tr>
        <w:trPr>
          <w:trHeight w:val="185"/>
        </w:trPr>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Portfolio Company</w:t>
            </w: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Gains/</w:t>
            </w:r>
          </w:p>
        </w:tc>
        <w:tc>
          <w:tcPr>
            <w:tcW w:w="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Gains/</w:t>
            </w:r>
          </w:p>
        </w:tc>
        <w:tc>
          <w:tcPr>
            <w:tcW w:w="4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12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Proceeds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Proceeds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Proceeds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88"/>
              </w:rPr>
              <w:t>(Losses)</w:t>
            </w:r>
            <w:r>
              <w:rPr>
                <w:rFonts w:ascii="Arial" w:cs="Arial" w:eastAsia="Arial" w:hAnsi="Arial"/>
                <w:sz w:val="20"/>
                <w:szCs w:val="20"/>
                <w:b w:val="1"/>
                <w:bCs w:val="1"/>
                <w:color w:val="auto"/>
                <w:w w:val="88"/>
                <w:vertAlign w:val="superscript"/>
              </w:rPr>
              <w:t>(1)</w:t>
            </w:r>
          </w:p>
        </w:tc>
        <w:tc>
          <w:tcPr>
            <w:tcW w:w="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Proceeds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23"/>
        </w:trPr>
        <w:tc>
          <w:tcPr>
            <w:tcW w:w="120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Control4</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Corporation</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4,640,039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2,886,302</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$10,722,817</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5,465,113</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$ 15,362,856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8,351,415</w:t>
            </w:r>
          </w:p>
        </w:tc>
        <w:tc>
          <w:tcPr>
            <w:tcW w:w="0" w:type="dxa"/>
            <w:vAlign w:val="bottom"/>
          </w:tcPr>
          <w:p>
            <w:pPr>
              <w:spacing w:after="0"/>
              <w:rPr>
                <w:sz w:val="1"/>
                <w:szCs w:val="1"/>
                <w:color w:val="auto"/>
              </w:rPr>
            </w:pPr>
          </w:p>
        </w:tc>
      </w:tr>
      <w:tr>
        <w:trPr>
          <w:trHeight w:val="130"/>
        </w:trPr>
        <w:tc>
          <w:tcPr>
            <w:tcW w:w="124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DianRong (f/k/a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SinoLending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Ltd.)</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4,281,670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3,526,584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4,281,670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3,526,584</w:t>
            </w:r>
          </w:p>
        </w:tc>
        <w:tc>
          <w:tcPr>
            <w:tcW w:w="0" w:type="dxa"/>
            <w:vAlign w:val="bottom"/>
          </w:tcPr>
          <w:p>
            <w:pPr>
              <w:spacing w:after="0"/>
              <w:rPr>
                <w:sz w:val="1"/>
                <w:szCs w:val="1"/>
                <w:color w:val="auto"/>
              </w:rPr>
            </w:pPr>
          </w:p>
        </w:tc>
      </w:tr>
      <w:tr>
        <w:trPr>
          <w:trHeight w:val="149"/>
        </w:trPr>
        <w:tc>
          <w:tcPr>
            <w:tcW w:w="12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Facebook, Inc.</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9,461,526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4,973,399</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1,602,665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854,644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11,064,191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5,828,043</w:t>
            </w:r>
          </w:p>
        </w:tc>
        <w:tc>
          <w:tcPr>
            <w:tcW w:w="0" w:type="dxa"/>
            <w:vAlign w:val="bottom"/>
          </w:tcPr>
          <w:p>
            <w:pPr>
              <w:spacing w:after="0"/>
              <w:rPr>
                <w:sz w:val="1"/>
                <w:szCs w:val="1"/>
                <w:color w:val="auto"/>
              </w:rPr>
            </w:pPr>
          </w:p>
        </w:tc>
      </w:tr>
      <w:tr>
        <w:trPr>
          <w:trHeight w:val="130"/>
        </w:trPr>
        <w:tc>
          <w:tcPr>
            <w:tcW w:w="124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Technologies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1,759,900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889,672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6,059,520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3,058,374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7,819,420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3,948,046</w:t>
            </w:r>
          </w:p>
        </w:tc>
        <w:tc>
          <w:tcPr>
            <w:tcW w:w="0" w:type="dxa"/>
            <w:vAlign w:val="bottom"/>
          </w:tcPr>
          <w:p>
            <w:pPr>
              <w:spacing w:after="0"/>
              <w:rPr>
                <w:sz w:val="1"/>
                <w:szCs w:val="1"/>
                <w:color w:val="auto"/>
              </w:rPr>
            </w:pPr>
          </w:p>
        </w:tc>
      </w:tr>
      <w:tr>
        <w:trPr>
          <w:trHeight w:val="130"/>
        </w:trPr>
        <w:tc>
          <w:tcPr>
            <w:tcW w:w="124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Silver Spring</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Networks,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Inc.</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1,544,984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(3,600,272)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1,544,984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(3,600,272)</w:t>
            </w:r>
          </w:p>
        </w:tc>
        <w:tc>
          <w:tcPr>
            <w:tcW w:w="0" w:type="dxa"/>
            <w:vAlign w:val="bottom"/>
          </w:tcPr>
          <w:p>
            <w:pPr>
              <w:spacing w:after="0"/>
              <w:rPr>
                <w:sz w:val="1"/>
                <w:szCs w:val="1"/>
                <w:color w:val="auto"/>
              </w:rPr>
            </w:pPr>
          </w:p>
        </w:tc>
      </w:tr>
      <w:tr>
        <w:trPr>
          <w:trHeight w:val="149"/>
        </w:trPr>
        <w:tc>
          <w:tcPr>
            <w:tcW w:w="12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15,681,483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10,241,936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15,681,483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10,241,936</w:t>
            </w:r>
          </w:p>
        </w:tc>
        <w:tc>
          <w:tcPr>
            <w:tcW w:w="0" w:type="dxa"/>
            <w:vAlign w:val="bottom"/>
          </w:tcPr>
          <w:p>
            <w:pPr>
              <w:spacing w:after="0"/>
              <w:rPr>
                <w:sz w:val="1"/>
                <w:szCs w:val="1"/>
                <w:color w:val="auto"/>
              </w:rPr>
            </w:pPr>
          </w:p>
        </w:tc>
      </w:tr>
      <w:tr>
        <w:trPr>
          <w:trHeight w:val="149"/>
        </w:trPr>
        <w:tc>
          <w:tcPr>
            <w:tcW w:w="12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TrueCar, Inc.</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5,053,570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3,038,548</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5,053,570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3,038,548</w:t>
            </w:r>
          </w:p>
        </w:tc>
        <w:tc>
          <w:tcPr>
            <w:tcW w:w="0" w:type="dxa"/>
            <w:vAlign w:val="bottom"/>
          </w:tcPr>
          <w:p>
            <w:pPr>
              <w:spacing w:after="0"/>
              <w:rPr>
                <w:sz w:val="1"/>
                <w:szCs w:val="1"/>
                <w:color w:val="auto"/>
              </w:rPr>
            </w:pPr>
          </w:p>
        </w:tc>
      </w:tr>
      <w:tr>
        <w:trPr>
          <w:trHeight w:val="149"/>
        </w:trPr>
        <w:tc>
          <w:tcPr>
            <w:tcW w:w="12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Violin Memory, Inc.</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4,955,220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(9,864,958)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4,955,220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(9,864,958)</w:t>
            </w:r>
          </w:p>
        </w:tc>
        <w:tc>
          <w:tcPr>
            <w:tcW w:w="0" w:type="dxa"/>
            <w:vAlign w:val="bottom"/>
          </w:tcPr>
          <w:p>
            <w:pPr>
              <w:spacing w:after="0"/>
              <w:rPr>
                <w:sz w:val="1"/>
                <w:szCs w:val="1"/>
                <w:color w:val="auto"/>
              </w:rPr>
            </w:pPr>
          </w:p>
        </w:tc>
      </w:tr>
      <w:tr>
        <w:trPr>
          <w:trHeight w:val="149"/>
        </w:trPr>
        <w:tc>
          <w:tcPr>
            <w:tcW w:w="12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ZocDoc Inc.</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7,788,899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2,490,843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7,788,899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ind w:left="180"/>
              <w:spacing w:after="0" w:line="142" w:lineRule="exact"/>
              <w:rPr>
                <w:sz w:val="20"/>
                <w:szCs w:val="20"/>
                <w:color w:val="auto"/>
              </w:rPr>
            </w:pPr>
            <w:r>
              <w:rPr>
                <w:rFonts w:ascii="Arial" w:cs="Arial" w:eastAsia="Arial" w:hAnsi="Arial"/>
                <w:sz w:val="14"/>
                <w:szCs w:val="14"/>
                <w:color w:val="auto"/>
              </w:rPr>
              <w:t>Total Sales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1"/>
              </w:rPr>
              <w:t>14,101,565</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7,859,701</w:t>
            </w:r>
          </w:p>
        </w:tc>
        <w:tc>
          <w:tcPr>
            <w:tcW w:w="8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18,825,686</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(7,145,473)</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4"/>
              </w:rPr>
              <w:t>29,511,952</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1"/>
              </w:rPr>
              <w:t>17,149,035</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8"/>
              </w:rPr>
              <w:t>11,113,090</w:t>
            </w:r>
          </w:p>
        </w:tc>
        <w:tc>
          <w:tcPr>
            <w:tcW w:w="1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6,096,922</w:t>
            </w:r>
          </w:p>
        </w:tc>
        <w:tc>
          <w:tcPr>
            <w:tcW w:w="8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7"/>
              </w:rPr>
              <w:t>$ 73,552,293</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1"/>
              </w:rPr>
              <w:t>23,960,185</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780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7804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-213995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-187960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-213995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-187960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-213995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-187960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-213995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-187960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-213995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-187960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-213995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-187960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-213995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-187960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-213995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-187960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-213995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-187960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-213995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-187960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4580" w:right="1679" w:hanging="4552"/>
        <w:spacing w:after="0" w:line="919" w:lineRule="auto"/>
        <w:tabs>
          <w:tab w:leader="none" w:pos="2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Realized gains/(losses) excludes any realized gains/(losses) incurred on the maturity of our treasury investments.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-280670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For the fiscal years ended December 31, 2016, 2015 and 2014</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fiscal years ended December 31, 2016,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482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0" w:type="dxa"/>
            <w:vAlign w:val="bottom"/>
          </w:tcPr>
          <w:p>
            <w:pPr>
              <w:spacing w:after="0"/>
              <w:rPr>
                <w:sz w:val="1"/>
                <w:szCs w:val="1"/>
                <w:color w:val="auto"/>
              </w:rPr>
            </w:pPr>
          </w:p>
        </w:tc>
      </w:tr>
      <w:tr>
        <w:trPr>
          <w:trHeight w:val="202"/>
        </w:trPr>
        <w:tc>
          <w:tcPr>
            <w:tcW w:w="2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736,283</w:t>
            </w:r>
          </w:p>
        </w:tc>
        <w:tc>
          <w:tcPr>
            <w:tcW w:w="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b w:val="1"/>
                <w:bCs w:val="1"/>
                <w:color w:val="auto"/>
              </w:rPr>
              <w:t>0.03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290,896</w:t>
            </w:r>
          </w:p>
        </w:tc>
        <w:tc>
          <w:tcPr>
            <w:tcW w:w="4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b w:val="1"/>
                <w:bCs w:val="1"/>
                <w:color w:val="auto"/>
              </w:rPr>
              <w:t>0.02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185,946</w:t>
            </w:r>
          </w:p>
        </w:tc>
        <w:tc>
          <w:tcPr>
            <w:tcW w:w="40" w:type="dxa"/>
            <w:vAlign w:val="bottom"/>
          </w:tcPr>
          <w:p>
            <w:pPr>
              <w:spacing w:after="0"/>
              <w:rPr>
                <w:sz w:val="18"/>
                <w:szCs w:val="18"/>
                <w:color w:val="auto"/>
              </w:rPr>
            </w:pPr>
          </w:p>
        </w:tc>
        <w:tc>
          <w:tcPr>
            <w:tcW w:w="700" w:type="dxa"/>
            <w:vAlign w:val="bottom"/>
          </w:tcPr>
          <w:p>
            <w:pPr>
              <w:jc w:val="right"/>
              <w:ind w:right="57"/>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523,488</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244,115</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185,059</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46,781</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887</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212,795</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1,999,646</w:t>
            </w:r>
          </w:p>
        </w:tc>
        <w:tc>
          <w:tcPr>
            <w:tcW w:w="70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0.09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26,978,235</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1.41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21,775,939</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6,896,347</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8,044,801</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7,562,488</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Incentive fees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(15,188,121)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8,170,326</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3,614,347</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Costs incurred under</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Administration Agreement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2,545,316</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2,681,079</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3,199,904</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345,000</w:t>
            </w:r>
          </w:p>
        </w:tc>
        <w:tc>
          <w:tcPr>
            <w:tcW w:w="700" w:type="dxa"/>
            <w:vAlign w:val="bottom"/>
            <w:gridSpan w:val="2"/>
          </w:tcPr>
          <w:p>
            <w:pPr>
              <w:jc w:val="right"/>
              <w:ind w:right="36"/>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373,676</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260,000</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1,966,906</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1,357,988</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1,764,722</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Interest and Credit Facility</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4,731,430</w:t>
            </w:r>
          </w:p>
        </w:tc>
        <w:tc>
          <w:tcPr>
            <w:tcW w:w="700" w:type="dxa"/>
            <w:vAlign w:val="bottom"/>
            <w:gridSpan w:val="2"/>
          </w:tcPr>
          <w:p>
            <w:pPr>
              <w:jc w:val="right"/>
              <w:ind w:right="36"/>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4,961,169</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5,503,843</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880,778</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702,768</w:t>
            </w:r>
          </w:p>
        </w:tc>
        <w:tc>
          <w:tcPr>
            <w:tcW w:w="700" w:type="dxa"/>
            <w:vAlign w:val="bottom"/>
            <w:gridSpan w:val="2"/>
          </w:tcPr>
          <w:p>
            <w:pPr>
              <w:jc w:val="right"/>
              <w:ind w:right="36"/>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509,418</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668,635</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Gain on fair value adjustment for</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line="206" w:lineRule="exact"/>
              <w:rPr>
                <w:sz w:val="20"/>
                <w:szCs w:val="20"/>
                <w:color w:val="auto"/>
              </w:rPr>
            </w:pPr>
            <w:r>
              <w:rPr>
                <w:rFonts w:ascii="Arial" w:cs="Arial" w:eastAsia="Arial" w:hAnsi="Arial"/>
                <w:sz w:val="18"/>
                <w:szCs w:val="18"/>
                <w:color w:val="auto"/>
              </w:rPr>
              <w:t>(Provision)/Benefit for taxes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780" w:type="dxa"/>
            <w:vAlign w:val="bottom"/>
          </w:tcPr>
          <w:p>
            <w:pPr>
              <w:ind w:left="380"/>
              <w:spacing w:after="0" w:line="266" w:lineRule="exact"/>
              <w:rPr>
                <w:sz w:val="20"/>
                <w:szCs w:val="20"/>
                <w:color w:val="auto"/>
              </w:rPr>
            </w:pPr>
            <w:r>
              <w:rPr>
                <w:rFonts w:ascii="Arial" w:cs="Arial" w:eastAsia="Arial" w:hAnsi="Arial"/>
                <w:sz w:val="18"/>
                <w:szCs w:val="18"/>
                <w:color w:val="auto"/>
              </w:rPr>
              <w:t>net investment loss</w:t>
            </w:r>
            <w:r>
              <w:rPr>
                <w:rFonts w:ascii="Arial" w:cs="Arial" w:eastAsia="Arial" w:hAnsi="Arial"/>
                <w:sz w:val="30"/>
                <w:szCs w:val="30"/>
                <w:color w:val="auto"/>
                <w:vertAlign w:val="superscript"/>
              </w:rPr>
              <w:t>(2)</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(21,969,370)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8,810,102</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(1,263,363)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(48,656,709)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(12,779,891)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2"/>
        </w:trPr>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Net realized gain/(loss)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(2,634,471)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54,144,229</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w w:val="93"/>
              </w:rPr>
              <w:t>23,926,124</w:t>
            </w:r>
          </w:p>
        </w:tc>
        <w:tc>
          <w:tcPr>
            <w:tcW w:w="740" w:type="dxa"/>
            <w:vAlign w:val="bottom"/>
            <w:gridSpan w:val="2"/>
          </w:tcPr>
          <w:p>
            <w:pPr>
              <w:jc w:val="right"/>
              <w:ind w:right="5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(Provision)/Benefit for taxes 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78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 xml:space="preserve">net realized capital gains </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342,802</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(9,769,036)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2"/>
        </w:trPr>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Net change in unrealized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depreciation of investments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(73,213,845)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(13,422,245)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(5,811,797)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Benefit for taxes on unrealized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78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w w:val="97"/>
              </w:rPr>
              <w:t>depreciation of investments</w:t>
            </w:r>
            <w:r>
              <w:rPr>
                <w:rFonts w:ascii="Arial" w:cs="Arial" w:eastAsia="Arial" w:hAnsi="Arial"/>
                <w:sz w:val="30"/>
                <w:szCs w:val="30"/>
                <w:color w:val="auto"/>
                <w:w w:val="97"/>
                <w:vertAlign w:val="superscript"/>
              </w:rPr>
              <w:t>(2)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2,116,784</w:t>
            </w:r>
          </w:p>
        </w:tc>
        <w:tc>
          <w:tcPr>
            <w:tcW w:w="7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16,058,080</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0.83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2,371,829</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Net increase/(decrease) in net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w w:val="93"/>
              </w:rPr>
              <w:t>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(74,994,895)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 (3.38)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8,466,157</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(2,062,771)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69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per-share figures noted are based on weighted averages of 22,181,003, 19,327,938, and 19,320,100 shares outstanding for the years ended December 31, 2016, 2015 and 2014, respectively.</w:t>
      </w:r>
    </w:p>
    <w:p>
      <w:pPr>
        <w:spacing w:after="0" w:line="62" w:lineRule="exact"/>
        <w:rPr>
          <w:rFonts w:ascii="Arial" w:cs="Arial" w:eastAsia="Arial" w:hAnsi="Arial"/>
          <w:sz w:val="18"/>
          <w:szCs w:val="18"/>
          <w:color w:val="auto"/>
        </w:rPr>
      </w:pPr>
    </w:p>
    <w:p>
      <w:pPr>
        <w:ind w:left="300" w:right="599" w:hanging="272"/>
        <w:spacing w:after="0" w:line="259"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Due to our change in tax status to a RIC from a C Corporation, the associated accrued benefits and provisions from previous years were reversed, resulting in a provision for net investment loss, a benefit for net realized gains, and a benefit for unrealized depreciation of investments for the year ended December 31, 2015. Refer to “Note 8 — Income Taxes” to our consolidated financial statements for further detail.</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fiscal years ended December 31, 2016, 2015 and 2014</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Investment income increased to $736,283 for the year ended December 31, 2016, from $290,896 for the year ended December 31, 2015. The increase was primarily due to increased interest income and other income received in 2016. The increase in interest income resulted from our acquisition of interest-bearing debt investments during the fiscal year ended December 31, 2016. As of December 31, 2016, the cost of our debt investments increased to $8,849,434 from $4,177,804 as of December 31, 2015. The increase in other income between periods resulted from the proceeds from Michael Moe’s sale of common shares of 2U, Inc. (f/k/a 2tor, Inc.), one of our former portfolio companies, that Mr. Moe received while serving on the 2U board of directors. The sales proceeds were remitted directly to the Company pursuant to GSV Asset Management’s internal policy whereby any fees or compensation received by a manager, partner, officer or employee of GSV Asset Management in exchange for serving as a director of, or providing consulting services to, any of our portfolio companies will be transferred to us, net of any personal taxes incurred, upon such receipt for the benefit of us and our stockholders.</w:t>
      </w:r>
    </w:p>
    <w:p>
      <w:pPr>
        <w:spacing w:after="0" w:line="70"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Investment income increased to $290,896 for the year ended December 31, 2015, from $185,946 for the year ended December 31, 2014. The increase was primarily due to the addition of several new term loans to Fullbridge, Inc. during the year ended December 31, 2015.</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Total operating expenses decreased to $1,999,646 for the year ended December 31, 2016, from $26,978,235 for the year ended December 31, 2015. Total operating expenses decreased primarily as a result of the reversal of previously accrued incentive fees during the year ended December 31, 2016, which was the result of the realization of $2,634,471 in net losses on investments in the year ended December 31, 2016, as compared to $54,144,229 in net realized gains on investments in the year ended December 31, 2015. The unrealized depreciation of our portfolio investments in the aggregate during the year ended December 31, 2016 also contributed to the reversal of previously accrued incentive fees. Total operating expenses also decreased due to lower management fees resulting from lower average gross assets outstanding, as well as a decrease in interest expense resulting from lower average borrowings under the $18 million senior secured credit facility with Silicon Valley Bank (the “Credit Facility”). There was also no income tax expense incurred for the year ended December 31, 2016. These decreases were minimally offset by an increase in other expenses and professional fees, which include legal, valuation, audit and consulting fees.</w:t>
      </w:r>
    </w:p>
    <w:p>
      <w:pPr>
        <w:spacing w:after="0" w:line="61"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Total operating expenses increased to $26,978,235 for the year ended December 31, 2015, from $21,775,939 for the year ended December 31, 2014. The increase was primarily due to a significant increase in accrued incentive fees and an increase in management fees. This was offset by decreases in interest expense, professional fees, which include legal, valuation, audit and consulting fees, and costs incurred under the Administration Agreement. The increase in incentive fees resulted from the significant increase in realized gains on investments for the year ended December 31, 2015, as compared to the year ended December 31,</w:t>
      </w:r>
    </w:p>
    <w:p>
      <w:pPr>
        <w:spacing w:after="0" w:line="2" w:lineRule="exact"/>
        <w:rPr>
          <w:sz w:val="20"/>
          <w:szCs w:val="20"/>
          <w:color w:val="auto"/>
        </w:rPr>
      </w:pPr>
    </w:p>
    <w:p>
      <w:pPr>
        <w:ind w:left="40" w:right="539"/>
        <w:spacing w:after="0" w:line="290" w:lineRule="auto"/>
        <w:rPr>
          <w:sz w:val="20"/>
          <w:szCs w:val="20"/>
          <w:color w:val="auto"/>
        </w:rPr>
      </w:pPr>
      <w:r>
        <w:rPr>
          <w:rFonts w:ascii="Arial" w:cs="Arial" w:eastAsia="Arial" w:hAnsi="Arial"/>
          <w:sz w:val="16"/>
          <w:szCs w:val="16"/>
          <w:color w:val="auto"/>
        </w:rPr>
        <w:t>2014. The increased management fees were a result of the growth in our average total assets for the year ended December 31, 2015, as compared to the year ended December 31, 2014. This increase was partially offset by the decline in the fair value of our portfolio investments over the same period. The decrease in interest expense resulted from the lower average borrowings under the Credit Facility for the year ended December 31, 2015, as compared to the year ended December 31, 2014. The decrease in costs incurred under the Administration Agreement resulted from a decrease in the overhead allocation. The decrease in professional fees resulted primarily from the write-off of deferred offering costs during the year ended December 31, 2014.</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Investment Loss</w:t>
      </w:r>
    </w:p>
    <w:p>
      <w:pPr>
        <w:spacing w:after="0" w:line="117"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For the year ended December 31, 2016, we recognized no provision or benefit for taxes on net investment loss, whereas for the year ended December 31, 2015, we recognized a provision for taxes on net investment loss of $21,969,370. The provision for taxes on net investment loss decreased between periods due to our election to be treated as a RIC, which resulted in no new tax provisions being accrued. Typically for a taxable entity, a net investment loss would generate a benefit from taxes; however, as a result of our election to be treated as a RIC, we reversed the previously accrued benefits for taxes on net investment loss from prior periods. This reversal resulted in a provision for taxes on net investment loss for the year ended December 31, 2015.</w:t>
      </w:r>
    </w:p>
    <w:p>
      <w:pPr>
        <w:spacing w:after="0" w:line="57"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color w:val="auto"/>
        </w:rPr>
        <w:t>For the year ended December 31, 2015, we recognized a provision for taxes on net investment loss of $21,969,370, compared to our recognition of a benefit for taxes on net investment loss of $8,810,102 for the year ended December 31, 2014. Typically for a taxable entity, a net investment loss would generate a benefit for taxes; however, as a result of our election to be treated as a RIC, we reversed the previously accrued benefits for taxes on net investment loss from prior periods. This reversal resulted in a provision for taxes on net investment loss for the year ended December 31, 2015.</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7"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For the year ended December 31, 2016, we recognized a net investment loss of $1,263,363, compared to a net investment loss of $48,656,709 for the year ended December 31, 2015. The decrease in net investment loss resulted primarily from the large decrease in our operating expenses for the year ended December 31, 2016, as discussed above, as well as the fact that we recognized no provision for taxes on net investment loss for the year ended December 31, 2016, as compared to the year ended December 31, 2015, where we recognized a $21,969,370 provision for taxes on net investment loss.</w:t>
      </w:r>
    </w:p>
    <w:p>
      <w:pPr>
        <w:spacing w:after="0" w:line="50"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For the year ended December 31, 2015, we recognized a net investment loss of $48,656,709, compared to a net investment loss of $12,779,891 for the year ended December 31, 2014. The increase in net investment loss for the year ended December 31, 2015 is primarily the result of our recognition of a provision for taxes on net investment loss and, to a lesser extent, the increased operating expenses discussed above.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 ended December 31, 2016, we recognized net realized losses of $2,634,471, compared to net realized gains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$54,144,229 for the year ended December 31, 2015 and net realized gains of $23,926,124 for the year ended December 31, 2014.</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components of our net realized gains and losses on portfolio investments, excluding treasury investments, are reflected in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tables above, under “— Overview — Investments — (Portfolio Activity).”</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Realized Gains/Losses on Investments</w:t>
      </w:r>
    </w:p>
    <w:p>
      <w:pPr>
        <w:spacing w:after="0" w:line="117"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For the year ended December 31, 2016, we recognized no benefit for taxes on our net realized capital losses due to our election to be treated as a RIC. For the year ended December 31, 2015, we recognized a benefit of $342,802 for taxes on net realized capital gains. Typically for a taxable entity, net realized capital gains would generate a provision for taxes; however, as a result of our election to be treated as a RIC, we reversed the previously accrued provisions for taxes on net realized capital gains from prior periods. This reversal resulted in a benefit from taxes on net realized capital gains for the year ended December 31, 2015.</w:t>
      </w:r>
    </w:p>
    <w:p>
      <w:pPr>
        <w:spacing w:after="0" w:line="50"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For the year ended December 31, 2015, we recognized a benefit of $342,802 for taxes on net realized capital gains, compared to our recognition of a provision of $9,769,036 for taxes on net realized capital gains for the year ended December 31, 2014. Typically for a taxable entity, net realized capital gains will generate a provision for taxes; however, as a result of our election to be treated as a RIC, we reversed the previously accrued provisions for taxes on net realized capital gains from prior periods. This reversal resulted in a benefit for taxes on net realized capital gains for the year ended December 31, 2015.</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ind w:left="60" w:right="699" w:firstLine="270"/>
        <w:spacing w:after="0" w:line="257" w:lineRule="auto"/>
        <w:rPr>
          <w:sz w:val="20"/>
          <w:szCs w:val="20"/>
          <w:color w:val="auto"/>
        </w:rPr>
      </w:pPr>
      <w:r>
        <w:rPr>
          <w:rFonts w:ascii="Arial" w:cs="Arial" w:eastAsia="Arial" w:hAnsi="Arial"/>
          <w:sz w:val="18"/>
          <w:szCs w:val="18"/>
          <w:color w:val="auto"/>
        </w:rPr>
        <w:t>For the year ended December 31, 2016, we had a net change in unrealized depreciation of $73,213,845. For the year ended December 31, 2015, we had a net change in unrealized depreciation of $13,422,245. For the year ended December 31, 2014, we had a net change in unrealized depreciation of $5,811,797. The following tables summarize, by portfolio company, the significant changes in unrealized appreciation and/or depreciation of our investment portfolio for the years ended December 31,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27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7"/>
          </w:tcPr>
          <w:p>
            <w:pPr>
              <w:jc w:val="right"/>
              <w:spacing w:after="0"/>
              <w:rPr>
                <w:sz w:val="20"/>
                <w:szCs w:val="20"/>
                <w:color w:val="auto"/>
              </w:rPr>
            </w:pPr>
            <w:r>
              <w:rPr>
                <w:rFonts w:ascii="Arial" w:cs="Arial" w:eastAsia="Arial" w:hAnsi="Arial"/>
                <w:sz w:val="14"/>
                <w:szCs w:val="14"/>
                <w:b w:val="1"/>
                <w:bCs w:val="1"/>
                <w:color w:val="auto"/>
                <w:w w:val="90"/>
              </w:rPr>
              <w:t>December 31, 2015</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4"/>
            <w:vMerge w:val="continue"/>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23"/>
        </w:trPr>
        <w:tc>
          <w:tcPr>
            <w:tcW w:w="150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Palantir Technologies,</w:t>
            </w: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3"/>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 (14,844,283)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17,198,903</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41,508,965</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24,310,062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17,198,903</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56,353,248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39,154,345</w:t>
            </w:r>
          </w:p>
        </w:tc>
        <w:tc>
          <w:tcPr>
            <w:tcW w:w="0" w:type="dxa"/>
            <w:vAlign w:val="bottom"/>
          </w:tcPr>
          <w:p>
            <w:pPr>
              <w:spacing w:after="0"/>
              <w:rPr>
                <w:sz w:val="1"/>
                <w:szCs w:val="1"/>
                <w:color w:val="auto"/>
              </w:rPr>
            </w:pPr>
          </w:p>
        </w:tc>
      </w:tr>
      <w:tr>
        <w:trPr>
          <w:trHeight w:val="130"/>
        </w:trPr>
        <w:tc>
          <w:tcPr>
            <w:tcW w:w="1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Beamreach Solar, Inc.</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(f/k/a Solexel, Inc.)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(14,281,910)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14,272,843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(14,272,843)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14,018,399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14,027,466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9,067</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PayNearMe,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(13,810,477)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14,000,398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164,410</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(13,835,988)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14,000,398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13,974,887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(25,511)</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Dropbox,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(9,041,704)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13,656,926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13,190,484</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13,656,926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22,232,188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8,575,262</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Fullbridge,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(5,904,068)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8,421,364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877,359</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(7,544,005)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7,417,039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5,777,102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(1,639,937)</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Dataminr,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(5,875,388)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3,164,265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5,513,001</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2,348,736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11,388,389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8,224,124</w:t>
            </w:r>
          </w:p>
        </w:tc>
        <w:tc>
          <w:tcPr>
            <w:tcW w:w="0" w:type="dxa"/>
            <w:vAlign w:val="bottom"/>
          </w:tcPr>
          <w:p>
            <w:pPr>
              <w:spacing w:after="0"/>
              <w:rPr>
                <w:sz w:val="1"/>
                <w:szCs w:val="1"/>
                <w:color w:val="auto"/>
              </w:rPr>
            </w:pPr>
          </w:p>
        </w:tc>
      </w:tr>
      <w:tr>
        <w:trPr>
          <w:trHeight w:val="130"/>
        </w:trPr>
        <w:tc>
          <w:tcPr>
            <w:tcW w:w="15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Avenues Global</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3"/>
          </w:tcPr>
          <w:p>
            <w:pPr>
              <w:ind w:left="180"/>
              <w:spacing w:after="0"/>
              <w:rPr>
                <w:sz w:val="20"/>
                <w:szCs w:val="20"/>
                <w:color w:val="auto"/>
              </w:rPr>
            </w:pPr>
            <w:r>
              <w:rPr>
                <w:rFonts w:ascii="Arial" w:cs="Arial" w:eastAsia="Arial" w:hAnsi="Arial"/>
                <w:sz w:val="14"/>
                <w:szCs w:val="14"/>
                <w:color w:val="auto"/>
              </w:rPr>
              <w:t>Holdings, LLC</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(4,886,897)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10,151,854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6,128,733</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(4,023,121)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11,015,633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863,776</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Declara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(4,506,983)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12,120,657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7,613,674</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(4,506,983)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11,999,999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11,999,999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Twitter,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(4,254,018)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14,271,866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18,525,884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4,254,018</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(3,866,388)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6,977,024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6,116,918</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(860,106)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6,977,024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9,983,306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3,006,282</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Lyft,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(3,305,991)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4,296,334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7,452,493</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3,156,159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7,507,216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13,969,366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6,462,150</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NestGSV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(2,827,142)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9,601,555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5,106,751</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(4,494,804)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8,538,506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6,870,844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(1,667,662)</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Curious.com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(2,011,360)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12,000,006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9,984,954</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(2,015,052)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9,996,311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130"/>
        </w:trPr>
        <w:tc>
          <w:tcPr>
            <w:tcW w:w="1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SPBRX, INC. (f/k/a GSV</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Sustainability</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Partners, Inc.)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(1,940,222)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7,161,412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4,309,778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(2,851,634)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7,161,412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(911,412)</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Ozy Media,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(1,518,995)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10,500,199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10,609,999</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109,800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8,500,199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10,128,994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1,628,795</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Knewton,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(1,171,677)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4,999,999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3,782,409</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(1,217,590)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4,954,086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(45,913)</w:t>
            </w:r>
          </w:p>
        </w:tc>
        <w:tc>
          <w:tcPr>
            <w:tcW w:w="0" w:type="dxa"/>
            <w:vAlign w:val="bottom"/>
          </w:tcPr>
          <w:p>
            <w:pPr>
              <w:spacing w:after="0"/>
              <w:rPr>
                <w:sz w:val="1"/>
                <w:szCs w:val="1"/>
                <w:color w:val="auto"/>
              </w:rPr>
            </w:pPr>
          </w:p>
        </w:tc>
      </w:tr>
      <w:tr>
        <w:trPr>
          <w:trHeight w:val="130"/>
        </w:trPr>
        <w:tc>
          <w:tcPr>
            <w:tcW w:w="15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Strategic Data</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3"/>
          </w:tcPr>
          <w:p>
            <w:pPr>
              <w:ind w:left="180"/>
              <w:spacing w:after="0"/>
              <w:rPr>
                <w:sz w:val="20"/>
                <w:szCs w:val="20"/>
                <w:color w:val="auto"/>
              </w:rPr>
            </w:pPr>
            <w:r>
              <w:rPr>
                <w:rFonts w:ascii="Arial" w:cs="Arial" w:eastAsia="Arial" w:hAnsi="Arial"/>
                <w:sz w:val="14"/>
                <w:szCs w:val="14"/>
                <w:color w:val="auto"/>
              </w:rPr>
              <w:t>Command, LLC</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1,050,905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989,277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2,052,555</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1,063,278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989,277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1,001,650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30"/>
        </w:trPr>
        <w:tc>
          <w:tcPr>
            <w:tcW w:w="1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General Assembly Space,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2,225,392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5,999,961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13,746,764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7,746,803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5,999,961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11,521,372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5,521,411</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Spotify Technology S.A.</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2,711,991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13,599,572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18,931,691</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5,332,119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13,599,572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16,219,700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2,620,128</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3,133,955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9,999,928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13,856,754</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3,856,826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9,999,928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10,722,799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722,871</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Course Hero, Inc.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5,532,303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10,532,304</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5,532,303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5,000,001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6,055,046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539,387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(6,055,046)</w:t>
            </w:r>
          </w:p>
        </w:tc>
        <w:tc>
          <w:tcPr>
            <w:tcW w:w="0" w:type="dxa"/>
            <w:vAlign w:val="bottom"/>
          </w:tcPr>
          <w:p>
            <w:pPr>
              <w:spacing w:after="0"/>
              <w:rPr>
                <w:sz w:val="1"/>
                <w:szCs w:val="1"/>
                <w:color w:val="auto"/>
              </w:rPr>
            </w:pPr>
          </w:p>
        </w:tc>
      </w:tr>
      <w:tr>
        <w:trPr>
          <w:trHeight w:val="189"/>
        </w:trPr>
        <w:tc>
          <w:tcPr>
            <w:tcW w:w="1560" w:type="dxa"/>
            <w:vAlign w:val="bottom"/>
            <w:gridSpan w:val="4"/>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124,066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124,654,546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110,533,640</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(14,120,906)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2"/>
              </w:rPr>
              <w:t>125,277,820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111,032,848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(14,244,972)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Totals</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(73,213,845)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9"/>
              </w:rPr>
              <w:t>308,767,024</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292,013,636</w:t>
            </w:r>
          </w:p>
        </w:tc>
        <w:tc>
          <w:tcPr>
            <w:tcW w:w="9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(16,753,388)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383,485,460</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56,460,457</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9861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9861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-222250</wp:posOffset>
            </wp:positionV>
            <wp:extent cx="1117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-196850</wp:posOffset>
            </wp:positionV>
            <wp:extent cx="1117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-222250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-196850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-222250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-196850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-222250</wp:posOffset>
            </wp:positionV>
            <wp:extent cx="120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-196850</wp:posOffset>
            </wp:positionV>
            <wp:extent cx="120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-222250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-196850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-222250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-196850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-222250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-196850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2016.</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ind w:left="20"/>
              <w:spacing w:after="0"/>
              <w:rPr>
                <w:rFonts w:ascii="Arial" w:cs="Arial" w:eastAsia="Arial" w:hAnsi="Arial"/>
                <w:sz w:val="14"/>
                <w:szCs w:val="14"/>
                <w:b w:val="1"/>
                <w:bCs w:val="1"/>
                <w:color w:val="0000EE"/>
                <w:w w:val="99"/>
              </w:rPr>
            </w:pPr>
            <w:hyperlink w:anchor="page3">
              <w:r>
                <w:rPr>
                  <w:rFonts w:ascii="Arial" w:cs="Arial" w:eastAsia="Arial" w:hAnsi="Arial"/>
                  <w:sz w:val="14"/>
                  <w:szCs w:val="14"/>
                  <w:b w:val="1"/>
                  <w:bCs w:val="1"/>
                  <w:color w:val="0000EE"/>
                  <w:w w:val="99"/>
                </w:rPr>
                <w:t>TABLE OF CONTENTS</w:t>
              </w:r>
            </w:hyperlink>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1"/>
              </w:rPr>
              <w:t>December 31, 2015</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December 31, 2014</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2U, Inc. (f/k/a 2tor, Inc.)</w:t>
            </w:r>
          </w:p>
        </w:tc>
        <w:tc>
          <w:tcPr>
            <w:tcW w:w="9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0"/>
              </w:rPr>
              <w:t>$ (13,310,392)</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10,032,117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23,342,509</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4"/>
              </w:rPr>
              <w:t>13,310,392</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10,877,933</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17,198,903</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56,353,248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39,154,345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17,198,903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45,475,315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28,276,412</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7,443,644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3,164,265</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11,388,389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8,224,124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3,944,745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780,480</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6,466,730</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7,507,216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13,969,366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6,462,150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4,999,054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5,894,116</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6,101,443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207,327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(5,894,116)</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General Assembly Space,</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5,395,948</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5,999,961</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11,521,372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5,521,411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5,999,961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6,125,424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125,463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2,857,204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2,857,204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(2,857,204)</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The rSmart Group,</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1,074,654</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1,267,240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192,586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(1,074,654)</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Circle Media (f/k/a S3</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Digital Corp. (d/b/a</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S3i))</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(1,050,872)</w:t>
            </w: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1,835,610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1,266,621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(568,989)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1,811,314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2,293,197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481,883</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(2,628,721)</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6,594,433</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539,387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(6,055,046)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3,168,108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(3,426,325)</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(2,836,295)</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22,232,188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8,575,262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25,068,483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11,411,557</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Orchestra One, Inc. (f/k/a</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40" w:type="dxa"/>
            <w:vAlign w:val="bottom"/>
            <w:tcBorders>
              <w:right w:val="single" w:sz="8" w:color="CCEEFF"/>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Learnist</w:t>
            </w:r>
          </w:p>
        </w:tc>
        <w:tc>
          <w:tcPr>
            <w:tcW w:w="8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(5,374,947)</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4,959,616</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(4,955,252)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5,379,310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419,695</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Twitter, Inc.</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(25,607,941)</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14,271,866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18,525,884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4,254,018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27,551,563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57,413,522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29,861,959</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(2,623,306)</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251,836,207</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247,684,641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(4,151,566)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302,201,095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300,672,835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(1,528,260)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(13,422,245)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89"/>
              </w:rPr>
              <w:t>327,025,003</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383,485,460</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4"/>
              </w:rPr>
              <w:t>56,460,457</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408,399,713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478,282,415</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4"/>
              </w:rPr>
              <w:t>69,882,702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-2863850</wp:posOffset>
            </wp:positionV>
            <wp:extent cx="52139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2015.</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ind w:left="20"/>
              <w:spacing w:after="0"/>
              <w:rPr>
                <w:rFonts w:ascii="Arial" w:cs="Arial" w:eastAsia="Arial" w:hAnsi="Arial"/>
                <w:sz w:val="14"/>
                <w:szCs w:val="14"/>
                <w:b w:val="1"/>
                <w:bCs w:val="1"/>
                <w:color w:val="0000EE"/>
                <w:w w:val="99"/>
              </w:rPr>
            </w:pPr>
            <w:hyperlink w:anchor="page3">
              <w:r>
                <w:rPr>
                  <w:rFonts w:ascii="Arial" w:cs="Arial" w:eastAsia="Arial" w:hAnsi="Arial"/>
                  <w:sz w:val="14"/>
                  <w:szCs w:val="14"/>
                  <w:b w:val="1"/>
                  <w:bCs w:val="1"/>
                  <w:color w:val="0000EE"/>
                  <w:w w:val="99"/>
                </w:rPr>
                <w:t>TABLE OF CONTENTS</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1"/>
              </w:rPr>
              <w:t>December 31, 2014</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December 31, 2013</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2U, Inc. (f/k/a 2tor, Inc.)</w:t>
            </w: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12,031,001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10,032,117</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23,342,509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4"/>
              </w:rPr>
              <w:t>13,310,392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10,031,318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11,310,709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1,279,391</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Avenues Global</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1,287,770</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10,151,854</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11,303,410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1,151,556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10,150,484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10,014,270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(136,214)</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Control4 Corporation</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(6,289,367)</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7,010,762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13,300,129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6,289,367</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Cricket Media (f/k/a</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ePals Inc.)</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(1,373,074)</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2,448,959</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331,126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(2,117,833)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2,444,759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(744,759)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(1,637,647)</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2,857,204</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(2,857,204)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2,430,950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1,211,393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(1,219,557)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Dropbox,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9,212,846</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25,068,483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11,411,557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13,656,486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15,855,197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2,198,711</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Facebook,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(4,327,603)</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5,236,147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9,563,750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4,327,603</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Fullbridge,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(1,599,234)</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6,396,180</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4,753,412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(1,642,768)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3,784,016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3,740,482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(43,534)</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NestGSV, Inc. (d/b/a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GSV Labs, Inc.)</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(1,432,690)</w:t>
            </w: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5,038,507</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3,760,744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(1,277,763)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1,627,278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1,782,205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154,927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Ozy Media,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1,872,891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8,500,199</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10,738,090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2,237,891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3,865,000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365,000</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15,498,029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9"/>
              </w:rPr>
              <w:t>17,198,903</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45,475,315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28,276,412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21,060,447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33,838,830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12,778,383</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Silver Spring Networks,</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3,002,683</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5,145,271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2,142,588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(3,002,683)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Spotify Technology S.A.</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1,233,464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3,598,472</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5,676,873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2,078,401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3,598,472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4,443,409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844,937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1,881,141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8,299,914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11,260,934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2,961,020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8,299,794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9,379,673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1,079,879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(3,620,982)</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6,101,443</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207,327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(5,894,116)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6,023,973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3,750,839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(2,273,134)</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(39,969,390)</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27,551,563</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57,413,522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29,861,959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32,991,111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102,822,460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69,831,349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Violin Memory, Inc.</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10,615,550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14,819,618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4,204,068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(10,615,550)</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(2,197,185)</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286,567,472</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278,950,670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(7,616,802)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138,743,468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133,323,851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(5,419,617)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(5,811,797)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89"/>
              </w:rPr>
              <w:t>408,399,713</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478,282,415</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4"/>
              </w:rPr>
              <w:t>69,882,702</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290,554,354</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366,248,853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6"/>
              </w:rPr>
              <w:t>75,694,499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2014.</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for Taxes on Unrealized Depreciation of 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 ended December 31, 2016, we recognized a benefit for taxes on unrealized depreciation of investments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$2,116,784, compared to our recognition of a benefit for taxes of $16,058,080 on unrealized depreciation of investments for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year ended December 31, 2015. Our benefit from taxes on unrealized depreciation of investments decreased between periods due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election to be treated as a RIC, which resulted in no accrual of new tax benefits.</w:t>
      </w:r>
    </w:p>
    <w:p>
      <w:pPr>
        <w:spacing w:after="0" w:line="103" w:lineRule="exact"/>
        <w:rPr>
          <w:sz w:val="20"/>
          <w:szCs w:val="20"/>
          <w:color w:val="auto"/>
        </w:rPr>
      </w:pPr>
    </w:p>
    <w:p>
      <w:pPr>
        <w:ind w:left="60" w:right="699" w:firstLine="270"/>
        <w:spacing w:after="0" w:line="257" w:lineRule="auto"/>
        <w:rPr>
          <w:sz w:val="20"/>
          <w:szCs w:val="20"/>
          <w:color w:val="auto"/>
        </w:rPr>
      </w:pPr>
      <w:r>
        <w:rPr>
          <w:rFonts w:ascii="Arial" w:cs="Arial" w:eastAsia="Arial" w:hAnsi="Arial"/>
          <w:sz w:val="18"/>
          <w:szCs w:val="18"/>
          <w:color w:val="auto"/>
        </w:rPr>
        <w:t>For the year ended December 31, 2015, we recognized a benefit for taxes of $16,058,080 on unrealized depreciation of investments.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80"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For the year ended December 31, 2014, we recognized a benefit for taxes of $2,371,829 on unrealized depreciation of investments. The difference between the years ended December 31, 2015 and 2014 is due to the fact that the net unrealized depreciation of our investments increased to approximately $13.4 million for the year ended December 31, 2015, as compared to the net unrealized depreciation of our investments of approximately $5.8 million for the year ended December 31, 2014, as shown in the table above.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Increase/Decrease in Net Assets Resulting from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2016, the net decrease in net assets resulting from operations was $74,994,895.</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2015, the net increase in net assets resulting from operations was $8,466,157.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2014, the net decrease in net assets resulting from operations was $2,062,771.</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Our liquidity and capital resources are generated primarily from sales of our investments and, prior to its expiration in accordance with its terms on December 31, 2016, from advances from the Credit Facility. We have not renewed or extended the Credit Facility. In management’s view, we have sufficient liquidity and capital resources to pay our operating expenses and conduct investment activities over the next twelve months.</w:t>
      </w:r>
    </w:p>
    <w:p>
      <w:pPr>
        <w:spacing w:after="0" w:line="79"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years ended December 31, 2016, 2015, and 2014, our operating expenses were $1,999,646, $26,978,235, and $21,775,939, respectively.</w:t>
      </w:r>
    </w:p>
    <w:p>
      <w:pPr>
        <w:spacing w:after="0" w:line="73"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For the year ended December 31, 2016, our total cash reserves and liquid securities decreased approximately 71%, primarily due to the sales of our unrestricted portfolio investments. We believe that even with this decrease, our current liquid assets are sufficient to meet the Company’s short-term financing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188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920" w:type="dxa"/>
            <w:vAlign w:val="bottom"/>
          </w:tcPr>
          <w:p>
            <w:pPr>
              <w:jc w:val="center"/>
              <w:ind w:left="1"/>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9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8,332,634</w:t>
            </w:r>
          </w:p>
        </w:tc>
        <w:tc>
          <w:tcPr>
            <w:tcW w:w="11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$13,349,877</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3,472,880</w:t>
            </w:r>
          </w:p>
        </w:tc>
        <w:tc>
          <w:tcPr>
            <w:tcW w:w="0" w:type="dxa"/>
            <w:vAlign w:val="bottom"/>
          </w:tcPr>
          <w:p>
            <w:pPr>
              <w:spacing w:after="0"/>
              <w:rPr>
                <w:sz w:val="1"/>
                <w:szCs w:val="1"/>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w w:val="98"/>
              </w:rPr>
              <w:t>Amounts available for borrowing under the Credit Facility</w:t>
            </w:r>
            <w:r>
              <w:rPr>
                <w:rFonts w:ascii="Arial" w:cs="Arial" w:eastAsia="Arial" w:hAnsi="Arial"/>
                <w:sz w:val="29"/>
                <w:szCs w:val="29"/>
                <w:color w:val="auto"/>
                <w:w w:val="98"/>
                <w:vertAlign w:val="superscript"/>
              </w:rPr>
              <w:t>(1)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18,000,000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 portfolio companies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8,729,005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26,486,074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65,586,615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(3)(4)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67,296</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23,673,635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securities of publicly traded portfolio companies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8,729,005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26,553,370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89,260,250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reserves and liquid securities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17,061,639</w:t>
            </w:r>
          </w:p>
        </w:tc>
        <w:tc>
          <w:tcPr>
            <w:tcW w:w="11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57,903,247</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92,733,130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37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64"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leverage and borrowing base restrictions under the Credit Facility. The Credit Facility expired according to its terms on December 31, 2016. Refer to “Note 9 — Long-Term Liabilities” to our consolidated financial statements as of December 31, 2016 for details regarding the Credit Facility.</w:t>
      </w:r>
    </w:p>
    <w:p>
      <w:pPr>
        <w:spacing w:after="0" w:line="73" w:lineRule="exact"/>
        <w:rPr>
          <w:rFonts w:ascii="Arial" w:cs="Arial" w:eastAsia="Arial" w:hAnsi="Arial"/>
          <w:sz w:val="18"/>
          <w:szCs w:val="18"/>
          <w:color w:val="auto"/>
        </w:rPr>
      </w:pPr>
    </w:p>
    <w:p>
      <w:pPr>
        <w:ind w:left="300" w:right="579" w:hanging="272"/>
        <w:spacing w:after="0" w:line="308"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“Unrestricted securities” represents common stock of our publicly traded companies that are not subject to any restrictions upon sale. We may incur losses if we liquidate these positions to pay operating expenses or fund new investments.</w:t>
      </w:r>
    </w:p>
    <w:p>
      <w:pPr>
        <w:spacing w:after="0" w:line="38" w:lineRule="exact"/>
        <w:rPr>
          <w:rFonts w:ascii="Arial" w:cs="Arial" w:eastAsia="Arial" w:hAnsi="Arial"/>
          <w:sz w:val="17"/>
          <w:szCs w:val="17"/>
          <w:color w:val="auto"/>
        </w:rPr>
      </w:pPr>
    </w:p>
    <w:p>
      <w:pPr>
        <w:ind w:left="300" w:right="519" w:hanging="272"/>
        <w:spacing w:after="0" w:line="259"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2015, this balance represented our shares of common stock of Cricket Media (f/k/a ePals Inc.). These shares were freely tradable as of December 31, 2015; however, at certain times in the past, these shares may have been subject to black-out periods as a result of Michael Moe’s previously held seat on the board of directors of Cricket Media. Mr. Moe resigned from his position as a director of Cricket Media in May 2016.</w:t>
      </w:r>
    </w:p>
    <w:p>
      <w:pPr>
        <w:spacing w:after="0" w:line="78" w:lineRule="exact"/>
        <w:rPr>
          <w:rFonts w:ascii="Arial" w:cs="Arial" w:eastAsia="Arial" w:hAnsi="Arial"/>
          <w:sz w:val="18"/>
          <w:szCs w:val="18"/>
          <w:color w:val="auto"/>
        </w:rPr>
      </w:pPr>
    </w:p>
    <w:p>
      <w:pPr>
        <w:ind w:left="300" w:right="619" w:hanging="272"/>
        <w:spacing w:after="0" w:line="276"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of December 31, 2014, this balance represented our shares of common stock of 2U, Inc. (f/k/a 2tor, Inc.) and Cricket Media (f/k/a ePals Inc.). These shares were freely tradable as of December 31, 2014; however, at certain times in the past, these shares may have been subject to black-out periods as a result of Michael Moe’s previous position as a director of both 2U, Inc. and Cricket Media. Mr. Moe resigned from his position as a director of Cricket Media in May 2016. Mr. Moe’s term as a director of 2U, Inc. expired on June 7, 2016, and he did not stand for re-election.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 ended December 31, 2016, cash and cash equivalents decreased to $8,332,634 at the end of the year, from</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$13,349,877 at the beginning of the year. The decrease in cash and cash equivalents primarily resulted from $4,993,660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$7,055,718 in payments to GSV Asset Management for earned incentive and management fees, respectively, a cash distribution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$887,240 and interest payments of $3,622,500, as well as the payment of other operating expenses. The decrease in cash and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equivalents was partially offset by $12,438,247 in net sales of investments, excluding treasury strips, as well as $3,685,000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maturities of treasury strips.</w:t>
      </w:r>
    </w:p>
    <w:p>
      <w:pPr>
        <w:spacing w:after="0" w:line="200" w:lineRule="exact"/>
        <w:rPr>
          <w:sz w:val="20"/>
          <w:szCs w:val="20"/>
          <w:color w:val="auto"/>
        </w:rPr>
      </w:pPr>
    </w:p>
    <w:p>
      <w:pPr>
        <w:spacing w:after="0" w:line="3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our equity or debt securities during the years ended December 31, 2016 or 2015.</w:t>
      </w:r>
    </w:p>
    <w:p>
      <w:pPr>
        <w:spacing w:after="0" w:line="117" w:lineRule="exact"/>
        <w:rPr>
          <w:sz w:val="20"/>
          <w:szCs w:val="20"/>
          <w:color w:val="auto"/>
        </w:rPr>
      </w:pPr>
    </w:p>
    <w:p>
      <w:pPr>
        <w:ind w:left="60" w:right="1579" w:firstLine="270"/>
        <w:spacing w:after="0" w:line="277" w:lineRule="auto"/>
        <w:rPr>
          <w:sz w:val="20"/>
          <w:szCs w:val="20"/>
          <w:color w:val="auto"/>
        </w:rPr>
      </w:pPr>
      <w:r>
        <w:rPr>
          <w:rFonts w:ascii="Arial" w:cs="Arial" w:eastAsia="Arial" w:hAnsi="Arial"/>
          <w:sz w:val="18"/>
          <w:szCs w:val="18"/>
          <w:color w:val="auto"/>
        </w:rPr>
        <w:t>As a result of our distribution paid on December 31, 2015, we issued 2,860,903 shares of common stock. Refer to “— Distributions” below for details of our distributions paid.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Facility expired according to its terms on December 31, 2016.</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jc w:val="right"/>
              <w:ind w:right="28"/>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5"/>
              </w:rPr>
              <w:t>Less than</w:t>
            </w:r>
          </w:p>
        </w:tc>
        <w:tc>
          <w:tcPr>
            <w:tcW w:w="18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1 – 3 years</w:t>
            </w:r>
          </w:p>
        </w:tc>
        <w:tc>
          <w:tcPr>
            <w:tcW w:w="1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3 – 5 years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48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50"/>
        </w:trPr>
        <w:tc>
          <w:tcPr>
            <w:tcW w:w="3480" w:type="dxa"/>
            <w:vAlign w:val="bottom"/>
            <w:gridSpan w:val="3"/>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5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January 5, 2017, when the $30.0 million United States Treasury Bill matured and the $3.5 million margin deposit that was posted as collateral was returned.</w:t>
      </w:r>
    </w:p>
    <w:p>
      <w:pPr>
        <w:spacing w:after="0" w:line="73" w:lineRule="exact"/>
        <w:rPr>
          <w:rFonts w:ascii="Arial" w:cs="Arial" w:eastAsia="Arial" w:hAnsi="Arial"/>
          <w:sz w:val="18"/>
          <w:szCs w:val="18"/>
          <w:color w:val="auto"/>
        </w:rPr>
      </w:pPr>
    </w:p>
    <w:p>
      <w:pPr>
        <w:ind w:left="300" w:right="1259" w:hanging="272"/>
        <w:spacing w:after="0" w:line="342" w:lineRule="auto"/>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balance shown for the Convertible Senior Notes reflects the principal balance payable to investors. Refer to “Note 9 — Long-Term Liabilities” to our consolidated financial statements as of December 31, 2016, for more information.</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619" w:firstLine="270"/>
        <w:spacing w:after="0" w:line="308" w:lineRule="auto"/>
        <w:rPr>
          <w:sz w:val="20"/>
          <w:szCs w:val="20"/>
          <w:color w:val="auto"/>
        </w:rPr>
      </w:pPr>
      <w:r>
        <w:rPr>
          <w:rFonts w:ascii="Arial" w:cs="Arial" w:eastAsia="Arial" w:hAnsi="Arial"/>
          <w:sz w:val="17"/>
          <w:szCs w:val="17"/>
          <w:color w:val="auto"/>
        </w:rPr>
        <w:t>As of December 31, 2016,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2016.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167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Amount per</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August 16, 2016</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2"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69" w:lineRule="exact"/>
        <w:rPr>
          <w:rFonts w:ascii="Arial" w:cs="Arial" w:eastAsia="Arial" w:hAnsi="Arial"/>
          <w:sz w:val="17"/>
          <w:szCs w:val="17"/>
          <w:color w:val="auto"/>
        </w:rPr>
      </w:pPr>
    </w:p>
    <w:p>
      <w:pPr>
        <w:ind w:left="300" w:right="719" w:hanging="272"/>
        <w:spacing w:after="0" w:line="277"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85"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Our current intention is to make any future distributions out of assets legally available therefrom in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Although we elected to be treated as a RIC under Subchapter M of the Code beginning with our taxable year ended December 31, 2014 and continue to qualify to be treated as a RIC,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The GSVC Holdings included in our consolidated financial statements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74"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We have qualified to be treated as a RIC for the 2015 and 2016 taxable years and continue to operate in a manner so as to qualify for the tax treatment applicable to RICs.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consolidated financial statements for the year ended December 31, 2016 for more information.</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December 31, 2016,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1 — Nature of Operations and Significant Accounting Policies — Summary of</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Significant Accounting Policies” and “Note 9 — Long-Term Liabilities” to our consolidated financial statements as of December 31, 2016 for more information regarding the Convertible Senior Notes.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We entered into a loan agreement, effective December 31, 2013, with Silicon Valley Bank to provide us with the Credit Facility, which expired on December 31, 2016 in accordance with its terms. The Credit Facility bore interest at a per annum rate equal to the greater of (i) the prime rate plus 4.75% or (ii) 8.0% on amounts drawn.. Refer to “Note 9 — Long-Term Liabilities” to our consolidated financial statements as of December 31, 2016 for a detailed discussion of the Credit Facility.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We have entered into the Investment Advisory Agreement with GSV Asset Management. See “Note 2 — Related-Party Arrangements” to our consolidated financial statements as of December 31, 2016 for more information about the Investment Advisory Agreement. GSV Asset Management is controlled by Michael T. Moe, our Chief Executive Officer and Chair of our board of directors. Mr. Moe, through his ownership interest in GSV Asset Management, is entitled to a portion of any profits earned by GSV Asset Management in performing its services under the Investment Advisory Agreement. Mr. Moe, William Tanona, our Chief Financial Officer, Treasurer and Secretary, and Mark Flynn, our President, as principals of GSV Asset Management, collectively manage the business and internal affairs of GSV Asset Management. Mark Klein, a member of our board of directors, or entities with which he is affiliated, receives fees from GSV Asset Management equal to a percentage of each of the base management fee and the incentive fee paid by us to GSV Asset Management pursuant to a consulting agreement with GSV Asset Management.</w:t>
      </w:r>
    </w:p>
    <w:p>
      <w:pPr>
        <w:spacing w:after="0" w:line="8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have entered into the Administration Agreement with GSV Capital Service Company to provide administrative services, including furnishing us with office facilities, equipment, clerical, bookkeeping services and other administrative services. GSV Asset Management controls GSV Capital Service Company. We reimburse GSV Capital Service Company an allocable portion of overhead and other expenses in performing its obligations under the Administration Agreement. While there is no limit on the total amount of expenses we may be required to reimburse GSV Capital Service Company, our administrator will only charge us for the actual expenses it incurs on our behalf, or our allocable portion thereof, without any profit to GSV Capital Service Company. See “Note 2 — Related-Party Arrangements” to our consolidated financial statements as of December 31, 2016 for more information.</w:t>
      </w:r>
    </w:p>
    <w:p>
      <w:pPr>
        <w:spacing w:after="0" w:line="5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Mark Moe, who is the brother of our Chief Executive Officer, Michael Moe, serves as Vice President of Business Development, Global Expansion for NestGSV, Inc. (d/b/a GSV Labs, Inc.), one of our portfolio companies. Diane Flynn, who is the spouse of our President, Mark Flynn, served as Chief Marketing Officer of NestGSV, Inc. until her resignation in January 2017. Ron Johnson, the Chief Executive Officer of Enjoy Technology, Inc., one of our portfolio companies, is the brother-in-law of our President, Mark Flynn. As of December 31, 2016, the fair values of our investments in NestGSV, Inc. and Enjoy Technology, Inc. were $5,106,751 and $5,443,091, respectively. Another one of our portfolio companies, SPBRX, INC. (f/k/a GSV Sustainability Partners, Inc.), previously utilized office space paid for by GSV Asset Management without paying GSV Asset Management or us any consideration for rent. We did not consider this an arms-length transaction. In August 2016, SPBRX, INC. (f/k/a GSV Sustainability Partners, Inc.) moved out of the office space paid for by GSV Asset Management.</w:t>
      </w:r>
    </w:p>
    <w:p>
      <w:pPr>
        <w:spacing w:after="0" w:line="74"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March 16, 2017, GSV Asset Management also manages the Coursera Funds and serves as sub-adviser for certain investment series of the GSV Ventures Funds, and will likely manage one or more private funds, or series within such private funds, in the future. We have no ownership interests in the Coursera Funds or the GSV Ventures Funds sub-advised by GSV Asset Management.</w:t>
      </w:r>
    </w:p>
    <w:p>
      <w:pPr>
        <w:spacing w:after="0" w:line="70"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While the investment focus of each of these entities, including the Coursera Funds and the GSV Ventures Funds, may be different from our investment objective, it is likely that new investment opportunities that meet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70" w:lineRule="auto"/>
        <w:rPr>
          <w:sz w:val="20"/>
          <w:szCs w:val="20"/>
          <w:color w:val="auto"/>
        </w:rPr>
      </w:pPr>
      <w:r>
        <w:rPr>
          <w:rFonts w:ascii="Arial" w:cs="Arial" w:eastAsia="Arial" w:hAnsi="Arial"/>
          <w:sz w:val="17"/>
          <w:szCs w:val="17"/>
          <w:color w:val="auto"/>
        </w:rPr>
        <w:t>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4"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Further, 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our portfolio companies). GSV Asset Management has, however, adopted an internal policy whereby any fees or compensation received by a manager, partner, officer or employee of GSV Asset Management in exchange for serving as a director of, or providing consulting services to, any of our portfolio companies will be transferred to GSV Capital Corp., net of any personal taxes incurred, upon such receipt for the benefit of GSV Capital Corp. and our stockholders.</w:t>
      </w:r>
    </w:p>
    <w:p>
      <w:pPr>
        <w:spacing w:after="0" w:line="71"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46"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We also adopted a code of ethics which applies to, among others, our senior officers, including our Chief Executive Officer, President, Chief Financial Officer and Chief Compliance Officer, as well as our other officers, directors and employees. Our code of ethics requires that all employees and directors avoid any conflict, or the appearance of a conflict, between an individual’s personal interests and our interests. Pursuant to our code of ethics, each officer,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1119" w:firstLine="270"/>
        <w:spacing w:after="0" w:line="308" w:lineRule="auto"/>
        <w:rPr>
          <w:sz w:val="20"/>
          <w:szCs w:val="20"/>
          <w:color w:val="auto"/>
        </w:rPr>
      </w:pPr>
      <w:r>
        <w:rPr>
          <w:rFonts w:ascii="Arial" w:cs="Arial" w:eastAsia="Arial" w:hAnsi="Arial"/>
          <w:sz w:val="17"/>
          <w:szCs w:val="17"/>
          <w:color w:val="auto"/>
        </w:rPr>
        <w:t>We apply fair value accounting in accordance with GAAP and the AICPA’s Audit and Accounting Guide for Investment Companies. We value our assets on a quarterly basis, or more frequently if required under the 1940 Act.</w:t>
      </w:r>
    </w:p>
    <w:p>
      <w:pPr>
        <w:spacing w:after="0" w:line="38"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7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we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539" w:firstLine="270"/>
        <w:spacing w:after="0" w:line="281"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Valuations based on unobservable inputs that reflect management’s best estimate of what market participants would</w:t>
      </w:r>
      <w:r>
        <w:rPr>
          <w:rFonts w:ascii="Arial" w:cs="Arial" w:eastAsia="Arial" w:hAnsi="Arial"/>
          <w:sz w:val="17"/>
          <w:szCs w:val="17"/>
          <w:b w:val="1"/>
          <w:bCs w:val="1"/>
          <w:color w:val="auto"/>
        </w:rPr>
        <w:t xml:space="preserve"> </w:t>
      </w:r>
      <w:r>
        <w:rPr>
          <w:rFonts w:ascii="Arial" w:cs="Arial" w:eastAsia="Arial" w:hAnsi="Arial"/>
          <w:sz w:val="17"/>
          <w:szCs w:val="17"/>
          <w:color w:val="auto"/>
        </w:rPr>
        <w:t>use in pricing the 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6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to our consolidated financial statements as of December 31, 2016, may include changes in fair value that are attributable to both observable inputs (Levels 1 and 2) and unobservable inputs (Level 3).</w:t>
      </w:r>
    </w:p>
    <w:p>
      <w:pPr>
        <w:spacing w:after="0" w:line="82"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“Note 1 — Nature of Operations and Significant Accounting Policies — Levelling Policy” to our consolidated financial statements as of December 31, 2016, for a detailed discussion of the levelling of our financial assets or liabilities and events that may cause a reclassification within the fair value hierarchy.</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We may also obtain quotes with respect to certain of our investments from pricing services, brokers or dealers in order to value assets. When doing so, we determine whether the quote obtained is sufficient according to GAAP to determine the fair value of the security. If determined to be adequate, we use the quote obtained.</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does not reliably represent fair value, shall each be valued as follows:</w:t>
      </w:r>
    </w:p>
    <w:p>
      <w:pPr>
        <w:spacing w:after="0" w:line="57" w:lineRule="exact"/>
        <w:rPr>
          <w:sz w:val="20"/>
          <w:szCs w:val="20"/>
          <w:color w:val="auto"/>
        </w:rPr>
      </w:pPr>
    </w:p>
    <w:p>
      <w:pPr>
        <w:ind w:left="540" w:right="699" w:hanging="262"/>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659" w:hanging="26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540" w:right="519" w:hanging="262"/>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Valuation Committee discusses the valuations and recommends to our board of directors a fair value for each investment in the portfolio based on the input of GSV Asset Management and the independent third-party valuation firm; and</w:t>
      </w:r>
    </w:p>
    <w:p>
      <w:pPr>
        <w:spacing w:after="0" w:line="15" w:lineRule="exact"/>
        <w:rPr>
          <w:rFonts w:ascii="Arial" w:cs="Arial" w:eastAsia="Arial" w:hAnsi="Arial"/>
          <w:sz w:val="16"/>
          <w:szCs w:val="16"/>
          <w:color w:val="auto"/>
        </w:rPr>
      </w:pPr>
    </w:p>
    <w:p>
      <w:pPr>
        <w:ind w:left="540" w:right="559" w:hanging="262"/>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we consider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We assign a weighting based upon the relevance of each method to determine the fair value of each investment.</w:t>
      </w:r>
    </w:p>
    <w:p>
      <w:pPr>
        <w:spacing w:after="0" w:line="81"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The Valuation Committee engages at least one independent valuation firm to perform valuations of our investments that are not publicly traded or for which there are no readily available market quotations. Our board of directors considers the independent valuations provided by the valuation firm(s), among other factors, in making our fair value determinations.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40" w:right="1179" w:firstLine="270"/>
        <w:spacing w:after="0" w:line="277" w:lineRule="auto"/>
        <w:rPr>
          <w:sz w:val="20"/>
          <w:szCs w:val="20"/>
          <w:color w:val="auto"/>
        </w:rPr>
      </w:pPr>
      <w:r>
        <w:rPr>
          <w:rFonts w:ascii="Arial" w:cs="Arial" w:eastAsia="Arial" w:hAnsi="Arial"/>
          <w:sz w:val="18"/>
          <w:szCs w:val="18"/>
          <w:color w:val="auto"/>
        </w:rPr>
        <w:t>From and including January 1, 2017 through March 15, 2017, we did not close on any investment purchases. From and including January 1, 2017 through March 15, 2017, we did not sell any investments.</w:t>
      </w:r>
    </w:p>
    <w:p>
      <w:pPr>
        <w:spacing w:after="0" w:line="62"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85"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On March 1, 2017, Snap Inc. listed its shares on the New York Stock Exchange in an IPO with an offering price of $17.00 per share. Our shares of Snap Inc. are locked up for 150 days following the IPO. This prevents us from selling the shares until 150 days after March 1, 2017.</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 Waiver</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GSV Asset Management has voluntarily agreed to waive a portion of the advisory fees payable by us to GSV Asset Management under the Investment Advisory Agreement. Pursuant to the waiver, effective January 1, 2017 through December 31, 2017, we will pay GSV Asset Management a base management fee of 1.75%, a 0.25% reduction from the 2.0% base management fee payable under the Investment Advisory Agreement. This waiver of a portion of the base management fee is not subject to recourse against or reimbursement by us.</w:t>
      </w:r>
    </w:p>
    <w:p>
      <w:pPr>
        <w:spacing w:after="0" w:line="76" w:lineRule="exact"/>
        <w:rPr>
          <w:sz w:val="20"/>
          <w:szCs w:val="20"/>
          <w:color w:val="auto"/>
        </w:rPr>
      </w:pPr>
    </w:p>
    <w:p>
      <w:pPr>
        <w:ind w:left="40" w:right="4779" w:hanging="39"/>
        <w:spacing w:after="0" w:line="393" w:lineRule="auto"/>
        <w:rPr>
          <w:sz w:val="20"/>
          <w:szCs w:val="20"/>
          <w:color w:val="auto"/>
        </w:rPr>
      </w:pPr>
      <w:r>
        <w:rPr>
          <w:rFonts w:ascii="Arial" w:cs="Arial" w:eastAsia="Arial" w:hAnsi="Arial"/>
          <w:sz w:val="18"/>
          <w:szCs w:val="18"/>
          <w:b w:val="1"/>
          <w:bCs w:val="1"/>
          <w:color w:val="auto"/>
        </w:rPr>
        <w:t xml:space="preserve">Item 7A.Quantitative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such as the recent market volatility in China, geopolitical unrest in the Middle East and as a result of the referendum vote relating to the United Kingdom’s exit from the E.U.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As of December 31, 2016, all of our debt investments bore a fixed rate of interest. The Credit Facility, which was indexed to the prime rate, expired according to its terms on December 31, 2016.</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111760</wp:posOffset>
            </wp:positionV>
            <wp:extent cx="5213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00" w:type="dxa"/>
            <w:vAlign w:val="bottom"/>
            <w:gridSpan w:val="10"/>
            <w:shd w:val="clear" w:color="auto" w:fill="CCEEFF"/>
          </w:tcPr>
          <w:p>
            <w:pPr>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Reports of Independent Registered Public Accounting Firms</w:t>
              </w:r>
            </w:hyperlink>
          </w:p>
        </w:tc>
        <w:tc>
          <w:tcPr>
            <w:tcW w:w="480" w:type="dxa"/>
            <w:vAlign w:val="bottom"/>
            <w:gridSpan w:val="2"/>
            <w:shd w:val="clear" w:color="auto" w:fill="CCEEFF"/>
          </w:tcPr>
          <w:p>
            <w:pPr>
              <w:jc w:val="right"/>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c>
          <w:tcPr>
            <w:tcW w:w="120" w:type="dxa"/>
            <w:vAlign w:val="bottom"/>
            <w:shd w:val="clear" w:color="auto" w:fill="CCEEFF"/>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0"/>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Assets and Liabilities as of December 31, 2016 and 2015</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0"/>
            <w:shd w:val="clear" w:color="auto" w:fill="CCEEFF"/>
          </w:tcPr>
          <w:p>
            <w:pPr>
              <w:spacing w:after="0" w:line="176"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Consolidated Statements of Operations for the years ended December 31, 2016, 2015 and 2014</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0"/>
          </w:tcPr>
          <w:p>
            <w:pPr>
              <w:spacing w:after="0" w:line="17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Consolidated Statements of Changes in Net Assets for the years ended December 31, 2016, 2015 and</w:t>
              </w:r>
            </w:hyperlink>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2014</w:t>
              </w:r>
            </w:hyperlink>
          </w:p>
        </w:tc>
        <w:tc>
          <w:tcPr>
            <w:tcW w:w="26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2"/>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0"/>
            <w:shd w:val="clear" w:color="auto" w:fill="CCEEFF"/>
          </w:tcPr>
          <w:p>
            <w:pPr>
              <w:spacing w:after="0" w:line="176" w:lineRule="exact"/>
              <w:rPr>
                <w:rFonts w:ascii="Arial" w:cs="Arial" w:eastAsia="Arial" w:hAnsi="Arial"/>
                <w:sz w:val="18"/>
                <w:szCs w:val="18"/>
                <w:color w:val="0000EE"/>
                <w:w w:val="98"/>
              </w:rPr>
            </w:pPr>
            <w:hyperlink w:anchor="page82">
              <w:r>
                <w:rPr>
                  <w:rFonts w:ascii="Arial" w:cs="Arial" w:eastAsia="Arial" w:hAnsi="Arial"/>
                  <w:sz w:val="18"/>
                  <w:szCs w:val="18"/>
                  <w:color w:val="0000EE"/>
                  <w:w w:val="98"/>
                </w:rPr>
                <w:t>Consolidated Statements of Cash Flows for the years ended December 31, 2016, 2015 and 2014</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0"/>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Schedule of Investments as of December 31, 2016</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0"/>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Schedule of Investments as of December 31, 2015</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0"/>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90"/>
        </w:trPr>
        <w:tc>
          <w:tcPr>
            <w:tcW w:w="1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2980" w:type="dxa"/>
            <w:vAlign w:val="bottom"/>
            <w:gridSpan w:val="3"/>
          </w:tcPr>
          <w:p>
            <w:pPr>
              <w:jc w:val="right"/>
              <w:ind w:right="1380"/>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6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Woodside, California</w:t>
      </w:r>
    </w:p>
    <w:p>
      <w:pPr>
        <w:spacing w:after="0" w:line="10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have audited the accompanying consolidated statement of assets and liabilities of GSV Capital Corp. and subsidiaries (the“Company”), including the consolidated schedule of investments, as of December 31, 2016 and 2015, and the related consolidated statements of operations, changes in net assets, cash flows, and financial highlights (presented in Note 7) for the year ended December 31, 2016 and 2015. Our audits also included the 2016 and 2015 financial statement schedules listed in the Index at Item 15(a)(2).These financial statements, financial highlights and financial statement schedules are the responsibility of the Company's management. Our responsibility is to express an opinion on the financial statements, financial highlights and financial statement schedules based on our audits.</w:t>
      </w:r>
    </w:p>
    <w:p>
      <w:pPr>
        <w:spacing w:after="0" w:line="8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financial highlights and financial statement schedules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confirmation of investments as of December 31, 2016 and 2015, by correspondence with the portfolio companies and custodian; when replies were not received, we performed other auditing procedures. We believe that our audits provide a reasonable basis for our opinion.</w:t>
      </w:r>
    </w:p>
    <w:p>
      <w:pPr>
        <w:spacing w:after="0" w:line="71"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In our opinion, such consolidated financial statements, financial highlights and financial statement schedules present fairly, in all material respects, the financial position of GSV Capital Corp. and subsidiaries as of December 31, 2016 and 2015, and the results of their operations, changes in their net assets, cash flows, and financial highlights for the year ended December 31, 2016 and 2015, in conformity with accounting principles generally accepted in the United States of America. Also, in our opinion, such financial statement schedules, when considered in relation to the basic 2016 and 2015 consolidated financial statements taken as a whole, present fairly, in all material respects, the information set forth therein.</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the Company’s internal control over financial reporting as of December 31, 2016, based on criteria established in </w:t>
      </w:r>
      <w:r>
        <w:rPr>
          <w:rFonts w:ascii="Arial" w:cs="Arial" w:eastAsia="Arial" w:hAnsi="Arial"/>
          <w:sz w:val="17"/>
          <w:szCs w:val="17"/>
          <w:i w:val="1"/>
          <w:iCs w:val="1"/>
          <w:color w:val="auto"/>
        </w:rPr>
        <w:t>Internal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report dated March 16, 2017 expressed an unqualified opinion on the Company’s internal control over financial reporting.</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16, 2017</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103" w:lineRule="exact"/>
        <w:rPr>
          <w:sz w:val="20"/>
          <w:szCs w:val="20"/>
          <w:color w:val="auto"/>
        </w:rPr>
      </w:pPr>
    </w:p>
    <w:p>
      <w:pPr>
        <w:jc w:val="both"/>
        <w:ind w:left="40" w:right="639" w:firstLine="270"/>
        <w:spacing w:after="0" w:line="297" w:lineRule="auto"/>
        <w:rPr>
          <w:sz w:val="20"/>
          <w:szCs w:val="20"/>
          <w:color w:val="auto"/>
        </w:rPr>
      </w:pPr>
      <w:r>
        <w:rPr>
          <w:rFonts w:ascii="Arial" w:cs="Arial" w:eastAsia="Arial" w:hAnsi="Arial"/>
          <w:sz w:val="16"/>
          <w:szCs w:val="16"/>
          <w:color w:val="auto"/>
        </w:rPr>
        <w:t>We have audited the consolidated statement of assets and liabilities of GSV Capital Corp. and subsidiaries (the “Company”), including the consolidated schedule of investments, as of December 31, 2014 (not presented herein), and the related consolidated statements of operations, changes in net assets, and cash flows for the year ended December 31, 2014, and financial highlights for each of the three years in the period ended December 31, 2014.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verification by confirmation of securities as of December 31, 2014, by correspondence with the portfolio companies and custodian, or by other appropriate auditing procedures where replies were not received.We believe that our audits provide a reasonable basis for our opinion.</w:t>
      </w:r>
    </w:p>
    <w:p>
      <w:pPr>
        <w:spacing w:after="0" w:line="84" w:lineRule="exact"/>
        <w:rPr>
          <w:sz w:val="20"/>
          <w:szCs w:val="20"/>
          <w:color w:val="auto"/>
        </w:rPr>
      </w:pPr>
    </w:p>
    <w:p>
      <w:pPr>
        <w:ind w:left="40" w:right="739" w:firstLine="270"/>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GSV Capital Corp. and subsidiaries as of December 31, 2014, and the results of their operations, their changes in net assets, and their cash flows for the year ended December 31, 2014, and their financial highlights for each of the three years in the period ended December 31, 2014, in conformity with accounting principles generally accepted in the United States of America.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right="939"/>
        <w:spacing w:after="0" w:line="323" w:lineRule="auto"/>
        <w:rPr>
          <w:sz w:val="20"/>
          <w:szCs w:val="20"/>
          <w:color w:val="auto"/>
        </w:rPr>
      </w:pPr>
      <w:r>
        <w:rPr>
          <w:rFonts w:ascii="Arial" w:cs="Arial" w:eastAsia="Arial" w:hAnsi="Arial"/>
          <w:sz w:val="16"/>
          <w:szCs w:val="16"/>
          <w:color w:val="auto"/>
        </w:rPr>
        <w:t>March 16, 2015 (except as to Note 9 in the previously filed 2015 financial statements regarding the effects of the retrospective adoption of ASU 2015-03 as of December 31, 2014, which is not presented herein and is as of July 21, 2016)</w:t>
      </w:r>
    </w:p>
    <w:p>
      <w:pPr>
        <w:spacing w:after="0" w:line="200" w:lineRule="exact"/>
        <w:rPr>
          <w:sz w:val="20"/>
          <w:szCs w:val="20"/>
          <w:color w:val="auto"/>
        </w:rPr>
      </w:pPr>
    </w:p>
    <w:p>
      <w:pPr>
        <w:spacing w:after="0" w:line="2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Investments at fair value: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controlled securities (cost of $22,893,441 and $21,830,392,</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5940" w:type="dxa"/>
            <w:vAlign w:val="bottom"/>
            <w:gridSpan w:val="2"/>
            <w:shd w:val="clear" w:color="auto" w:fill="CCEEFF"/>
          </w:tcPr>
          <w:p>
            <w:pPr>
              <w:ind w:left="360"/>
              <w:spacing w:after="0" w:line="254" w:lineRule="exact"/>
              <w:rPr>
                <w:sz w:val="20"/>
                <w:szCs w:val="20"/>
                <w:color w:val="auto"/>
              </w:rPr>
            </w:pPr>
            <w:r>
              <w:rPr>
                <w:rFonts w:ascii="Arial" w:cs="Arial" w:eastAsia="Arial" w:hAnsi="Arial"/>
                <w:sz w:val="16"/>
                <w:szCs w:val="16"/>
                <w:color w:val="auto"/>
              </w:rPr>
              <w:t>respectively)</w:t>
            </w:r>
            <w:r>
              <w:rPr>
                <w:rFonts w:ascii="Arial" w:cs="Arial" w:eastAsia="Arial" w:hAnsi="Arial"/>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19,037,566</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22,871,790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Investments in affiliated securities (cost of $51,773,388 and $73,942,123,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940" w:type="dxa"/>
            <w:vAlign w:val="bottom"/>
            <w:gridSpan w:val="2"/>
          </w:tcPr>
          <w:p>
            <w:pPr>
              <w:ind w:left="360"/>
              <w:spacing w:after="0" w:line="254" w:lineRule="exact"/>
              <w:rPr>
                <w:sz w:val="20"/>
                <w:szCs w:val="20"/>
                <w:color w:val="auto"/>
              </w:rPr>
            </w:pPr>
            <w:r>
              <w:rPr>
                <w:rFonts w:ascii="Arial" w:cs="Arial" w:eastAsia="Arial" w:hAnsi="Arial"/>
                <w:sz w:val="16"/>
                <w:szCs w:val="16"/>
                <w:color w:val="auto"/>
              </w:rPr>
              <w:t>respectively)</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42,444,690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66,075,585</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non-controlled/non-affiliated securities (cost of $204,101,445 and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$197,577,328, respectively)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200,532,890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260,861,392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Investments in treasury bill (cost of $29,998,750 and $29,999,968, respectively)</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29,998,490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30,000,000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Investments owned and pledged (amortized cost of $0 and $3,675,192, respectively)</w:t>
            </w:r>
          </w:p>
        </w:tc>
        <w:tc>
          <w:tcPr>
            <w:tcW w:w="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3,676,693</w:t>
            </w:r>
          </w:p>
        </w:tc>
        <w:tc>
          <w:tcPr>
            <w:tcW w:w="0" w:type="dxa"/>
            <w:vAlign w:val="bottom"/>
          </w:tcPr>
          <w:p>
            <w:pPr>
              <w:spacing w:after="0"/>
              <w:rPr>
                <w:sz w:val="1"/>
                <w:szCs w:val="1"/>
                <w:color w:val="auto"/>
              </w:rPr>
            </w:pPr>
          </w:p>
        </w:tc>
      </w:tr>
      <w:tr>
        <w:trPr>
          <w:trHeight w:val="197"/>
        </w:trPr>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w:t>
            </w:r>
          </w:p>
        </w:tc>
        <w:tc>
          <w:tcPr>
            <w:tcW w:w="4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6"/>
                <w:szCs w:val="16"/>
                <w:color w:val="auto"/>
              </w:rPr>
              <w:t>Total Investments (cost of $308,767,024 and $327,025,003, respectively)</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292,013,636</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383,485,460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8,332,634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13,349,877</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52,931</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Due from:</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GSV Asset Management</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220,770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Portfolio companies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56,371</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Interest and dividends receivable</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92,946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97,183</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227,826</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Deferred financing costs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311,268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352,653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300,964,426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397,843,071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Due to:</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GSV Asset Management</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5,047,429</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335,611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105,587</w:t>
            </w:r>
          </w:p>
        </w:tc>
        <w:tc>
          <w:tcPr>
            <w:tcW w:w="0" w:type="dxa"/>
            <w:vAlign w:val="bottom"/>
          </w:tcPr>
          <w:p>
            <w:pPr>
              <w:spacing w:after="0"/>
              <w:rPr>
                <w:sz w:val="1"/>
                <w:szCs w:val="1"/>
                <w:color w:val="auto"/>
              </w:rPr>
            </w:pPr>
          </w:p>
        </w:tc>
      </w:tr>
      <w:tr>
        <w:trPr>
          <w:trHeight w:val="243"/>
        </w:trPr>
        <w:tc>
          <w:tcPr>
            <w:tcW w:w="596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2,126,444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17,314,565</w:t>
            </w:r>
          </w:p>
        </w:tc>
        <w:tc>
          <w:tcPr>
            <w:tcW w:w="0" w:type="dxa"/>
            <w:vAlign w:val="bottom"/>
          </w:tcPr>
          <w:p>
            <w:pPr>
              <w:spacing w:after="0"/>
              <w:rPr>
                <w:sz w:val="1"/>
                <w:szCs w:val="1"/>
                <w:color w:val="auto"/>
              </w:rPr>
            </w:pP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683,423</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Accrued interest payable</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1,056,563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1,056,563</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Payable for securities purchased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26,498,750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26,499,357</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Deferred tax liability</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10,359,371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12,476,155</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Convertible Senior Notes payable 5.25% due September 15, 2018</w:t>
            </w:r>
            <w:r>
              <w:rPr>
                <w:rFonts w:ascii="Arial" w:cs="Arial" w:eastAsia="Arial" w:hAnsi="Arial"/>
                <w:sz w:val="27"/>
                <w:szCs w:val="27"/>
                <w:color w:val="auto"/>
                <w:vertAlign w:val="superscript"/>
              </w:rPr>
              <w:t>(2)</w:t>
            </w: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67,512,798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66,649,047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108,835,616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129,832,126</w:t>
            </w:r>
          </w:p>
        </w:tc>
        <w:tc>
          <w:tcPr>
            <w:tcW w:w="0" w:type="dxa"/>
            <w:vAlign w:val="bottom"/>
          </w:tcPr>
          <w:p>
            <w:pPr>
              <w:spacing w:after="0"/>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(Notes 6 and 9)</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192,128,810</w:t>
            </w:r>
          </w:p>
        </w:tc>
        <w:tc>
          <w:tcPr>
            <w:tcW w:w="1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268,010,945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gridSpan w:val="3"/>
          </w:tcPr>
          <w:p>
            <w:pPr>
              <w:ind w:left="20"/>
              <w:spacing w:after="0"/>
              <w:rPr>
                <w:sz w:val="20"/>
                <w:szCs w:val="20"/>
                <w:color w:val="auto"/>
              </w:rPr>
            </w:pPr>
            <w:r>
              <w:rPr>
                <w:rFonts w:ascii="Arial" w:cs="Arial" w:eastAsia="Arial" w:hAnsi="Arial"/>
                <w:sz w:val="16"/>
                <w:szCs w:val="16"/>
                <w:color w:val="auto"/>
                <w:w w:val="96"/>
              </w:rPr>
              <w:t>Common stock, par value $0.01 per share (100,000,000 authorized; 22,181,003 issued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and outstanding,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221,810</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221,810</w:t>
            </w: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Paid-in capital in excess of par</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221,237,636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237,757,527</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Accumulated net investment loss</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(1,443,996)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(16,634,037)</w:t>
            </w: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realized gains (losses)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(773,882)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2,681,342</w:t>
            </w:r>
          </w:p>
        </w:tc>
        <w:tc>
          <w:tcPr>
            <w:tcW w:w="0" w:type="dxa"/>
            <w:vAlign w:val="bottom"/>
          </w:tcPr>
          <w:p>
            <w:pPr>
              <w:spacing w:after="0"/>
              <w:rPr>
                <w:sz w:val="1"/>
                <w:szCs w:val="1"/>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Accumulated net unrealized appreciation (depreciation) of investments</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(27,112,758)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43,984,303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192,128,810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268,010,945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-4604385</wp:posOffset>
            </wp:positionV>
            <wp:extent cx="521398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-3249930</wp:posOffset>
            </wp:positionV>
            <wp:extent cx="521398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-1851660</wp:posOffset>
            </wp:positionV>
            <wp:extent cx="521398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-376555</wp:posOffset>
            </wp:positionV>
            <wp:extent cx="5213985" cy="197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79" w:hanging="272"/>
        <w:spacing w:after="0" w:line="297"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Convertible Senior Notes have a face value of $69,000,000. Refer to “Note 9 — Long-Term Liabilities” for a reconciliation of the carrying value to the face value. In accordance with the terms of the Company’s Convertible Senior Notes payable, the Company deposited $10,867,500 in an escrow account with U.S. Bank N.A., the trustee. These funds were used to purchase six U.S. Treasury Strips with an original cost of $10,845,236. As of December 31, 2016, all of the government securities purchased had matured and the proceeds were used by the trustee in accordance with the terms of the escrow agreement.</w:t>
      </w:r>
    </w:p>
    <w:p>
      <w:pPr>
        <w:spacing w:after="0" w:line="200" w:lineRule="exact"/>
        <w:rPr>
          <w:sz w:val="20"/>
          <w:szCs w:val="20"/>
          <w:color w:val="auto"/>
        </w:rPr>
      </w:pPr>
    </w:p>
    <w:p>
      <w:pPr>
        <w:spacing w:after="0" w:line="282"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625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Interest income from controlled securities</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101,999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10,233</w:t>
            </w: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Interest income from affiliated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130,021</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w w:val="99"/>
              </w:rPr>
              <w:t>Interest income 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44,805</w:t>
            </w: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Dividend income from affiliated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7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Dividend income from non-controlled/non-affiliated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from non-controlled/non-affiliated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736,283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185,946</w:t>
            </w: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6,896,347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8,044,801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7,562,488</w:t>
            </w: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Incentive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(15,188,121)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8,170,326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3,614,347</w:t>
            </w: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Costs incurred under Administration Agreement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2,545,316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2,681,079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3,199,904</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1,966,906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1,357,988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1,764,722</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5,503,843</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668,635</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(798,000)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26,978,235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21,775,939</w:t>
            </w:r>
          </w:p>
        </w:tc>
      </w:tr>
      <w:tr>
        <w:trPr>
          <w:trHeight w:val="257"/>
        </w:trPr>
        <w:tc>
          <w:tcPr>
            <w:tcW w:w="20" w:type="dxa"/>
            <w:vAlign w:val="bottom"/>
          </w:tcPr>
          <w:p>
            <w:pPr>
              <w:spacing w:after="0"/>
              <w:rPr>
                <w:sz w:val="22"/>
                <w:szCs w:val="22"/>
                <w:color w:val="auto"/>
              </w:rPr>
            </w:pPr>
          </w:p>
        </w:tc>
        <w:tc>
          <w:tcPr>
            <w:tcW w:w="47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(Provision)/Benefit for taxes on net investment loss</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(21,969,370)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8,810,102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(1,263,363)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(48,656,709)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(12,779,891)</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Realized Gains/(Losses):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(10,170,567)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10,419</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(2,634,471)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64,314,796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23,915,705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Realized Gains/(Losses) on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(2,634,471)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54,144,229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23,926,124</w:t>
            </w:r>
          </w:p>
        </w:tc>
      </w:tr>
      <w:tr>
        <w:trPr>
          <w:trHeight w:val="195"/>
        </w:trPr>
        <w:tc>
          <w:tcPr>
            <w:tcW w:w="20" w:type="dxa"/>
            <w:vAlign w:val="bottom"/>
            <w:tcBorders>
              <w:top w:val="single" w:sz="8" w:color="CCEEFF"/>
            </w:tcBorders>
          </w:tcPr>
          <w:p>
            <w:pPr>
              <w:spacing w:after="0"/>
              <w:rPr>
                <w:sz w:val="16"/>
                <w:szCs w:val="16"/>
                <w:color w:val="auto"/>
              </w:rPr>
            </w:pPr>
          </w:p>
        </w:tc>
        <w:tc>
          <w:tcPr>
            <w:tcW w:w="472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b w:val="1"/>
                <w:bCs w:val="1"/>
                <w:color w:val="auto"/>
              </w:rPr>
              <w:t>(Provision)/Benefit for taxes on net realized gain on</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4720" w:type="dxa"/>
            <w:vAlign w:val="bottom"/>
            <w:gridSpan w:val="2"/>
          </w:tcPr>
          <w:p>
            <w:pPr>
              <w:ind w:left="360"/>
              <w:spacing w:after="0" w:line="271"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30"/>
                <w:szCs w:val="30"/>
                <w:b w:val="1"/>
                <w:bCs w:val="1"/>
                <w:color w:val="auto"/>
                <w:vertAlign w:val="superscript"/>
              </w:rPr>
              <w:t>(2)</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(9,769,036)</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Net Change in Unrealized Depreciation of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From controlled securities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(4,897,273)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(627,139)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(662,619)</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(13,571,477)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(6,867,225)</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(54,745,095)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(14,181,484)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1,718,047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Net Change in Unrealized Depreciation of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(73,213,845)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(13,422,245)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(5,811,797)</w:t>
            </w:r>
          </w:p>
        </w:tc>
      </w:tr>
      <w:tr>
        <w:trPr>
          <w:trHeight w:val="195"/>
        </w:trPr>
        <w:tc>
          <w:tcPr>
            <w:tcW w:w="20" w:type="dxa"/>
            <w:vAlign w:val="bottom"/>
            <w:tcBorders>
              <w:top w:val="single" w:sz="8" w:color="CCEEFF"/>
            </w:tcBorders>
          </w:tcPr>
          <w:p>
            <w:pPr>
              <w:spacing w:after="0"/>
              <w:rPr>
                <w:sz w:val="16"/>
                <w:szCs w:val="16"/>
                <w:color w:val="auto"/>
              </w:rPr>
            </w:pPr>
          </w:p>
        </w:tc>
        <w:tc>
          <w:tcPr>
            <w:tcW w:w="4720" w:type="dxa"/>
            <w:vAlign w:val="bottom"/>
            <w:tcBorders>
              <w:top w:val="single" w:sz="8" w:color="CCEEFF"/>
            </w:tcBorders>
            <w:gridSpan w:val="2"/>
          </w:tcPr>
          <w:p>
            <w:pPr>
              <w:ind w:left="180"/>
              <w:spacing w:after="0" w:line="195" w:lineRule="exact"/>
              <w:rPr>
                <w:sz w:val="20"/>
                <w:szCs w:val="20"/>
                <w:color w:val="auto"/>
              </w:rPr>
            </w:pPr>
            <w:r>
              <w:rPr>
                <w:rFonts w:ascii="Arial" w:cs="Arial" w:eastAsia="Arial" w:hAnsi="Arial"/>
                <w:sz w:val="18"/>
                <w:szCs w:val="18"/>
                <w:b w:val="1"/>
                <w:bCs w:val="1"/>
                <w:color w:val="auto"/>
              </w:rPr>
              <w:t>Benefit for taxes on unrealized depreciation of</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4720" w:type="dxa"/>
            <w:vAlign w:val="bottom"/>
            <w:gridSpan w:val="2"/>
          </w:tcPr>
          <w:p>
            <w:pPr>
              <w:ind w:left="360"/>
              <w:spacing w:after="0" w:line="271"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30"/>
                <w:szCs w:val="30"/>
                <w:b w:val="1"/>
                <w:bCs w:val="1"/>
                <w:color w:val="auto"/>
                <w:vertAlign w:val="superscript"/>
              </w:rPr>
              <w:t>(2)</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2,116,784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16,058,080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2,371,829</w:t>
            </w:r>
          </w:p>
        </w:tc>
      </w:tr>
      <w:tr>
        <w:trPr>
          <w:trHeight w:val="191"/>
        </w:trPr>
        <w:tc>
          <w:tcPr>
            <w:tcW w:w="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8"/>
                <w:szCs w:val="18"/>
                <w:b w:val="1"/>
                <w:bCs w:val="1"/>
                <w:color w:val="auto"/>
                <w:w w:val="99"/>
              </w:rPr>
              <w:t>Net Increase/(Decrease)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5"/>
        </w:trPr>
        <w:tc>
          <w:tcPr>
            <w:tcW w:w="20" w:type="dxa"/>
            <w:vAlign w:val="bottom"/>
            <w:shd w:val="clear" w:color="auto" w:fill="CCEEFF"/>
          </w:tcPr>
          <w:p>
            <w:pPr>
              <w:spacing w:after="0"/>
              <w:rPr>
                <w:sz w:val="23"/>
                <w:szCs w:val="23"/>
                <w:color w:val="auto"/>
              </w:rPr>
            </w:pP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(74,994,895)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(2,062,771)</w:t>
            </w:r>
          </w:p>
        </w:tc>
      </w:tr>
      <w:tr>
        <w:trPr>
          <w:trHeight w:val="191"/>
        </w:trPr>
        <w:tc>
          <w:tcPr>
            <w:tcW w:w="20" w:type="dxa"/>
            <w:vAlign w:val="bottom"/>
            <w:tcBorders>
              <w:top w:val="single" w:sz="8" w:color="CCEEFF"/>
            </w:tcBorders>
          </w:tcPr>
          <w:p>
            <w:pPr>
              <w:spacing w:after="0"/>
              <w:rPr>
                <w:sz w:val="16"/>
                <w:szCs w:val="16"/>
                <w:color w:val="auto"/>
              </w:rPr>
            </w:pPr>
          </w:p>
        </w:tc>
        <w:tc>
          <w:tcPr>
            <w:tcW w:w="472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w w:val="99"/>
              </w:rPr>
              <w:t>Net Increase/(Decrease) in Net Assets Resulting from</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360"/>
              <w:spacing w:after="0"/>
              <w:rPr>
                <w:sz w:val="20"/>
                <w:szCs w:val="20"/>
                <w:color w:val="auto"/>
              </w:rPr>
            </w:pPr>
            <w:r>
              <w:rPr>
                <w:rFonts w:ascii="Arial" w:cs="Arial" w:eastAsia="Arial" w:hAnsi="Arial"/>
                <w:sz w:val="18"/>
                <w:szCs w:val="18"/>
                <w:b w:val="1"/>
                <w:bCs w:val="1"/>
                <w:color w:val="auto"/>
              </w:rPr>
              <w:t>Operations per Common Share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shd w:val="clear" w:color="auto" w:fill="CCEEFF"/>
          </w:tcPr>
          <w:p>
            <w:pPr>
              <w:spacing w:after="0"/>
              <w:rPr>
                <w:sz w:val="20"/>
                <w:szCs w:val="20"/>
                <w:color w:val="auto"/>
              </w:rPr>
            </w:pP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gridSpan w:val="2"/>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19,327,938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19,320,100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4720" w:type="dxa"/>
            <w:vAlign w:val="bottom"/>
            <w:gridSpan w:val="2"/>
            <w:shd w:val="clear" w:color="auto" w:fill="CCEEFF"/>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(3)</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19,327,938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19,320,100</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37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-5573395</wp:posOffset>
            </wp:positionV>
            <wp:extent cx="521398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-1954530</wp:posOffset>
            </wp:positionV>
            <wp:extent cx="5213985" cy="317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308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-916940</wp:posOffset>
            </wp:positionV>
            <wp:extent cx="5213985"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460" w:right="1959" w:hanging="2432"/>
        <w:spacing w:after="0" w:line="936" w:lineRule="auto"/>
        <w:tabs>
          <w:tab w:leader="none" w:pos="2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This balance is a related-party transaction. Refer to “Note 2 — Related-Party Arrangements” for more detail. </w:t>
      </w:r>
      <w:r>
        <w:rPr>
          <w:rFonts w:ascii="Arial" w:cs="Arial" w:eastAsia="Arial" w:hAnsi="Arial"/>
          <w:sz w:val="17"/>
          <w:szCs w:val="17"/>
          <w:i w:val="1"/>
          <w:iCs w:val="1"/>
          <w:color w:val="auto"/>
        </w:rPr>
        <w:t>See accompanying notes to the consolidated financial statements.</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13"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OPERATIONS – (continued)</w:t>
      </w:r>
    </w:p>
    <w:p>
      <w:pPr>
        <w:spacing w:after="0" w:line="121" w:lineRule="exact"/>
        <w:rPr>
          <w:sz w:val="20"/>
          <w:szCs w:val="20"/>
          <w:color w:val="auto"/>
        </w:rPr>
      </w:pPr>
    </w:p>
    <w:p>
      <w:pPr>
        <w:ind w:left="280" w:right="599" w:hanging="272"/>
        <w:spacing w:after="0" w:line="286"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Due to the Company’s change in tax status to a regulated investment company (“RIC”) from a C Corporation, the associated accrued benefits and provisions from previous years were reversed, resulting in a provision for net investment loss, a benefit for net realized gains, and a benefit for unrealized depreciation of investments for the year ended December 31, 2015. Refer to “Note 8 — Income Taxes” and “Management’s Discussion and Analysis of Financial Condition and Results of</w:t>
      </w:r>
    </w:p>
    <w:p>
      <w:pPr>
        <w:spacing w:after="0" w:line="1"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Operations — Results of Operations” for further detail.</w:t>
      </w:r>
    </w:p>
    <w:p>
      <w:pPr>
        <w:spacing w:after="0" w:line="102" w:lineRule="exact"/>
        <w:rPr>
          <w:rFonts w:ascii="Arial" w:cs="Arial" w:eastAsia="Arial" w:hAnsi="Arial"/>
          <w:sz w:val="16"/>
          <w:szCs w:val="16"/>
          <w:color w:val="auto"/>
        </w:rPr>
      </w:pPr>
    </w:p>
    <w:p>
      <w:pPr>
        <w:ind w:left="280" w:right="719" w:hanging="272"/>
        <w:spacing w:after="0" w:line="302"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years ended December 31, 2016, 2015 and 2014, respectively, 5,751,815, 5,710,212 and 4,244,128 potentially dilutive common shares were excluded from the weighted-average common shares outstanding for diluted net increase in net assets resulting from operations per common share because the effect of these shares would have been anti-dilutive. Refer to “Note 5 — Net Increase in Net Assets Resulting from Operations per Common Share — Basic and Diluted” for further detail.</w:t>
      </w:r>
    </w:p>
    <w:p>
      <w:pPr>
        <w:spacing w:after="0" w:line="200" w:lineRule="exact"/>
        <w:rPr>
          <w:sz w:val="20"/>
          <w:szCs w:val="20"/>
          <w:color w:val="auto"/>
        </w:rPr>
      </w:pPr>
    </w:p>
    <w:p>
      <w:pPr>
        <w:spacing w:after="0" w:line="278"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116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118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8"/>
              </w:rPr>
              <w:t>Net Increase/(Decrease)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(1,263,363)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 (48,656,709)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 (12,779,891)</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(2,634,471)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54,144,229</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23,926,124</w:t>
            </w:r>
          </w:p>
        </w:tc>
      </w:tr>
      <w:tr>
        <w:trPr>
          <w:trHeight w:val="202"/>
        </w:trPr>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realized gains 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342,802</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(9,769,036)</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depreciation of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(73,213,845)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(13,422,245)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(5,811,797)</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w w:val="96"/>
              </w:rPr>
              <w:t>Benefit for taxes on unrealized depreciation of investments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2,116,784</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16,058,080</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2,371,829</w:t>
            </w: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8"/>
              </w:rPr>
              <w:t>Net Increase (Decrease)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(74,994,895)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8,466,157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(2,062,771)</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Distributions from realized gains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(820,753)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(53,323,476)</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from return of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(66,487)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 Distributions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(887,240)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(53,323,476)</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26,964,591</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4"/>
              </w:rPr>
              <w:t>Net Increase in Net Assets Resulting from Capital Share</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Transactions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26,964,591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 Decrease in Net Assets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(75,882,135)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(17,892,728)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(2,062,771)</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year</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268,010,945</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285,903,673</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287,966,444</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Year</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192,128,810</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268,010,945</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285,903,673</w:t>
            </w:r>
          </w:p>
        </w:tc>
      </w:tr>
      <w:tr>
        <w:trPr>
          <w:trHeight w:val="21"/>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2,860,903</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year</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22,181,003</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19,320,100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19,320,100</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year</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22,181,003</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22,181,003</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19,320,100</w:t>
            </w:r>
          </w:p>
        </w:tc>
      </w:tr>
      <w:tr>
        <w:trPr>
          <w:trHeight w:val="21"/>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-2049145</wp:posOffset>
            </wp:positionV>
            <wp:extent cx="5213985"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-1765935</wp:posOffset>
            </wp:positionV>
            <wp:extent cx="521398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400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47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740" w:type="dxa"/>
            <w:vAlign w:val="bottom"/>
          </w:tcPr>
          <w:p>
            <w:pPr>
              <w:spacing w:after="0"/>
              <w:rPr>
                <w:sz w:val="14"/>
                <w:szCs w:val="14"/>
                <w:color w:val="auto"/>
              </w:rPr>
            </w:pPr>
          </w:p>
        </w:tc>
        <w:tc>
          <w:tcPr>
            <w:tcW w:w="104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112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02"/>
        </w:trPr>
        <w:tc>
          <w:tcPr>
            <w:tcW w:w="474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resulting from</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 (74,994,895)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8,466,157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(2,062,771)</w:t>
            </w: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Adjustments to reconcile net increase/(decrease) in net assets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resulting from operations to net cash provided by (used in)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Net realized (gains)/losses on investments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2,634,471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(54,144,229)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(23,926,124)</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depreciation of investments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73,213,845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13,422,245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5,811,797</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Gain on fair value adjustment for embedded derivative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(798,000)</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(2,116,784)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5,568,489</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(1,412,895)</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Current taxes payable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(134,733)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134,733</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on Convertible Senior Notes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863,751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134,266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718,135</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210,999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627,909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225,910</w:t>
            </w:r>
          </w:p>
        </w:tc>
      </w:tr>
      <w:tr>
        <w:trPr>
          <w:trHeight w:val="202"/>
        </w:trPr>
        <w:tc>
          <w:tcPr>
            <w:tcW w:w="4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Amortization of fixed income security premiums and</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discounts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(54,522)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(78,212)</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(63,053)</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Change in restricted cash</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52,931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(4,042)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(26,625)</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kind Interest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(447,009)</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Non-cash dividend income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(46,781)</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 in: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ind w:left="380"/>
              <w:spacing w:after="0"/>
              <w:rPr>
                <w:sz w:val="20"/>
                <w:szCs w:val="20"/>
                <w:color w:val="auto"/>
              </w:rPr>
            </w:pPr>
            <w:r>
              <w:rPr>
                <w:rFonts w:ascii="Arial" w:cs="Arial" w:eastAsia="Arial" w:hAnsi="Arial"/>
                <w:sz w:val="18"/>
                <w:szCs w:val="18"/>
                <w:color w:val="auto"/>
              </w:rPr>
              <w:t>Portfolio investments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(13,803,342)</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(30,927,038)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(71,094,138)</w:t>
            </w:r>
          </w:p>
        </w:tc>
      </w:tr>
      <w:tr>
        <w:trPr>
          <w:trHeight w:val="216"/>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(119,998,208)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(255,015,475)</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(360,004,426)</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Proceeds from sales or maturity of investments 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Portfolio investments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26,241,589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92,947,445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73,557,189</w:t>
            </w:r>
          </w:p>
        </w:tc>
      </w:tr>
      <w:tr>
        <w:trPr>
          <w:trHeight w:val="216"/>
        </w:trPr>
        <w:tc>
          <w:tcPr>
            <w:tcW w:w="4740" w:type="dxa"/>
            <w:vAlign w:val="bottom"/>
          </w:tcPr>
          <w:p>
            <w:pPr>
              <w:ind w:left="380"/>
              <w:spacing w:after="0"/>
              <w:rPr>
                <w:sz w:val="20"/>
                <w:szCs w:val="20"/>
                <w:color w:val="auto"/>
              </w:rPr>
            </w:pPr>
            <w:r>
              <w:rPr>
                <w:rFonts w:ascii="Arial" w:cs="Arial" w:eastAsia="Arial" w:hAnsi="Arial"/>
                <w:sz w:val="18"/>
                <w:szCs w:val="18"/>
                <w:color w:val="auto"/>
              </w:rPr>
              <w:t>United States treasury bills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120,000,000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325,000,000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260,002,734</w:t>
            </w:r>
          </w:p>
        </w:tc>
      </w:tr>
      <w:tr>
        <w:trPr>
          <w:trHeight w:val="216"/>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treasuries strips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3,685,000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3,639,000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3,603,708</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47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220,770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(15,945)</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(201,786)</w:t>
            </w:r>
          </w:p>
        </w:tc>
      </w:tr>
      <w:tr>
        <w:trPr>
          <w:trHeight w:val="257"/>
        </w:trPr>
        <w:tc>
          <w:tcPr>
            <w:tcW w:w="4740" w:type="dxa"/>
            <w:vAlign w:val="bottom"/>
          </w:tcPr>
          <w:p>
            <w:pPr>
              <w:ind w:left="20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56,371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28,985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67,822</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369,100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Interest and dividends receivable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4,237</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(70,512)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5,007</w:t>
            </w:r>
          </w:p>
        </w:tc>
      </w:tr>
      <w:tr>
        <w:trPr>
          <w:trHeight w:val="257"/>
        </w:trPr>
        <w:tc>
          <w:tcPr>
            <w:tcW w:w="47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(4,625,404)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5,024,033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(8,032)</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Payable for securities purchased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(63,502,335)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90,001,692</w:t>
            </w:r>
          </w:p>
        </w:tc>
      </w:tr>
      <w:tr>
        <w:trPr>
          <w:trHeight w:val="216"/>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230,024</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(187,363)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(89,215)</w:t>
            </w:r>
          </w:p>
        </w:tc>
      </w:tr>
      <w:tr>
        <w:trPr>
          <w:trHeight w:val="257"/>
        </w:trPr>
        <w:tc>
          <w:tcPr>
            <w:tcW w:w="4740" w:type="dxa"/>
            <w:vAlign w:val="bottom"/>
          </w:tcPr>
          <w:p>
            <w:pPr>
              <w:ind w:left="20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(15,188,121)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3,176,666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3,614,347</w:t>
            </w:r>
          </w:p>
        </w:tc>
      </w:tr>
      <w:tr>
        <w:trPr>
          <w:trHeight w:val="257"/>
        </w:trPr>
        <w:tc>
          <w:tcPr>
            <w:tcW w:w="47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(159,369)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42,147</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108,726</w:t>
            </w:r>
          </w:p>
        </w:tc>
      </w:tr>
      <w:tr>
        <w:trPr>
          <w:trHeight w:val="216"/>
        </w:trPr>
        <w:tc>
          <w:tcPr>
            <w:tcW w:w="474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(82,895)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82,895</w:t>
            </w:r>
          </w:p>
        </w:tc>
      </w:tr>
      <w:tr>
        <w:trPr>
          <w:trHeight w:val="20"/>
        </w:trPr>
        <w:tc>
          <w:tcPr>
            <w:tcW w:w="4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Net Cash Provided by/(Used in) Operating Activities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(3,960,389)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54,235,882</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(21,746,323)</w:t>
            </w:r>
          </w:p>
        </w:tc>
      </w:tr>
      <w:tr>
        <w:trPr>
          <w:trHeight w:val="210"/>
        </w:trPr>
        <w:tc>
          <w:tcPr>
            <w:tcW w:w="47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Credit Facility</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36,000,000</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Repayments under Credit Facility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(3,500,000)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(24,000,000)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(18,000,000)</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(887,240)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(26,358,885)</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(169,614)</w:t>
            </w:r>
          </w:p>
        </w:tc>
        <w:tc>
          <w:tcPr>
            <w:tcW w:w="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-702310</wp:posOffset>
            </wp:positionV>
            <wp:extent cx="529971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99710"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4"/>
                <w:szCs w:val="14"/>
                <w:color w:val="auto"/>
              </w:rPr>
            </w:pPr>
          </w:p>
        </w:tc>
      </w:tr>
      <w:tr>
        <w:trPr>
          <w:trHeight w:val="210"/>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(1,056,854)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(44,358,885)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18,000,000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7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Increase/(Decrease) in Cash Balance</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(5,017,243)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9,876,997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(3,746,323)</w:t>
            </w:r>
          </w:p>
        </w:tc>
      </w:tr>
      <w:tr>
        <w:trPr>
          <w:trHeight w:val="21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Balance at Beginning of Year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13,349,877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7,219,203</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76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Balance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8,332,634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13,349,877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3,472,880</w:t>
            </w:r>
          </w:p>
        </w:tc>
      </w:tr>
      <w:tr>
        <w:trPr>
          <w:trHeight w:val="210"/>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60" w:type="dxa"/>
            <w:vAlign w:val="bottom"/>
            <w:gridSpan w:val="3"/>
          </w:tcPr>
          <w:p>
            <w:pPr>
              <w:ind w:left="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3,650,961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5,044,064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5,420,948</w:t>
            </w:r>
          </w:p>
        </w:tc>
      </w:tr>
      <w:tr>
        <w:trPr>
          <w:trHeight w:val="21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76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6"/>
              </w:rPr>
              <w:t>Fair value of make-whole derivative issued in connection with</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rPr>
              <w:t>the convertible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dividends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26,964,591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-1440180</wp:posOffset>
            </wp:positionV>
            <wp:extent cx="521398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36" w:lineRule="exact"/>
        <w:rPr>
          <w:sz w:val="20"/>
          <w:szCs w:val="20"/>
          <w:color w:val="auto"/>
        </w:rPr>
      </w:pPr>
    </w:p>
    <w:p>
      <w:pPr>
        <w:ind w:left="2460" w:right="1959" w:hanging="2432"/>
        <w:spacing w:after="0" w:line="936" w:lineRule="auto"/>
        <w:tabs>
          <w:tab w:leader="none" w:pos="2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This balance is a related-party transaction. Refer to “Note 2 — Related-Party Arrangements” for more detail. </w:t>
      </w:r>
      <w:r>
        <w:rPr>
          <w:rFonts w:ascii="Arial" w:cs="Arial" w:eastAsia="Arial" w:hAnsi="Arial"/>
          <w:sz w:val="17"/>
          <w:szCs w:val="17"/>
          <w:i w:val="1"/>
          <w:iCs w:val="1"/>
          <w:color w:val="auto"/>
        </w:rPr>
        <w:t>See accompanying notes to the consolidated financial statements.</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1"/>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2,223,594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39,285,371</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41,508,965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On-Demand Music</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Streaming</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9,541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13,599,572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18,931,691</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14,510,855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Mobile Device Management</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73,440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9,999,928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13,856,754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6,697,132</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7,049,632</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13,746,764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Cloud Computing Services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5,552,484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7,638,000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13,190,484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Light Field Imaging Platform</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159,160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502,081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10,408,150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10,502,083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10,908,151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69"/>
        </w:trPr>
        <w:tc>
          <w:tcPr>
            <w:tcW w:w="2580" w:type="dxa"/>
            <w:vAlign w:val="bottom"/>
            <w:gridSpan w:val="11"/>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Due 2/28/2018***</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Digital Media Platform</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922,509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10,500,199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10,609,999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Redwood City,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2,145,509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10,532,304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Curious.com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Menlo Park,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3,407,834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12,000,006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9,984,954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(2)(6)</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Scottsdale, AZ</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Interactive Learning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4,650,838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4,470,403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499,796</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9,621,037</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Santa Clara,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 Services</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8,729,005</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Declara,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1"/>
            <w:shd w:val="clear" w:color="auto" w:fill="CCEEFF"/>
          </w:tcPr>
          <w:p>
            <w:pPr>
              <w:ind w:left="20"/>
              <w:spacing w:after="0" w:line="133" w:lineRule="exact"/>
              <w:rPr>
                <w:sz w:val="20"/>
                <w:szCs w:val="20"/>
                <w:color w:val="auto"/>
              </w:rPr>
            </w:pPr>
            <w:r>
              <w:rPr>
                <w:rFonts w:ascii="Arial" w:cs="Arial" w:eastAsia="Arial" w:hAnsi="Arial"/>
                <w:sz w:val="14"/>
                <w:szCs w:val="14"/>
                <w:color w:val="auto"/>
              </w:rPr>
              <w:t>Convertible Promissory Note 9%</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560" w:type="dxa"/>
            <w:vAlign w:val="bottom"/>
            <w:gridSpan w:val="10"/>
            <w:shd w:val="clear" w:color="auto" w:fill="CCEEFF"/>
          </w:tcPr>
          <w:p>
            <w:pPr>
              <w:ind w:left="180"/>
              <w:spacing w:after="0" w:line="198" w:lineRule="exact"/>
              <w:rPr>
                <w:sz w:val="20"/>
                <w:szCs w:val="20"/>
                <w:color w:val="auto"/>
              </w:rPr>
            </w:pPr>
            <w:r>
              <w:rPr>
                <w:rFonts w:ascii="Arial" w:cs="Arial" w:eastAsia="Arial" w:hAnsi="Arial"/>
                <w:sz w:val="14"/>
                <w:szCs w:val="14"/>
                <w:color w:val="auto"/>
              </w:rPr>
              <w:t>Due 6/30/2017***</w:t>
            </w:r>
            <w:r>
              <w:rPr>
                <w:rFonts w:ascii="Arial" w:cs="Arial" w:eastAsia="Arial" w:hAnsi="Arial"/>
                <w:sz w:val="22"/>
                <w:szCs w:val="22"/>
                <w:color w:val="auto"/>
                <w:vertAlign w:val="superscript"/>
              </w:rPr>
              <w:t>(12)</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Palo Alto, CA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2,120,658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2,120,658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2,827,020</w:t>
            </w:r>
          </w:p>
        </w:tc>
        <w:tc>
          <w:tcPr>
            <w:tcW w:w="8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9,999,999</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4,786,654</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12,120,657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7,613,674</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-4304665</wp:posOffset>
            </wp:positionV>
            <wp:extent cx="5213985"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-3249295</wp:posOffset>
            </wp:positionV>
            <wp:extent cx="5213985" cy="111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-2854960</wp:posOffset>
            </wp:positionV>
            <wp:extent cx="5213985" cy="111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-2460625</wp:posOffset>
            </wp:positionV>
            <wp:extent cx="5213985" cy="1117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-1757680</wp:posOffset>
            </wp:positionV>
            <wp:extent cx="5213985" cy="1117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-736600</wp:posOffset>
            </wp:positionV>
            <wp:extent cx="5213985"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6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0"/>
                <w:szCs w:val="10"/>
                <w:color w:val="auto"/>
              </w:rPr>
            </w:pPr>
          </w:p>
        </w:tc>
        <w:tc>
          <w:tcPr>
            <w:tcW w:w="19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1"/>
              </w:rPr>
              <w:t>On-Demand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Transportation Services</w:t>
            </w:r>
          </w:p>
        </w:tc>
        <w:tc>
          <w:tcPr>
            <w:tcW w:w="740" w:type="dxa"/>
            <w:vAlign w:val="bottom"/>
          </w:tcPr>
          <w:p>
            <w:pPr>
              <w:jc w:val="right"/>
              <w:spacing w:after="0"/>
              <w:rPr>
                <w:sz w:val="20"/>
                <w:szCs w:val="20"/>
                <w:color w:val="auto"/>
              </w:rPr>
            </w:pPr>
            <w:r>
              <w:rPr>
                <w:rFonts w:ascii="Arial" w:cs="Arial" w:eastAsia="Arial" w:hAnsi="Arial"/>
                <w:sz w:val="14"/>
                <w:szCs w:val="14"/>
                <w:color w:val="auto"/>
              </w:rPr>
              <w:t>128,563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2,503,585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3,249,430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6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1,792,749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4,203,062</w:t>
            </w:r>
          </w:p>
        </w:tc>
        <w:tc>
          <w:tcPr>
            <w:tcW w:w="820" w:type="dxa"/>
            <w:vAlign w:val="bottom"/>
            <w:tcBorders>
              <w:left w:val="single" w:sz="8" w:color="CCEEFF"/>
            </w:tcBorders>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4,296,334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7,452,492</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9"/>
        </w:trPr>
        <w:tc>
          <w:tcPr>
            <w:tcW w:w="26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(4)</w:t>
            </w:r>
          </w:p>
        </w:tc>
        <w:tc>
          <w:tcPr>
            <w:tcW w:w="10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New York, NY</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9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5"/>
              </w:rPr>
              <w:t>Globally-focused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Private School</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10,014,270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10,151,854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6,128,733</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5"/>
        </w:trPr>
        <w:tc>
          <w:tcPr>
            <w:tcW w:w="26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5"/>
              </w:rPr>
              <w:t>Cupertino, CA</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0"/>
                <w:szCs w:val="10"/>
                <w:color w:val="auto"/>
              </w:rPr>
            </w:pPr>
          </w:p>
        </w:tc>
        <w:tc>
          <w:tcPr>
            <w:tcW w:w="19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2"/>
              </w:rPr>
              <w:t>Customer</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Relationship Manager</w:t>
            </w:r>
          </w:p>
        </w:tc>
        <w:tc>
          <w:tcPr>
            <w:tcW w:w="740" w:type="dxa"/>
            <w:vAlign w:val="bottom"/>
          </w:tcPr>
          <w:p>
            <w:pPr>
              <w:jc w:val="right"/>
              <w:spacing w:after="0"/>
              <w:rPr>
                <w:sz w:val="20"/>
                <w:szCs w:val="20"/>
                <w:color w:val="auto"/>
              </w:rPr>
            </w:pPr>
            <w:r>
              <w:rPr>
                <w:rFonts w:ascii="Arial" w:cs="Arial" w:eastAsia="Arial" w:hAnsi="Arial"/>
                <w:sz w:val="14"/>
                <w:szCs w:val="14"/>
                <w:color w:val="auto"/>
              </w:rPr>
              <w:t>373,134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1,500,522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2,354,476</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6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1,524,799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3,762,442</w:t>
            </w:r>
          </w:p>
        </w:tc>
        <w:tc>
          <w:tcPr>
            <w:tcW w:w="820" w:type="dxa"/>
            <w:vAlign w:val="bottom"/>
            <w:tcBorders>
              <w:left w:val="single" w:sz="8" w:color="CCEEFF"/>
            </w:tcBorders>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6,116,918</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29"/>
        </w:trPr>
        <w:tc>
          <w:tcPr>
            <w:tcW w:w="26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New York, NY</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9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5"/>
              </w:rPr>
              <w:t>Social Media Analytics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301,369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1,377,256</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49"/>
        </w:trPr>
        <w:tc>
          <w:tcPr>
            <w:tcW w:w="26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4,135,745</w:t>
            </w:r>
          </w:p>
        </w:tc>
        <w:tc>
          <w:tcPr>
            <w:tcW w:w="820" w:type="dxa"/>
            <w:vAlign w:val="bottom"/>
            <w:tcBorders>
              <w:left w:val="single" w:sz="8" w:color="CCEEFF"/>
            </w:tcBorders>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5,513,001</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29"/>
        </w:trPr>
        <w:tc>
          <w:tcPr>
            <w:tcW w:w="26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5"/>
              </w:rPr>
              <w:t>Menlo Park, CA</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9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On-Demand Commerce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1,681,520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6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879,198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1,443,091</w:t>
            </w:r>
          </w:p>
        </w:tc>
        <w:tc>
          <w:tcPr>
            <w:tcW w:w="820" w:type="dxa"/>
            <w:vAlign w:val="bottom"/>
            <w:tcBorders>
              <w:left w:val="single" w:sz="8" w:color="CCEEFF"/>
            </w:tcBorders>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5,443,091</w:t>
            </w:r>
          </w:p>
        </w:tc>
        <w:tc>
          <w:tcPr>
            <w:tcW w:w="820" w:type="dxa"/>
            <w:vAlign w:val="bottom"/>
            <w:gridSpan w:val="3"/>
          </w:tcPr>
          <w:p>
            <w:pPr>
              <w:ind w:left="340"/>
              <w:spacing w:after="0" w:line="142"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69"/>
        </w:trPr>
        <w:tc>
          <w:tcPr>
            <w:tcW w:w="26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b w:val="1"/>
                <w:bCs w:val="1"/>
                <w:color w:val="auto"/>
                <w:vertAlign w:val="superscript"/>
              </w:rPr>
              <w:t>(2)</w:t>
            </w:r>
          </w:p>
        </w:tc>
        <w:tc>
          <w:tcPr>
            <w:tcW w:w="10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6"/>
              </w:rPr>
              <w:t>Redwood City, CA</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8%</w:t>
            </w: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8"/>
          </w:tcPr>
          <w:p>
            <w:pPr>
              <w:ind w:left="180"/>
              <w:spacing w:after="0"/>
              <w:rPr>
                <w:sz w:val="20"/>
                <w:szCs w:val="20"/>
                <w:color w:val="auto"/>
              </w:rPr>
            </w:pPr>
            <w:r>
              <w:rPr>
                <w:rFonts w:ascii="Arial" w:cs="Arial" w:eastAsia="Arial" w:hAnsi="Arial"/>
                <w:sz w:val="14"/>
                <w:szCs w:val="14"/>
                <w:color w:val="auto"/>
              </w:rPr>
              <w:t>Due 7/31/2017***</w:t>
            </w:r>
          </w:p>
        </w:tc>
        <w:tc>
          <w:tcPr>
            <w:tcW w:w="100" w:type="dxa"/>
            <w:vAlign w:val="bottom"/>
          </w:tcPr>
          <w:p>
            <w:pPr>
              <w:spacing w:after="0"/>
              <w:rPr>
                <w:sz w:val="14"/>
                <w:szCs w:val="14"/>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4"/>
                <w:szCs w:val="14"/>
                <w:color w:val="auto"/>
              </w:rPr>
              <w:t>Global Innovation Platform   $</w:t>
            </w: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457,592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427,900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30"/>
        </w:trPr>
        <w:tc>
          <w:tcPr>
            <w:tcW w:w="26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Unsecured Promissory Note 12%</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Due 5/29/2017***</w:t>
            </w:r>
          </w:p>
        </w:tc>
        <w:tc>
          <w:tcPr>
            <w:tcW w:w="20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501,802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496,725</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89"/>
        </w:trPr>
        <w:tc>
          <w:tcPr>
            <w:tcW w:w="2680" w:type="dxa"/>
            <w:vAlign w:val="bottom"/>
            <w:gridSpan w:val="9"/>
          </w:tcPr>
          <w:p>
            <w:pPr>
              <w:ind w:left="20"/>
              <w:spacing w:after="0" w:line="189" w:lineRule="exact"/>
              <w:rPr>
                <w:sz w:val="20"/>
                <w:szCs w:val="20"/>
                <w:color w:val="auto"/>
              </w:rPr>
            </w:pPr>
            <w:r>
              <w:rPr>
                <w:rFonts w:ascii="Arial" w:cs="Arial" w:eastAsia="Arial" w:hAnsi="Arial"/>
                <w:sz w:val="13"/>
                <w:szCs w:val="13"/>
                <w:color w:val="auto"/>
              </w:rPr>
              <w:t>Preferred shares, Series A-4</w:t>
            </w:r>
            <w:r>
              <w:rPr>
                <w:rFonts w:ascii="Arial" w:cs="Arial" w:eastAsia="Arial" w:hAnsi="Arial"/>
                <w:sz w:val="21"/>
                <w:szCs w:val="21"/>
                <w:color w:val="auto"/>
                <w:vertAlign w:val="superscript"/>
              </w:rPr>
              <w:t>(14)</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3,720,424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4,904,498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2,715,910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9"/>
        </w:trPr>
        <w:tc>
          <w:tcPr>
            <w:tcW w:w="268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3"/>
                <w:szCs w:val="13"/>
                <w:color w:val="auto"/>
              </w:rPr>
              <w:t>Preferred shares, Series A-3</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1,561,625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2,005,730</w:t>
            </w: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952,591</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89"/>
        </w:trPr>
        <w:tc>
          <w:tcPr>
            <w:tcW w:w="2680" w:type="dxa"/>
            <w:vAlign w:val="bottom"/>
            <w:gridSpan w:val="9"/>
          </w:tcPr>
          <w:p>
            <w:pPr>
              <w:ind w:left="20"/>
              <w:spacing w:after="0" w:line="189" w:lineRule="exact"/>
              <w:rPr>
                <w:sz w:val="20"/>
                <w:szCs w:val="20"/>
                <w:color w:val="auto"/>
              </w:rPr>
            </w:pPr>
            <w:r>
              <w:rPr>
                <w:rFonts w:ascii="Arial" w:cs="Arial" w:eastAsia="Arial" w:hAnsi="Arial"/>
                <w:sz w:val="13"/>
                <w:szCs w:val="13"/>
                <w:color w:val="auto"/>
              </w:rPr>
              <w:t>Preferred shares, Series A-2</w:t>
            </w:r>
            <w:r>
              <w:rPr>
                <w:rFonts w:ascii="Arial" w:cs="Arial" w:eastAsia="Arial" w:hAnsi="Arial"/>
                <w:sz w:val="21"/>
                <w:szCs w:val="21"/>
                <w:color w:val="auto"/>
                <w:vertAlign w:val="superscript"/>
              </w:rPr>
              <w:t>(14)</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450,001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166,500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89"/>
        </w:trPr>
        <w:tc>
          <w:tcPr>
            <w:tcW w:w="268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3"/>
                <w:szCs w:val="13"/>
                <w:color w:val="auto"/>
              </w:rPr>
              <w:t>Preferred shares, Series A-1</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270,000</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49"/>
        </w:trPr>
        <w:tc>
          <w:tcPr>
            <w:tcW w:w="26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6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A-3 – $1.33 Strike</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Price, Expiration Date 4/4/2019</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6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A-4 – $1.33 Strike</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40,000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26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A-4 – $1.33 Strike</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Price, Expiration Date 7/18/2021</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6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A-4 – $1.33 Strike</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11/29/2021</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9,000</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9,601,555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5,106,751</w:t>
            </w:r>
          </w:p>
        </w:tc>
        <w:tc>
          <w:tcPr>
            <w:tcW w:w="820" w:type="dxa"/>
            <w:vAlign w:val="bottom"/>
            <w:tcBorders>
              <w:left w:val="single" w:sz="8" w:color="CCEEFF"/>
            </w:tcBorders>
            <w:gridSpan w:val="3"/>
            <w:shd w:val="clear" w:color="auto" w:fill="CCEEFF"/>
          </w:tcPr>
          <w:p>
            <w:pPr>
              <w:ind w:left="340"/>
              <w:spacing w:after="0" w:line="142"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9"/>
        </w:trPr>
        <w:tc>
          <w:tcPr>
            <w:tcW w:w="26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9"/>
                <w:szCs w:val="19"/>
                <w:b w:val="1"/>
                <w:bCs w:val="1"/>
                <w:color w:val="auto"/>
                <w:vertAlign w:val="superscript"/>
              </w:rPr>
              <w:t>(1)(5)</w:t>
            </w:r>
          </w:p>
        </w:tc>
        <w:tc>
          <w:tcPr>
            <w:tcW w:w="100" w:type="dxa"/>
            <w:vAlign w:val="bottom"/>
            <w:tcBorders>
              <w:top w:val="single" w:sz="8" w:color="CCEEFF"/>
            </w:tcBorders>
          </w:tcPr>
          <w:p>
            <w:pPr>
              <w:spacing w:after="0"/>
              <w:rPr>
                <w:sz w:val="14"/>
                <w:szCs w:val="14"/>
                <w:color w:val="auto"/>
              </w:rPr>
            </w:pPr>
          </w:p>
        </w:tc>
        <w:tc>
          <w:tcPr>
            <w:tcW w:w="19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7"/>
              </w:rPr>
              <w:t>New York, NY</w:t>
            </w:r>
          </w:p>
        </w:tc>
        <w:tc>
          <w:tcPr>
            <w:tcW w:w="7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0"/>
                <w:szCs w:val="10"/>
                <w:color w:val="auto"/>
              </w:rPr>
            </w:pPr>
          </w:p>
        </w:tc>
        <w:tc>
          <w:tcPr>
            <w:tcW w:w="1980" w:type="dxa"/>
            <w:vAlign w:val="bottom"/>
            <w:gridSpan w:val="3"/>
            <w:shd w:val="clear" w:color="auto" w:fill="CCEEFF"/>
          </w:tcPr>
          <w:p>
            <w:pPr>
              <w:jc w:val="center"/>
              <w:ind w:right="180"/>
              <w:spacing w:after="0" w:line="123" w:lineRule="exact"/>
              <w:rPr>
                <w:sz w:val="20"/>
                <w:szCs w:val="20"/>
                <w:color w:val="auto"/>
              </w:rPr>
            </w:pPr>
            <w:r>
              <w:rPr>
                <w:rFonts w:ascii="Arial" w:cs="Arial" w:eastAsia="Arial" w:hAnsi="Arial"/>
                <w:sz w:val="14"/>
                <w:szCs w:val="14"/>
                <w:color w:val="auto"/>
                <w:w w:val="95"/>
              </w:rPr>
              <w:t>Globally-focused</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3"/>
              </w:rPr>
              <w:t>Private School</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6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82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4,500,000</w:t>
            </w:r>
          </w:p>
        </w:tc>
        <w:tc>
          <w:tcPr>
            <w:tcW w:w="820" w:type="dxa"/>
            <w:vAlign w:val="bottom"/>
            <w:tcBorders>
              <w:left w:val="single" w:sz="8" w:color="CCEEFF"/>
            </w:tcBorders>
            <w:gridSpan w:val="3"/>
            <w:shd w:val="clear" w:color="auto" w:fill="CCEEFF"/>
          </w:tcPr>
          <w:p>
            <w:pPr>
              <w:ind w:left="340"/>
              <w:spacing w:after="0" w:line="142"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Snap Inc. (f/k/a Snapchat, Inc.)</w:t>
            </w:r>
          </w:p>
        </w:tc>
        <w:tc>
          <w:tcPr>
            <w:tcW w:w="100" w:type="dxa"/>
            <w:vAlign w:val="bottom"/>
            <w:tcBorders>
              <w:top w:val="single" w:sz="8" w:color="CCEEFF"/>
            </w:tcBorders>
          </w:tcPr>
          <w:p>
            <w:pPr>
              <w:spacing w:after="0"/>
              <w:rPr>
                <w:sz w:val="11"/>
                <w:szCs w:val="11"/>
                <w:color w:val="auto"/>
              </w:rPr>
            </w:pPr>
          </w:p>
        </w:tc>
        <w:tc>
          <w:tcPr>
            <w:tcW w:w="1980" w:type="dxa"/>
            <w:vAlign w:val="bottom"/>
            <w:tcBorders>
              <w:top w:val="single" w:sz="8" w:color="CCEEFF"/>
            </w:tcBorders>
            <w:gridSpan w:val="3"/>
          </w:tcPr>
          <w:p>
            <w:pPr>
              <w:jc w:val="center"/>
              <w:ind w:right="200"/>
              <w:spacing w:after="0" w:line="129" w:lineRule="exact"/>
              <w:rPr>
                <w:sz w:val="20"/>
                <w:szCs w:val="20"/>
                <w:color w:val="auto"/>
              </w:rPr>
            </w:pPr>
            <w:r>
              <w:rPr>
                <w:rFonts w:ascii="Arial" w:cs="Arial" w:eastAsia="Arial" w:hAnsi="Arial"/>
                <w:sz w:val="14"/>
                <w:szCs w:val="14"/>
                <w:color w:val="auto"/>
                <w:w w:val="94"/>
              </w:rPr>
              <w:t>Venice, CA</w:t>
            </w:r>
          </w:p>
        </w:tc>
        <w:tc>
          <w:tcPr>
            <w:tcW w:w="7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80" w:type="dxa"/>
            <w:vAlign w:val="bottom"/>
            <w:gridSpan w:val="9"/>
            <w:shd w:val="clear" w:color="auto" w:fill="CCEEFF"/>
          </w:tcPr>
          <w:p>
            <w:pPr>
              <w:ind w:left="20"/>
              <w:spacing w:after="0" w:line="183" w:lineRule="exact"/>
              <w:rPr>
                <w:sz w:val="20"/>
                <w:szCs w:val="20"/>
                <w:color w:val="auto"/>
              </w:rPr>
            </w:pPr>
            <w:r>
              <w:rPr>
                <w:rFonts w:ascii="Arial" w:cs="Arial" w:eastAsia="Arial" w:hAnsi="Arial"/>
                <w:sz w:val="13"/>
                <w:szCs w:val="13"/>
                <w:color w:val="auto"/>
              </w:rPr>
              <w:t>Preferred shares, Series F</w:t>
            </w:r>
            <w:r>
              <w:rPr>
                <w:rFonts w:ascii="Arial" w:cs="Arial" w:eastAsia="Arial" w:hAnsi="Arial"/>
                <w:sz w:val="21"/>
                <w:szCs w:val="21"/>
                <w:color w:val="auto"/>
                <w:vertAlign w:val="superscript"/>
              </w:rPr>
              <w:t>(17)</w:t>
            </w:r>
          </w:p>
        </w:tc>
        <w:tc>
          <w:tcPr>
            <w:tcW w:w="100" w:type="dxa"/>
            <w:vAlign w:val="bottom"/>
            <w:shd w:val="clear" w:color="auto" w:fill="CCEEFF"/>
          </w:tcPr>
          <w:p>
            <w:pPr>
              <w:spacing w:after="0"/>
              <w:rPr>
                <w:sz w:val="15"/>
                <w:szCs w:val="15"/>
                <w:color w:val="auto"/>
              </w:rPr>
            </w:pPr>
          </w:p>
        </w:tc>
        <w:tc>
          <w:tcPr>
            <w:tcW w:w="19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4"/>
              </w:rPr>
              <w:t>Social Communication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2,001,135</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2,184,565</w:t>
            </w:r>
          </w:p>
        </w:tc>
        <w:tc>
          <w:tcPr>
            <w:tcW w:w="82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2680" w:type="dxa"/>
            <w:vAlign w:val="bottom"/>
            <w:gridSpan w:val="9"/>
          </w:tcPr>
          <w:p>
            <w:pPr>
              <w:ind w:left="20"/>
              <w:spacing w:after="0" w:line="189" w:lineRule="exact"/>
              <w:rPr>
                <w:sz w:val="20"/>
                <w:szCs w:val="20"/>
                <w:color w:val="auto"/>
              </w:rPr>
            </w:pPr>
            <w:r>
              <w:rPr>
                <w:rFonts w:ascii="Arial" w:cs="Arial" w:eastAsia="Arial" w:hAnsi="Arial"/>
                <w:sz w:val="13"/>
                <w:szCs w:val="13"/>
                <w:color w:val="auto"/>
              </w:rPr>
              <w:t>Common shares, Class A</w:t>
            </w:r>
            <w:r>
              <w:rPr>
                <w:rFonts w:ascii="Arial" w:cs="Arial" w:eastAsia="Arial" w:hAnsi="Arial"/>
                <w:sz w:val="21"/>
                <w:szCs w:val="21"/>
                <w:color w:val="auto"/>
                <w:vertAlign w:val="superscript"/>
              </w:rPr>
              <w:t>(17)</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130,208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2,001,135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2,184,565</w:t>
            </w:r>
          </w:p>
        </w:tc>
        <w:tc>
          <w:tcPr>
            <w:tcW w:w="820" w:type="dxa"/>
            <w:vAlign w:val="bottom"/>
            <w:gridSpan w:val="3"/>
          </w:tcPr>
          <w:p>
            <w:pPr>
              <w:ind w:left="34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4,002,270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4,369,130</w:t>
            </w:r>
          </w:p>
        </w:tc>
        <w:tc>
          <w:tcPr>
            <w:tcW w:w="820" w:type="dxa"/>
            <w:vAlign w:val="bottom"/>
            <w:tcBorders>
              <w:left w:val="single" w:sz="8" w:color="CCEEFF"/>
            </w:tcBorders>
            <w:gridSpan w:val="3"/>
            <w:shd w:val="clear" w:color="auto" w:fill="CCEEFF"/>
          </w:tcPr>
          <w:p>
            <w:pPr>
              <w:ind w:left="340"/>
              <w:spacing w:after="0" w:line="142"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-4596130</wp:posOffset>
            </wp:positionV>
            <wp:extent cx="5213985" cy="1117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11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-3009265</wp:posOffset>
            </wp:positionV>
            <wp:extent cx="5213985" cy="111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-968375</wp:posOffset>
            </wp:positionV>
            <wp:extent cx="521398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wp:posOffset>
            </wp:positionV>
            <wp:extent cx="5213985"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40" w:type="dxa"/>
            <w:vAlign w:val="bottom"/>
            <w:tcBorders>
              <w:top w:val="single" w:sz="8" w:color="auto"/>
              <w:left w:val="single" w:sz="8" w:color="CCEEFF"/>
            </w:tcBorders>
            <w:gridSpan w:val="8"/>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Partners, Inc.)</w:t>
            </w:r>
            <w:r>
              <w:rPr>
                <w:rFonts w:ascii="Arial" w:cs="Arial" w:eastAsia="Arial" w:hAnsi="Arial"/>
                <w:sz w:val="19"/>
                <w:szCs w:val="19"/>
                <w:b w:val="1"/>
                <w:bCs w:val="1"/>
                <w:color w:val="auto"/>
                <w:vertAlign w:val="superscript"/>
              </w:rPr>
              <w:t>(2)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Clean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14,300,000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4,309,778</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4,309,778</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4,000,000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Philadelphia, PA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80" w:type="dxa"/>
            <w:vAlign w:val="bottom"/>
            <w:gridSpan w:val="9"/>
          </w:tcPr>
          <w:p>
            <w:pPr>
              <w:ind w:left="200"/>
              <w:spacing w:after="0" w:line="159" w:lineRule="exact"/>
              <w:rPr>
                <w:sz w:val="20"/>
                <w:szCs w:val="20"/>
                <w:color w:val="auto"/>
              </w:rPr>
            </w:pPr>
            <w:r>
              <w:rPr>
                <w:rFonts w:ascii="Arial" w:cs="Arial" w:eastAsia="Arial" w:hAnsi="Arial"/>
                <w:sz w:val="14"/>
                <w:szCs w:val="14"/>
                <w:color w:val="auto"/>
              </w:rPr>
              <w:t>Promissory Note 8%, Due</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40" w:type="dxa"/>
            <w:vAlign w:val="bottom"/>
            <w:gridSpan w:val="5"/>
          </w:tcPr>
          <w:p>
            <w:pPr>
              <w:ind w:left="200"/>
              <w:spacing w:after="0" w:line="198" w:lineRule="exact"/>
              <w:rPr>
                <w:sz w:val="20"/>
                <w:szCs w:val="20"/>
                <w:color w:val="auto"/>
              </w:rPr>
            </w:pPr>
            <w:r>
              <w:rPr>
                <w:rFonts w:ascii="Arial" w:cs="Arial" w:eastAsia="Arial" w:hAnsi="Arial"/>
                <w:sz w:val="14"/>
                <w:szCs w:val="14"/>
                <w:color w:val="auto"/>
              </w:rPr>
              <w:t>11/26/2018***</w:t>
            </w:r>
            <w:r>
              <w:rPr>
                <w:rFonts w:ascii="Arial" w:cs="Arial" w:eastAsia="Arial" w:hAnsi="Arial"/>
                <w:sz w:val="22"/>
                <w:szCs w:val="22"/>
                <w:color w:val="auto"/>
                <w:vertAlign w:val="superscript"/>
              </w:rPr>
              <w:t>(8)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1,166,400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1,166,400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1,166,400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1,913,484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D, $4.59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9"/>
            <w:shd w:val="clear" w:color="auto" w:fill="CCEEFF"/>
          </w:tcPr>
          <w:p>
            <w:pPr>
              <w:ind w:left="200"/>
              <w:spacing w:after="0"/>
              <w:rPr>
                <w:sz w:val="20"/>
                <w:szCs w:val="20"/>
                <w:color w:val="auto"/>
              </w:rPr>
            </w:pPr>
            <w:r>
              <w:rPr>
                <w:rFonts w:ascii="Arial" w:cs="Arial" w:eastAsia="Arial" w:hAnsi="Arial"/>
                <w:sz w:val="14"/>
                <w:szCs w:val="14"/>
                <w:color w:val="auto"/>
              </w:rPr>
              <w:t>Price, 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3,951,084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3,860,140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3,782,409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Santa Monica,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88"/>
              </w:rPr>
              <w:t>Peer-to-Peer Pet Services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2,500,771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SharesPost,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San Bruno,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2,249,999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9"/>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69,384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2,319,383</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1,503,436</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751,718</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2,255,154</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223,763</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2,223,761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Big Data Consulting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989,277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2,052,555</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2,000,001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EdSurge,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378,788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501,360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500,000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500,801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588,294</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1,002,161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1,088,294</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2"/>
              </w:rPr>
              <w:t>Computer Software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309,310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881,367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-3931285</wp:posOffset>
            </wp:positionV>
            <wp:extent cx="5213985" cy="1117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-2825115</wp:posOffset>
            </wp:positionV>
            <wp:extent cx="5213985" cy="1117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-1958975</wp:posOffset>
            </wp:positionV>
            <wp:extent cx="5213985" cy="1117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-1564640</wp:posOffset>
            </wp:positionV>
            <wp:extent cx="5213985" cy="1117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-1144270</wp:posOffset>
            </wp:positionV>
            <wp:extent cx="5213985"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-320675</wp:posOffset>
            </wp:positionV>
            <wp:extent cx="5213985"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5"/>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Fullbridge,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Cambridge, MA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Business Education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517,917</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6,150,506</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Junior note 1.49%, Due 11/9/2021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2,270,858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877,359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8,421,364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877,359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5"/>
          </w:tcPr>
          <w:p>
            <w:pPr>
              <w:ind w:left="20"/>
              <w:spacing w:after="0" w:line="133" w:lineRule="exact"/>
              <w:rPr>
                <w:sz w:val="20"/>
                <w:szCs w:val="20"/>
                <w:color w:val="auto"/>
              </w:rPr>
            </w:pPr>
            <w:r>
              <w:rPr>
                <w:rFonts w:ascii="Arial" w:cs="Arial" w:eastAsia="Arial" w:hAnsi="Arial"/>
                <w:sz w:val="14"/>
                <w:szCs w:val="14"/>
                <w:color w:val="auto"/>
              </w:rPr>
              <w:t>Promissory Note 12%, Due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340" w:type="dxa"/>
            <w:vAlign w:val="bottom"/>
            <w:gridSpan w:val="8"/>
          </w:tcPr>
          <w:p>
            <w:pPr>
              <w:ind w:left="200"/>
              <w:spacing w:after="0" w:line="198" w:lineRule="exact"/>
              <w:rPr>
                <w:sz w:val="20"/>
                <w:szCs w:val="20"/>
                <w:color w:val="auto"/>
              </w:rPr>
            </w:pPr>
            <w:r>
              <w:rPr>
                <w:rFonts w:ascii="Arial" w:cs="Arial" w:eastAsia="Arial" w:hAnsi="Arial"/>
                <w:sz w:val="14"/>
                <w:szCs w:val="14"/>
                <w:color w:val="auto"/>
                <w:w w:val="99"/>
              </w:rPr>
              <w:t>11/17/2017***</w:t>
            </w:r>
            <w:r>
              <w:rPr>
                <w:rFonts w:ascii="Arial" w:cs="Arial" w:eastAsia="Arial" w:hAnsi="Arial"/>
                <w:sz w:val="22"/>
                <w:szCs w:val="22"/>
                <w:color w:val="auto"/>
                <w:w w:val="99"/>
                <w:vertAlign w:val="superscript"/>
              </w:rPr>
              <w:t>(15)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Sports Analytics</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26,544</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484,769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5"/>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4"/>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1,836,346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511,313</w:t>
            </w:r>
          </w:p>
        </w:tc>
        <w:tc>
          <w:tcPr>
            <w:tcW w:w="78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5"/>
          </w:tcPr>
          <w:p>
            <w:pPr>
              <w:ind w:left="20"/>
              <w:spacing w:after="0" w:line="129"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8"/>
              </w:rPr>
              <w:t>Chicago, IL</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top w:val="single" w:sz="8" w:color="CCEEF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Social Data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505,744</w:t>
            </w:r>
          </w:p>
        </w:tc>
        <w:tc>
          <w:tcPr>
            <w:tcW w:w="78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5"/>
              </w:rPr>
              <w:t>Marina Del Rey,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5"/>
            <w:shd w:val="clear" w:color="auto" w:fill="CCEEFF"/>
          </w:tcPr>
          <w:p>
            <w:pPr>
              <w:ind w:left="20"/>
              <w:spacing w:after="0" w:line="183" w:lineRule="exact"/>
              <w:rPr>
                <w:sz w:val="20"/>
                <w:szCs w:val="20"/>
                <w:color w:val="auto"/>
              </w:rPr>
            </w:pPr>
            <w:r>
              <w:rPr>
                <w:rFonts w:ascii="Arial" w:cs="Arial" w:eastAsia="Arial" w:hAnsi="Arial"/>
                <w:sz w:val="13"/>
                <w:szCs w:val="13"/>
                <w:color w:val="auto"/>
              </w:rPr>
              <w:t>Preferred shares, Series A</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Financial Services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307,954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4"/>
              </w:rPr>
              <w:t>Sunnyvale,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5"/>
            <w:shd w:val="clear" w:color="auto" w:fill="CCEEFF"/>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Cash Payment Network</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5,480,348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14,000,398</w:t>
            </w: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164,410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5"/>
        </w:trPr>
        <w:tc>
          <w:tcPr>
            <w:tcW w:w="2580" w:type="dxa"/>
            <w:vAlign w:val="bottom"/>
            <w:gridSpan w:val="15"/>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top w:val="single" w:sz="8" w:color="auto"/>
            </w:tcBorders>
            <w:gridSpan w:val="12"/>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Hong Kong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Education Technology</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580" w:type="dxa"/>
            <w:vAlign w:val="bottom"/>
            <w:gridSpan w:val="15"/>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5"/>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5"/>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4"/>
            <w:shd w:val="clear" w:color="auto" w:fill="CCEEFF"/>
          </w:tcPr>
          <w:p>
            <w:pPr>
              <w:ind w:left="180"/>
              <w:spacing w:after="0"/>
              <w:rPr>
                <w:sz w:val="20"/>
                <w:szCs w:val="20"/>
                <w:color w:val="auto"/>
              </w:rPr>
            </w:pPr>
            <w:r>
              <w:rPr>
                <w:rFonts w:ascii="Arial" w:cs="Arial" w:eastAsia="Arial" w:hAnsi="Arial"/>
                <w:sz w:val="14"/>
                <w:szCs w:val="14"/>
                <w:color w:val="auto"/>
              </w:rPr>
              <w:t>Price, Expiration Date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580" w:type="dxa"/>
            <w:vAlign w:val="bottom"/>
            <w:gridSpan w:val="15"/>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8"/>
              </w:rPr>
              <w:t>Orchestra One, Inc. (f/k/a Learnist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5"/>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3"/>
              </w:rPr>
              <w:t>Consumer Health</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Technology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4,959,614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58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(10)</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Herndon, VA</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133,333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80" w:type="dxa"/>
            <w:vAlign w:val="bottom"/>
            <w:gridSpan w:val="15"/>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5"/>
          </w:tcPr>
          <w:p>
            <w:pPr>
              <w:ind w:left="20"/>
              <w:spacing w:after="0" w:line="13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gridSpan w:val="14"/>
          </w:tcPr>
          <w:p>
            <w:pPr>
              <w:ind w:left="180"/>
              <w:spacing w:after="0" w:line="198" w:lineRule="exact"/>
              <w:rPr>
                <w:sz w:val="20"/>
                <w:szCs w:val="20"/>
                <w:color w:val="auto"/>
              </w:rPr>
            </w:pPr>
            <w:r>
              <w:rPr>
                <w:rFonts w:ascii="Arial" w:cs="Arial" w:eastAsia="Arial" w:hAnsi="Arial"/>
                <w:sz w:val="14"/>
                <w:szCs w:val="14"/>
                <w:color w:val="auto"/>
              </w:rPr>
              <w:t>Due 2/26/2017***</w:t>
            </w:r>
            <w:r>
              <w:rPr>
                <w:rFonts w:ascii="Arial" w:cs="Arial" w:eastAsia="Arial" w:hAnsi="Arial"/>
                <w:sz w:val="22"/>
                <w:szCs w:val="22"/>
                <w:color w:val="auto"/>
                <w:vertAlign w:val="superscript"/>
              </w:rPr>
              <w:t>(9)(3)</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Equity Crowdfunding</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5"/>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5"/>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-4330065</wp:posOffset>
            </wp:positionV>
            <wp:extent cx="5213985" cy="1117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-2649220</wp:posOffset>
            </wp:positionV>
            <wp:extent cx="5213985" cy="1974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213985" cy="1117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Beamreach Solar, Inc. (f/k/a Solexel,</w:t>
            </w:r>
          </w:p>
        </w:tc>
        <w:tc>
          <w:tcPr>
            <w:tcW w:w="100" w:type="dxa"/>
            <w:vAlign w:val="bottom"/>
            <w:shd w:val="clear" w:color="auto" w:fill="CCEEFF"/>
          </w:tcPr>
          <w:p>
            <w:pPr>
              <w:spacing w:after="0"/>
              <w:rPr>
                <w:sz w:val="11"/>
                <w:szCs w:val="11"/>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Inc.)</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Convertible Promissory Note 9%,</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gridSpan w:val="7"/>
          </w:tcPr>
          <w:p>
            <w:pPr>
              <w:ind w:left="180"/>
              <w:spacing w:after="0" w:line="198" w:lineRule="exact"/>
              <w:rPr>
                <w:sz w:val="20"/>
                <w:szCs w:val="20"/>
                <w:color w:val="auto"/>
              </w:rPr>
            </w:pPr>
            <w:r>
              <w:rPr>
                <w:rFonts w:ascii="Arial" w:cs="Arial" w:eastAsia="Arial" w:hAnsi="Arial"/>
                <w:sz w:val="14"/>
                <w:szCs w:val="14"/>
                <w:color w:val="auto"/>
              </w:rPr>
              <w:t>Due 5/10/2017***</w:t>
            </w:r>
            <w:r>
              <w:rPr>
                <w:rFonts w:ascii="Arial" w:cs="Arial" w:eastAsia="Arial" w:hAnsi="Arial"/>
                <w:sz w:val="22"/>
                <w:szCs w:val="22"/>
                <w:color w:val="auto"/>
                <w:vertAlign w:val="superscript"/>
              </w:rPr>
              <w:t>(3)(16)</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Solar Power</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254,444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1,613,413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2,419,751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11,598,648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14,272,843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8"/>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Smart Device Company</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793,152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278,768,274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262,015,146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136.38%</w:t>
            </w:r>
          </w:p>
        </w:tc>
        <w:tc>
          <w:tcPr>
            <w:tcW w:w="0" w:type="dxa"/>
            <w:vAlign w:val="bottom"/>
          </w:tcPr>
          <w:p>
            <w:pPr>
              <w:spacing w:after="0"/>
              <w:rPr>
                <w:sz w:val="1"/>
                <w:szCs w:val="1"/>
                <w:color w:val="auto"/>
              </w:rPr>
            </w:pP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U.S. Treasury Bill, 0%, due 1/5/2017***</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30,000,000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29,998,750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29,998,490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308,767,024</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292,013,636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152.00%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280" w:type="dxa"/>
            <w:vAlign w:val="bottom"/>
            <w:tcBorders>
              <w:top w:val="single" w:sz="8" w:color="CCEEFF"/>
              <w:bottom w:val="single" w:sz="8" w:color="auto"/>
            </w:tcBorders>
          </w:tcPr>
          <w:p>
            <w:pPr>
              <w:spacing w:after="0"/>
              <w:rPr>
                <w:sz w:val="22"/>
                <w:szCs w:val="22"/>
                <w:color w:val="auto"/>
              </w:rPr>
            </w:pPr>
          </w:p>
        </w:tc>
        <w:tc>
          <w:tcPr>
            <w:tcW w:w="38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9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-814070</wp:posOffset>
            </wp:positionV>
            <wp:extent cx="5213985"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-616585</wp:posOffset>
            </wp:positionV>
            <wp:extent cx="5213985"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9" w:lineRule="auto"/>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portfolio investments are non-control/non-affiliated and non-income producing, unless identified. Equity investments are subject to lock-up restrictions upon their initial public offering. Unless otherwise noted, all investments were pledged as collateral under the Credit Facility, which expired in accordance with its terms on December 31, 2016. The Company’s officers and staff may serve on the board of directors of the Company’s portfolio investments.</w:t>
      </w:r>
    </w:p>
    <w:p>
      <w:pPr>
        <w:spacing w:after="0" w:line="63" w:lineRule="exact"/>
        <w:rPr>
          <w:sz w:val="20"/>
          <w:szCs w:val="20"/>
          <w:color w:val="auto"/>
        </w:rPr>
      </w:pPr>
    </w:p>
    <w:p>
      <w:pPr>
        <w:ind w:left="300" w:right="779" w:hanging="272"/>
        <w:spacing w:after="0" w:line="264"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9.47%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was on non-accrual status as of December 31, 2016.</w:t>
      </w:r>
    </w:p>
    <w:p>
      <w:pPr>
        <w:spacing w:after="0" w:line="117" w:lineRule="exact"/>
        <w:rPr>
          <w:rFonts w:ascii="Arial" w:cs="Arial" w:eastAsia="Arial" w:hAnsi="Arial"/>
          <w:sz w:val="18"/>
          <w:szCs w:val="18"/>
          <w:color w:val="auto"/>
        </w:rPr>
      </w:pPr>
    </w:p>
    <w:p>
      <w:pPr>
        <w:ind w:left="300" w:right="959" w:hanging="272"/>
        <w:spacing w:after="0" w:line="277"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300" w:right="759" w:hanging="272"/>
        <w:spacing w:after="0" w:line="277"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00" w:lineRule="exact"/>
        <w:rPr>
          <w:sz w:val="20"/>
          <w:szCs w:val="20"/>
          <w:color w:val="auto"/>
        </w:rPr>
      </w:pPr>
    </w:p>
    <w:p>
      <w:pPr>
        <w:spacing w:after="0" w:line="30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559" w:hanging="272"/>
        <w:spacing w:after="0" w:line="264"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February 26, 2015. Accrued interest is not payable until the earlier of (a) the closing of a subsequent equity offering by Earlyshares.com, Inc., or (b) the maturity of the note (February 26,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(10)On June 6, 2016, Cricket Media (f/k/a ePals Inc.) declared a 10:1 reverse split of its common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(11)On July 29, 2016, Aspiration Partners, Inc. declared a 30:1 split of its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2016, Declara, Inc. extended the maturity date of the note held for one year until June 30,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(13)On December 21, 2016, PayNearMe, Inc. converted its Series E Preferred shares into Common Class A shares on a 1:1 basis.</w:t>
      </w:r>
    </w:p>
    <w:p>
      <w:pPr>
        <w:spacing w:after="0" w:line="140" w:lineRule="exact"/>
        <w:rPr>
          <w:sz w:val="20"/>
          <w:szCs w:val="20"/>
          <w:color w:val="auto"/>
        </w:rPr>
      </w:pPr>
    </w:p>
    <w:p>
      <w:pPr>
        <w:ind w:left="320" w:right="679" w:hanging="310"/>
        <w:spacing w:after="0" w:line="277" w:lineRule="auto"/>
        <w:rPr>
          <w:sz w:val="20"/>
          <w:szCs w:val="20"/>
          <w:color w:val="auto"/>
        </w:rPr>
      </w:pPr>
      <w:r>
        <w:rPr>
          <w:rFonts w:ascii="Arial" w:cs="Arial" w:eastAsia="Arial" w:hAnsi="Arial"/>
          <w:sz w:val="18"/>
          <w:szCs w:val="18"/>
          <w:color w:val="auto"/>
        </w:rPr>
        <w:t>(14)On December 15, 2016, NestGSV, Inc. (d/b/a GSV Labs, Inc.) converted its Series A, B, C, and D Preferred shares into Series A-1, A-2, A-3, and A-4 preferred shares, respectively, on a 1:1 basis.</w:t>
      </w:r>
    </w:p>
    <w:p>
      <w:pPr>
        <w:spacing w:after="0" w:line="62" w:lineRule="exact"/>
        <w:rPr>
          <w:sz w:val="20"/>
          <w:szCs w:val="20"/>
          <w:color w:val="auto"/>
        </w:rPr>
      </w:pPr>
    </w:p>
    <w:p>
      <w:pPr>
        <w:ind w:left="320" w:right="819" w:hanging="310"/>
        <w:spacing w:after="0" w:line="277" w:lineRule="auto"/>
        <w:rPr>
          <w:sz w:val="20"/>
          <w:szCs w:val="20"/>
          <w:color w:val="auto"/>
        </w:rPr>
      </w:pPr>
      <w:r>
        <w:rPr>
          <w:rFonts w:ascii="Arial" w:cs="Arial" w:eastAsia="Arial" w:hAnsi="Arial"/>
          <w:sz w:val="18"/>
          <w:szCs w:val="18"/>
          <w:color w:val="auto"/>
        </w:rPr>
        <w:t>(15)On December 31, 2016, Circle Media (f/k/a S3 Digital Corp. (d/b/a S3i)) extended the maturity date of the note held for one year until November 17, 2017.</w:t>
      </w:r>
    </w:p>
    <w:p>
      <w:pPr>
        <w:spacing w:after="0" w:line="62" w:lineRule="exact"/>
        <w:rPr>
          <w:sz w:val="20"/>
          <w:szCs w:val="20"/>
          <w:color w:val="auto"/>
        </w:rPr>
      </w:pPr>
    </w:p>
    <w:p>
      <w:pPr>
        <w:ind w:left="320" w:right="519" w:hanging="312"/>
        <w:spacing w:after="0" w:line="286"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Interest began compounding annually on November 26, 2016. Accrued interest is not payable until the earlier of (a) the closing of a subsequent equity offering by Beamreach Solar, Inc. (f/k/a Solexel, Inc.), or (b) the maturity of the note (May 10, 2017).</w:t>
      </w:r>
    </w:p>
    <w:p>
      <w:pPr>
        <w:spacing w:after="0" w:line="57" w:lineRule="exact"/>
        <w:rPr>
          <w:sz w:val="20"/>
          <w:szCs w:val="20"/>
          <w:color w:val="auto"/>
        </w:rPr>
      </w:pPr>
    </w:p>
    <w:p>
      <w:pPr>
        <w:ind w:left="320" w:right="579" w:hanging="310"/>
        <w:spacing w:after="0" w:line="264" w:lineRule="auto"/>
        <w:rPr>
          <w:sz w:val="20"/>
          <w:szCs w:val="20"/>
          <w:color w:val="auto"/>
        </w:rPr>
      </w:pPr>
      <w:r>
        <w:rPr>
          <w:rFonts w:ascii="Arial" w:cs="Arial" w:eastAsia="Arial" w:hAnsi="Arial"/>
          <w:sz w:val="18"/>
          <w:szCs w:val="18"/>
          <w:color w:val="auto"/>
        </w:rPr>
        <w:t>(17)On October 26, 2016, the Snap Inc. board of directors approved a distribution of shares of Class A common stock as a dividend to the holders of all preferred stock and common stock outstanding on October 31, 2016. One share of Class A common stock was distributed for each share of preferred stock and common stock outstanding.</w:t>
      </w:r>
    </w:p>
    <w:p>
      <w:pPr>
        <w:spacing w:after="0" w:line="200" w:lineRule="exact"/>
        <w:rPr>
          <w:sz w:val="20"/>
          <w:szCs w:val="20"/>
          <w:color w:val="auto"/>
        </w:rPr>
      </w:pPr>
    </w:p>
    <w:p>
      <w:pPr>
        <w:spacing w:after="0" w:line="305"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righ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3,018,787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53,334,461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56,353,248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righ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9,359,241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12,872,947</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22,232,188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righ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18,525,884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righ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righ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righ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2"/>
              </w:rPr>
              <w:t>Beamreach Solar, Inc. (f/k/a 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righ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righ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2,976,876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10,992,490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7,507,216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13,969,366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righ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(1)(12)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12/30/2016***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righ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5,765,799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5,755,573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11,521,372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righ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1,100,909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2,845,044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righ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8,543,345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11,388,389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righ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5"/>
              </w:rPr>
              <w:t>Globally-focused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Private 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11,015,633</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righ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10,722,799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-3896995</wp:posOffset>
            </wp:positionV>
            <wp:extent cx="5213985" cy="1117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-3502660</wp:posOffset>
            </wp:positionV>
            <wp:extent cx="5213985" cy="1117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-2541905</wp:posOffset>
            </wp:positionV>
            <wp:extent cx="5213985" cy="1117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-1932940</wp:posOffset>
            </wp:positionV>
            <wp:extent cx="5213985" cy="1117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-1418590</wp:posOffset>
            </wp:positionV>
            <wp:extent cx="5213985" cy="1117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5213985" cy="1117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-629920</wp:posOffset>
            </wp:positionV>
            <wp:extent cx="5213985" cy="1117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Daily News and</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4,690,178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Information Site</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10,128,994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5"/>
              </w:rPr>
              <w:t>Menlo Park,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7"/>
              </w:rPr>
              <w:t>Cupertino,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Customer</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Relationship Manager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373,134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1,500,522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2,152,983</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7,830,323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9,983,306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Scottsdale, AZ</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Interactive Learning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9,750,946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Santa Clara,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Textbook Rental</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7,960,190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Consumer Electronics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76"/>
        </w:trPr>
        <w:tc>
          <w:tcPr>
            <w:tcW w:w="2580" w:type="dxa"/>
            <w:vAlign w:val="bottom"/>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Redwood City,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Incubator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3,720,424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4,904,498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4,960,565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8,538,506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6,870,844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Borders>
              <w:top w:val="single" w:sz="8" w:color="auto"/>
            </w:tcBorders>
            <w:gridSpan w:val="7"/>
          </w:tcPr>
          <w:p>
            <w:pPr>
              <w:ind w:left="180"/>
              <w:spacing w:after="0" w:line="169" w:lineRule="exact"/>
              <w:rPr>
                <w:sz w:val="20"/>
                <w:szCs w:val="20"/>
                <w:color w:val="auto"/>
              </w:rPr>
            </w:pPr>
            <w:r>
              <w:rPr>
                <w:rFonts w:ascii="Arial" w:cs="Arial" w:eastAsia="Arial" w:hAnsi="Arial"/>
                <w:sz w:val="12"/>
                <w:szCs w:val="12"/>
                <w:b w:val="1"/>
                <w:bCs w:val="1"/>
                <w:color w:val="auto"/>
              </w:rPr>
              <w:t xml:space="preserve">Partners, Inc.) </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Clean Technology</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14,300,000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7,151,412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6"/>
              </w:rPr>
              <w:t>Cambridge, MA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10%</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Due 3/2/2016***</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Business Education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1,030,507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1,655,167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2,956,022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3/2/2020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283,106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35,767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-4450080</wp:posOffset>
            </wp:positionV>
            <wp:extent cx="521398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-3747135</wp:posOffset>
            </wp:positionV>
            <wp:extent cx="521398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-3335655</wp:posOffset>
            </wp:positionV>
            <wp:extent cx="5213985" cy="1117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8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82,418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10,413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10/10/2018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2/18/2019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714,286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7,143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7,417,039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5,777,102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7"/>
              </w:rPr>
              <w:t>Menlo Park,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Online Shopping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879,198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4"/>
              </w:rPr>
              <w:t>Redwood City,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4,954,086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Globally-focused</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Private School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Philadelphia, PA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560" w:type="dxa"/>
            <w:vAlign w:val="bottom"/>
            <w:gridSpan w:val="8"/>
            <w:shd w:val="clear" w:color="auto" w:fill="CCEEFF"/>
          </w:tcPr>
          <w:p>
            <w:pPr>
              <w:ind w:left="180"/>
              <w:spacing w:after="0" w:line="159"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(10)</w:t>
            </w: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1,080,000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1,959,127</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2/25/2018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10,142</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3,825,130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Fuel Cell Energy</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201,589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3,855,601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3,014,861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5"/>
              </w:rPr>
              <w:t>Santa Monica,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Dog Boarding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San Bruno,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6/15/2018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2,000,447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-3695700</wp:posOffset>
            </wp:positionV>
            <wp:extent cx="5213985"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-3301365</wp:posOffset>
            </wp:positionV>
            <wp:extent cx="5213985" cy="1028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5213985" cy="1028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-1320165</wp:posOffset>
            </wp:positionV>
            <wp:extent cx="5213985"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-427990</wp:posOffset>
            </wp:positionV>
            <wp:extent cx="521398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3"/>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1,448,538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724,269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2,172,807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2,026,414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35"/>
        </w:trPr>
        <w:tc>
          <w:tcPr>
            <w:tcW w:w="25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w w:val="98"/>
              </w:rPr>
              <w:t>Promissory Note 12%, Due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26,104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1,835,610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1,266,621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375,909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1,001,761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1,024,867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(1)(7)(13)</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918,720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674,108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Gilt Groupe Holdings, Inc.</w:t>
            </w:r>
            <w:r>
              <w:rPr>
                <w:rFonts w:ascii="Arial" w:cs="Arial" w:eastAsia="Arial" w:hAnsi="Arial"/>
                <w:sz w:val="20"/>
                <w:szCs w:val="20"/>
                <w:b w:val="1"/>
                <w:bCs w:val="1"/>
                <w:color w:val="auto"/>
                <w:vertAlign w:val="superscript"/>
              </w:rPr>
              <w:t>(15)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539,387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price, Expiration Date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325,971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3"/>
          </w:tcPr>
          <w:p>
            <w:pPr>
              <w:ind w:left="20"/>
              <w:spacing w:after="0" w:line="13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960" w:type="dxa"/>
            <w:vAlign w:val="bottom"/>
            <w:gridSpan w:val="6"/>
          </w:tcPr>
          <w:p>
            <w:pPr>
              <w:ind w:left="200"/>
              <w:spacing w:after="0" w:line="198" w:lineRule="exact"/>
              <w:rPr>
                <w:sz w:val="20"/>
                <w:szCs w:val="20"/>
                <w:color w:val="auto"/>
              </w:rPr>
            </w:pPr>
            <w:r>
              <w:rPr>
                <w:rFonts w:ascii="Arial" w:cs="Arial" w:eastAsia="Arial" w:hAnsi="Arial"/>
                <w:sz w:val="14"/>
                <w:szCs w:val="14"/>
                <w:color w:val="auto"/>
                <w:w w:val="91"/>
              </w:rPr>
              <w:t>8/2/2016</w:t>
            </w:r>
            <w:r>
              <w:rPr>
                <w:rFonts w:ascii="Arial" w:cs="Arial" w:eastAsia="Arial" w:hAnsi="Arial"/>
                <w:sz w:val="22"/>
                <w:szCs w:val="22"/>
                <w:color w:val="auto"/>
                <w:w w:val="91"/>
                <w:vertAlign w:val="superscript"/>
              </w:rPr>
              <w:t>(11)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Equity Crowdfunding</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175,115</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-4390390</wp:posOffset>
            </wp:positionV>
            <wp:extent cx="5213985" cy="1117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-2640965</wp:posOffset>
            </wp:positionV>
            <wp:extent cx="521398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21398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vMerge w:val="restart"/>
          </w:tcPr>
          <w:p>
            <w:pPr>
              <w:spacing w:after="0"/>
              <w:rPr>
                <w:sz w:val="11"/>
                <w:szCs w:val="11"/>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6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3"/>
              </w:rPr>
              <w:t>Smart Device Company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60" w:type="dxa"/>
            <w:vAlign w:val="bottom"/>
            <w:gridSpan w:val="3"/>
            <w:vMerge w:val="restart"/>
            <w:shd w:val="clear" w:color="auto" w:fill="CCEEFF"/>
          </w:tcPr>
          <w:p>
            <w:pPr>
              <w:jc w:val="center"/>
              <w:ind w:right="160"/>
              <w:spacing w:after="0"/>
              <w:rPr>
                <w:sz w:val="20"/>
                <w:szCs w:val="20"/>
                <w:color w:val="auto"/>
              </w:rPr>
            </w:pPr>
            <w:r>
              <w:rPr>
                <w:rFonts w:ascii="Arial" w:cs="Arial" w:eastAsia="Arial" w:hAnsi="Arial"/>
                <w:sz w:val="14"/>
                <w:szCs w:val="14"/>
                <w:color w:val="auto"/>
                <w:w w:val="96"/>
              </w:rPr>
              <w:t>Redwood City,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gridSpan w:val="2"/>
            <w:shd w:val="clear" w:color="auto" w:fill="CCEEFF"/>
          </w:tcPr>
          <w:p>
            <w:pPr>
              <w:spacing w:after="0"/>
              <w:rPr>
                <w:sz w:val="11"/>
                <w:szCs w:val="11"/>
                <w:color w:val="auto"/>
              </w:rPr>
            </w:pPr>
          </w:p>
        </w:tc>
        <w:tc>
          <w:tcPr>
            <w:tcW w:w="2060" w:type="dxa"/>
            <w:vAlign w:val="bottom"/>
            <w:tcBorders>
              <w:top w:val="single" w:sz="8" w:color="CCEEFF"/>
            </w:tcBorders>
            <w:gridSpan w:val="3"/>
            <w:vMerge w:val="continue"/>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4"/>
              </w:rPr>
              <w:t>Online Workplace Platform</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6"/>
        </w:trPr>
        <w:tc>
          <w:tcPr>
            <w:tcW w:w="26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(8)</w:t>
            </w: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4"/>
              </w:rPr>
              <w:t>Herndon, VA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5"/>
              </w:rPr>
              <w:t>Online Education</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67,296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9"/>
                <w:szCs w:val="19"/>
                <w:b w:val="1"/>
                <w:bCs w:val="1"/>
                <w:color w:val="auto"/>
                <w:vertAlign w:val="subscript"/>
              </w:rPr>
              <w:t>Inc.)</w:t>
            </w:r>
            <w:r>
              <w:rPr>
                <w:rFonts w:ascii="Arial" w:cs="Arial" w:eastAsia="Arial" w:hAnsi="Arial"/>
                <w:sz w:val="10"/>
                <w:szCs w:val="10"/>
                <w:b w:val="1"/>
                <w:bCs w:val="1"/>
                <w:color w:val="auto"/>
              </w:rPr>
              <w:t>(1)(14)</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spacing w:after="0"/>
              <w:rPr>
                <w:sz w:val="14"/>
                <w:szCs w:val="14"/>
                <w:color w:val="auto"/>
              </w:rPr>
            </w:pPr>
          </w:p>
        </w:tc>
        <w:tc>
          <w:tcPr>
            <w:tcW w:w="2060" w:type="dxa"/>
            <w:vAlign w:val="bottom"/>
            <w:tcBorders>
              <w:top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2"/>
              </w:rPr>
              <w:t>San Francisco, CA</w:t>
            </w: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60"/>
              <w:spacing w:after="0" w:line="123" w:lineRule="exact"/>
              <w:rPr>
                <w:sz w:val="20"/>
                <w:szCs w:val="20"/>
                <w:color w:val="auto"/>
              </w:rPr>
            </w:pPr>
            <w:r>
              <w:rPr>
                <w:rFonts w:ascii="Arial" w:cs="Arial" w:eastAsia="Arial" w:hAnsi="Arial"/>
                <w:sz w:val="14"/>
                <w:szCs w:val="14"/>
                <w:color w:val="auto"/>
                <w:w w:val="93"/>
              </w:rPr>
              <w:t>Consumer Health</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Technology</w:t>
            </w:r>
          </w:p>
        </w:tc>
        <w:tc>
          <w:tcPr>
            <w:tcW w:w="76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8"/>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300" w:type="dxa"/>
            <w:vAlign w:val="bottom"/>
            <w:tcBorders>
              <w:top w:val="single" w:sz="8" w:color="CCEEFF"/>
            </w:tcBorders>
            <w:gridSpan w:val="2"/>
            <w:shd w:val="clear" w:color="auto" w:fill="CCEEFF"/>
          </w:tcPr>
          <w:p>
            <w:pPr>
              <w:spacing w:after="0"/>
              <w:rPr>
                <w:sz w:val="14"/>
                <w:szCs w:val="14"/>
                <w:color w:val="auto"/>
              </w:rPr>
            </w:pPr>
          </w:p>
        </w:tc>
        <w:tc>
          <w:tcPr>
            <w:tcW w:w="2060" w:type="dxa"/>
            <w:vAlign w:val="bottom"/>
            <w:tcBorders>
              <w:top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7"/>
              </w:rPr>
              <w:t>Hong Kong</w:t>
            </w: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6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3"/>
              </w:rPr>
              <w:t>Education Technology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675,375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293,349,843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349,808,767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1/7/2016</w:t>
            </w:r>
          </w:p>
        </w:tc>
        <w:tc>
          <w:tcPr>
            <w:tcW w:w="20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29,999,968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30,000,000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6"/>
        </w:trPr>
        <w:tc>
          <w:tcPr>
            <w:tcW w:w="26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due 08/15/2016</w:t>
            </w: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1,843,170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10"/>
          </w:tcPr>
          <w:p>
            <w:pPr>
              <w:ind w:left="180"/>
              <w:spacing w:after="0"/>
              <w:rPr>
                <w:sz w:val="20"/>
                <w:szCs w:val="20"/>
                <w:color w:val="auto"/>
              </w:rPr>
            </w:pPr>
            <w:r>
              <w:rPr>
                <w:rFonts w:ascii="Arial" w:cs="Arial" w:eastAsia="Arial" w:hAnsi="Arial"/>
                <w:sz w:val="14"/>
                <w:szCs w:val="14"/>
                <w:color w:val="auto"/>
              </w:rPr>
              <w:t>due 02/15/2016</w:t>
            </w:r>
          </w:p>
        </w:tc>
        <w:tc>
          <w:tcPr>
            <w:tcW w:w="20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1,832,780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3,675,192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3,676,693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383,485,460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right="959" w:hanging="272"/>
        <w:spacing w:after="0" w:line="27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59" w:hanging="272"/>
        <w:spacing w:after="0" w:line="26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200" w:lineRule="exact"/>
        <w:rPr>
          <w:sz w:val="20"/>
          <w:szCs w:val="20"/>
          <w:color w:val="auto"/>
        </w:rPr>
      </w:pPr>
    </w:p>
    <w:p>
      <w:pPr>
        <w:spacing w:after="0" w:line="361"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03"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 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99" w:hanging="272"/>
        <w:spacing w:after="0" w:line="279" w:lineRule="auto"/>
        <w:tabs>
          <w:tab w:leader="none" w:pos="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(f/k/a ePals Inc.), based on its December 31, 2015 closing price. As of May 4, 2016, Cricket Media (f/k/a ePals Inc.) was voluntarily delisted from the TSX Venture Exchange as part of a restructuring, after which Cricket Media became privately traded.</w:t>
      </w:r>
    </w:p>
    <w:p>
      <w:pPr>
        <w:spacing w:after="0" w:line="63" w:lineRule="exact"/>
        <w:rPr>
          <w:rFonts w:ascii="Arial" w:cs="Arial" w:eastAsia="Arial" w:hAnsi="Arial"/>
          <w:sz w:val="17"/>
          <w:szCs w:val="17"/>
          <w:color w:val="auto"/>
        </w:rPr>
      </w:pPr>
    </w:p>
    <w:p>
      <w:pPr>
        <w:ind w:left="280" w:right="599" w:hanging="272"/>
        <w:spacing w:after="0" w:line="291"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Refer to “Note 9 — Long-Term Liabilities.” In accordance with the terms of the Company’s Convertible Senior Notes payable, the Company deposited $10,867,500 in an escrow account with U.S. Bank N.A.,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Consolidated Schedule of Investments with an amortized cost of $3,675,192.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69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2015, Declara, Inc. effected a 2:1 forward stock split on all its common and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(13)On December 22, 2015, Strategic Data Command, LLC effected a 3:1 stock split on its common shares.</w:t>
      </w:r>
    </w:p>
    <w:p>
      <w:pPr>
        <w:spacing w:after="0" w:line="117" w:lineRule="exact"/>
        <w:rPr>
          <w:sz w:val="20"/>
          <w:szCs w:val="20"/>
          <w:color w:val="auto"/>
        </w:rPr>
      </w:pPr>
    </w:p>
    <w:p>
      <w:pPr>
        <w:ind w:left="320" w:right="699" w:hanging="310"/>
        <w:spacing w:after="0" w:line="264" w:lineRule="auto"/>
        <w:rPr>
          <w:sz w:val="20"/>
          <w:szCs w:val="20"/>
          <w:color w:val="auto"/>
        </w:rPr>
      </w:pPr>
      <w:r>
        <w:rPr>
          <w:rFonts w:ascii="Arial" w:cs="Arial" w:eastAsia="Arial" w:hAnsi="Arial"/>
          <w:sz w:val="18"/>
          <w:szCs w:val="18"/>
          <w:color w:val="auto"/>
        </w:rPr>
        <w:t>(14)On October 28, 2015, Orchestra One, Inc. (f/k/a Learnist Inc.) completed a change in business, recapitalization and series A-1 preferred stock financing. The Company elected to convert its existing preferred shares into common shares effective November 9, 2015.</w:t>
      </w:r>
    </w:p>
    <w:p>
      <w:pPr>
        <w:spacing w:after="0" w:line="73" w:lineRule="exact"/>
        <w:rPr>
          <w:sz w:val="20"/>
          <w:szCs w:val="20"/>
          <w:color w:val="auto"/>
        </w:rPr>
      </w:pPr>
    </w:p>
    <w:p>
      <w:pPr>
        <w:ind w:left="320" w:right="579" w:hanging="310"/>
        <w:spacing w:after="0" w:line="259" w:lineRule="auto"/>
        <w:rPr>
          <w:sz w:val="20"/>
          <w:szCs w:val="20"/>
          <w:color w:val="auto"/>
        </w:rPr>
      </w:pPr>
      <w:r>
        <w:rPr>
          <w:rFonts w:ascii="Arial" w:cs="Arial" w:eastAsia="Arial" w:hAnsi="Arial"/>
          <w:sz w:val="18"/>
          <w:szCs w:val="18"/>
          <w:color w:val="auto"/>
        </w:rPr>
        <w:t>(15)On January 6, 2016, Gilt Groupe Holdings, Inc. entered into an agreement and plan of merger with Lord and Taylor Acquisition, Inc. to acquire the outstanding Gilt Groupe Holdings, Inc. common stock for approximately $2.1697 per share less applicable costs of the transaction. These are estimates and are subject to change in connection with the final aggregate merger consideration.</w:t>
      </w:r>
    </w:p>
    <w:p>
      <w:pPr>
        <w:spacing w:after="0" w:line="200" w:lineRule="exact"/>
        <w:rPr>
          <w:sz w:val="20"/>
          <w:szCs w:val="20"/>
          <w:color w:val="auto"/>
        </w:rPr>
      </w:pPr>
    </w:p>
    <w:p>
      <w:pPr>
        <w:spacing w:after="0" w:line="311"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719" w:firstLine="270"/>
        <w:spacing w:after="0" w:line="297" w:lineRule="auto"/>
        <w:rPr>
          <w:sz w:val="20"/>
          <w:szCs w:val="20"/>
          <w:color w:val="auto"/>
        </w:rPr>
      </w:pPr>
      <w:r>
        <w:rPr>
          <w:rFonts w:ascii="Arial" w:cs="Arial" w:eastAsia="Arial" w:hAnsi="Arial"/>
          <w:sz w:val="16"/>
          <w:szCs w:val="16"/>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jc w:val="both"/>
        <w:ind w:left="60" w:right="819" w:firstLine="270"/>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719" w:firstLine="270"/>
        <w:spacing w:after="0" w:line="293" w:lineRule="auto"/>
        <w:rPr>
          <w:sz w:val="20"/>
          <w:szCs w:val="20"/>
          <w:color w:val="auto"/>
        </w:rPr>
      </w:pPr>
      <w:r>
        <w:rPr>
          <w:rFonts w:ascii="Arial" w:cs="Arial" w:eastAsia="Arial" w:hAnsi="Arial"/>
          <w:sz w:val="16"/>
          <w:szCs w:val="16"/>
          <w:color w:val="auto"/>
        </w:rPr>
        <w:t>The table below displays all the Company’s subsidiaries as of December 31, 2016,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213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Subsidiaries below are referred to collectively, as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20"/>
                <w:szCs w:val="20"/>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659" w:firstLine="270"/>
        <w:spacing w:after="0" w:line="302" w:lineRule="auto"/>
        <w:rPr>
          <w:sz w:val="20"/>
          <w:szCs w:val="20"/>
          <w:color w:val="auto"/>
        </w:rPr>
      </w:pPr>
      <w:r>
        <w:rPr>
          <w:rFonts w:ascii="Arial" w:cs="Arial" w:eastAsia="Arial" w:hAnsi="Arial"/>
          <w:sz w:val="16"/>
          <w:szCs w:val="16"/>
          <w:color w:val="auto"/>
        </w:rPr>
        <w:t>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in ASC Topic 946, Financial Services — Investment Companies.</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preparation of consolidated financial statements in accordance with GAAP requires the Company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6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Company’s board of directors or the valuation committee of the Company’s board of directors (the “Valuation Committee”), does not reliably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659" w:hanging="26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40" w:right="819" w:hanging="262"/>
        <w:spacing w:after="0" w:line="264"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The Valuation Committee engages at least one independent valuation firm to perform valuations of its investments that are not publicly traded or for which there are no readily available market quotations. The Company’s board of directors considers the independent valuations provided by the valuation firm(s), among other factors, in making its fair value determinations. The table below shows the percentages of the Company’s investments for which there are no readily available market quotations and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139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June 30,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December 31,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March 31, 2016</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June 30,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September 30, 2016</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December 31,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5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4"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 typically values debt investments at either cost plus accrued interest or using the liquidation value of the investment. The Company values its debt investments at estimated fair value as determined by the Company’s board of directors.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679" w:firstLine="270"/>
        <w:spacing w:after="0" w:line="308" w:lineRule="auto"/>
        <w:rPr>
          <w:sz w:val="20"/>
          <w:szCs w:val="20"/>
          <w:color w:val="auto"/>
        </w:rPr>
      </w:pPr>
      <w:r>
        <w:rPr>
          <w:rFonts w:ascii="Arial" w:cs="Arial" w:eastAsia="Arial" w:hAnsi="Arial"/>
          <w:sz w:val="17"/>
          <w:szCs w:val="17"/>
          <w:color w:val="auto"/>
        </w:rPr>
        <w:t>The Company’s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in connection with the valuation of the portfolio company. The Company will classify the investment as either Level 2 subject to an appropriate DLOM to reflect the restrictions upon sale or as Level 1. The Company transfers investments between levels based on the fair value at the end of the measurement period in accordance with FASB ASC 820.</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2016 and December 31, 2015, respectively, for details regarding the nature and composition of the Company’s investment portfolio.</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0" w:name="page101"/>
    <w:bookmarkEnd w:id="10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180" w:right="919" w:firstLine="270"/>
        <w:spacing w:after="0" w:line="312" w:lineRule="auto"/>
        <w:rPr>
          <w:sz w:val="20"/>
          <w:szCs w:val="20"/>
          <w:color w:val="auto"/>
        </w:rPr>
      </w:pPr>
      <w:r>
        <w:rPr>
          <w:rFonts w:ascii="Arial" w:cs="Arial" w:eastAsia="Arial" w:hAnsi="Arial"/>
          <w:sz w:val="16"/>
          <w:szCs w:val="16"/>
          <w:color w:val="auto"/>
        </w:rPr>
        <w:t>The Company places its cash with U.S. Bank, N.A. and Silicon Valley Bank, and at times, cash held in these accounts may exceed the Federal Deposit Insurance Corporation insured limit. The Company believes that both U.S. Bank, N.A. and Silicon Valley Bank are high-quality financial institutions and that the risk of loss associated with any uninsured balance is remote.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180" w:right="539" w:firstLine="270"/>
        <w:spacing w:after="0" w:line="287" w:lineRule="auto"/>
        <w:rPr>
          <w:sz w:val="20"/>
          <w:szCs w:val="20"/>
          <w:color w:val="auto"/>
        </w:rPr>
      </w:pPr>
      <w:r>
        <w:rPr>
          <w:rFonts w:ascii="Arial" w:cs="Arial" w:eastAsia="Arial" w:hAnsi="Arial"/>
          <w:sz w:val="16"/>
          <w:szCs w:val="16"/>
          <w:color w:val="auto"/>
        </w:rPr>
        <w:t>On December 31, 2013, the Company entered into a Loan and Security Agreement (the “Loan Agreement”) with Silicon Valley Bank, pursuant to which Silicon Valley Bank agreed to provide the Company with an $18 million credit facility (the “Credit Facility”). The Credit Facility expired according to its terms on December 31, 2016. The Company recorded origination costs related to the Credit Facility as deferred financing costs. These costs are deferred and amortized as part of interest expense using the effective interest method over the expected life of the Credit Facility. For modifications to or exchanges of the Credit Facility,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December 31, 2016 and December 31, 2015, the Company had deferred financing costs of $311,268 and $352,653, respectively, on the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52057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origination costs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210,998</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141,655</w:t>
            </w:r>
          </w:p>
        </w:tc>
        <w:tc>
          <w:tcPr>
            <w:tcW w:w="100" w:type="dxa"/>
            <w:vAlign w:val="bottom"/>
          </w:tcPr>
          <w:p>
            <w:pPr>
              <w:spacing w:after="0"/>
              <w:rPr>
                <w:sz w:val="18"/>
                <w:szCs w:val="18"/>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311,268</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352,653</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80" w:right="679" w:firstLine="270"/>
        <w:spacing w:after="0" w:line="293" w:lineRule="auto"/>
        <w:rPr>
          <w:sz w:val="20"/>
          <w:szCs w:val="20"/>
          <w:color w:val="auto"/>
        </w:rPr>
      </w:pPr>
      <w:r>
        <w:rPr>
          <w:rFonts w:ascii="Arial" w:cs="Arial" w:eastAsia="Arial" w:hAnsi="Arial"/>
          <w:sz w:val="16"/>
          <w:szCs w:val="16"/>
          <w:color w:val="auto"/>
        </w:rPr>
        <w:t>As of December 31, 2016 and December 31, 2015, the Company had restricted cash of $0 and $52,931, respectively, which is included on the Consolidated Statements of Assets and Liabilities. As of December 31, 2016 and December 31, 2015, restricted cash consisted of a deposit for the Company’s fidelity bond as well as excess funds remaining in escrow after the purchase of the government securities that will be used to make the scheduled interest payments on the Company’s $69 million convertible senior notes, which bear interest at a fixed rate of 5.25% per year and mature on September 15, 2018 (the “Convertible Senior Notes”). See the table below and “Note 9 — Long-Term Liabilities”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for the Company’s fidelity bond</w:t>
            </w:r>
          </w:p>
        </w:tc>
        <w:tc>
          <w:tcPr>
            <w:tcW w:w="25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Excess funds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27,931</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23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52,931</w:t>
            </w:r>
          </w:p>
        </w:tc>
        <w:tc>
          <w:tcPr>
            <w:tcW w:w="1260" w:type="dxa"/>
            <w:vAlign w:val="bottom"/>
          </w:tcPr>
          <w:p>
            <w:pPr>
              <w:spacing w:after="0"/>
              <w:rPr>
                <w:sz w:val="21"/>
                <w:szCs w:val="21"/>
                <w:color w:val="auto"/>
              </w:rPr>
            </w:pPr>
          </w:p>
        </w:tc>
      </w:tr>
      <w:tr>
        <w:trPr>
          <w:trHeight w:val="777"/>
        </w:trPr>
        <w:tc>
          <w:tcPr>
            <w:tcW w:w="1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jc w:val="right"/>
              <w:ind w:right="1210"/>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6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6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At December 31, 2016 and December 31, 2015, the Company had no escrow deposits.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2" w:name="page103"/>
    <w:bookmarkEnd w:id="10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2016, and 2015, the Company reclassified for book purposes amounts arising from permanent book/tax differences related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47339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80" w:type="dxa"/>
            <w:vAlign w:val="bottom"/>
          </w:tcPr>
          <w:p>
            <w:pPr>
              <w:spacing w:after="0"/>
              <w:rPr>
                <w:sz w:val="14"/>
                <w:szCs w:val="14"/>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$(16,519,891)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$(65,015,969)</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16,453,404</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63,994,964</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gain (loss) from investments</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66,487</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1,021,005</w:t>
            </w:r>
          </w:p>
        </w:tc>
      </w:tr>
    </w:tbl>
    <w:p>
      <w:pPr>
        <w:spacing w:after="0" w:line="94"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For income tax purposes, distributions paid to stockholders are reported as ordinary income, return of capital, long term capital gains or a combination thereof. The tax character of distributions paid for the years ended December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47339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Distributions of long-term capital gains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53,323,476</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Distributions on a tax basis</w:t>
            </w:r>
          </w:p>
        </w:tc>
        <w:tc>
          <w:tcPr>
            <w:tcW w:w="20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left="60" w:right="859" w:firstLine="270"/>
        <w:spacing w:after="0" w:line="264" w:lineRule="auto"/>
        <w:rPr>
          <w:sz w:val="20"/>
          <w:szCs w:val="20"/>
          <w:color w:val="auto"/>
        </w:rPr>
      </w:pPr>
      <w:r>
        <w:rPr>
          <w:rFonts w:ascii="Arial" w:cs="Arial" w:eastAsia="Arial" w:hAnsi="Arial"/>
          <w:sz w:val="18"/>
          <w:szCs w:val="18"/>
          <w:color w:val="auto"/>
        </w:rPr>
        <w:t>For federal income tax purposes, the tax cost of investments owned at December 31, 2016 and 2015, was $306,906,435 and $325,164,414, respectively. The net unrealized depreciation on investments owned at December 31, 2016 and 2015, was $14,892,799 and $58,649,841, respectively.</w:t>
      </w:r>
    </w:p>
    <w:p>
      <w:pPr>
        <w:spacing w:after="0" w:line="73"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At December 31 2016,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capital gains/(losses)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(2,634,471)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820,753</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Unrealized appreciation/(depreciation)</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(25,252,169)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45,844,891</w:t>
            </w:r>
          </w:p>
        </w:tc>
      </w:tr>
      <w:tr>
        <w:trPr>
          <w:trHeight w:val="20"/>
        </w:trPr>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distributable earnings/(loss) at year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(27,886,640)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46,665,644</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58" w:lineRule="exact"/>
        <w:rPr>
          <w:sz w:val="20"/>
          <w:szCs w:val="20"/>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In September 2015, the Company determined it was in the best interests of its stockholders to file its 2013 tax return as a C corporation.</w:t>
      </w:r>
    </w:p>
    <w:p>
      <w:pPr>
        <w:spacing w:after="0" w:line="80"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The Company determined, however,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74"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The Company also qualified to be treated as a RIC for the 2015 and 2016 taxable years and intends to qualify to be treated as a RIC in future periods. If it is not treated as a RIC, the Company will be taxed as a C corporation under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8 — Income Taxes” for further details regarding the Company’s tax status.</w:t>
      </w:r>
    </w:p>
    <w:p>
      <w:pPr>
        <w:spacing w:after="0" w:line="200" w:lineRule="exact"/>
        <w:rPr>
          <w:sz w:val="20"/>
          <w:szCs w:val="20"/>
          <w:color w:val="auto"/>
        </w:rPr>
      </w:pPr>
    </w:p>
    <w:p>
      <w:pPr>
        <w:spacing w:after="0" w:line="3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7"/>
          <w:szCs w:val="17"/>
          <w:i w:val="1"/>
          <w:iCs w:val="1"/>
          <w:color w:val="auto"/>
        </w:rPr>
        <w:t>FASB ASC 260, Earnings Per Share (“ASC 260”)</w:t>
      </w:r>
      <w:r>
        <w:rPr>
          <w:rFonts w:ascii="Arial" w:cs="Arial" w:eastAsia="Arial" w:hAnsi="Arial"/>
          <w:sz w:val="17"/>
          <w:szCs w:val="17"/>
          <w:color w:val="auto"/>
        </w:rPr>
        <w:t xml:space="preserve"> to determine the number of potentially dilutive shares outstanding. Refer to “Note 5 — Net Increase/(Decrease) in Net Assets Resulting from Operations per Common Share — Basic and Diluted” for further detail.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On October 13, 2016, the SEC amended Regulation S-X to, among other things, standardize the reporting of certain derivative investments in the financial statements of business development companies. The amendments to Regulation S-X also update the required disclosure for other investments and investments in and advances to affiliates and amend the rules regarding the general form and content of a business development company’s financial statements. The compliance date for the amendments to Regulation S-X is August 1, 2017. Management is evaluating the amended rules to determine the impact to the Company.</w:t>
      </w:r>
    </w:p>
    <w:p>
      <w:pPr>
        <w:spacing w:after="0" w:line="50"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December 2016, the FASB released an accounting standards update (“ASU”) that makes technical changes to various sections of the ASC, including Topic 820, Fair Value Measurement. The changes to Topic 820 are intended to clarify the difference between a valuation approach and a valuation technique. The changes to ASC 820-10-50-2 require a reporting entity to disclose, for Level 2 and Level 3 fair value measurements, a change in either or both a valuation approach and a valuation technique and the reason(s) for the change. The changes to Topic 820 are effective for fiscal years, and interim periods within those fiscal years, beginning after December 15, 2016. At this time, management is evaluating the implications of the ASU and has not yet determined its impact on the financial statements and disclosures.</w:t>
      </w:r>
    </w:p>
    <w:p>
      <w:pPr>
        <w:spacing w:after="0" w:line="70" w:lineRule="exact"/>
        <w:rPr>
          <w:sz w:val="20"/>
          <w:szCs w:val="20"/>
          <w:color w:val="auto"/>
        </w:rPr>
      </w:pPr>
    </w:p>
    <w:p>
      <w:pPr>
        <w:jc w:val="both"/>
        <w:ind w:left="40" w:right="779" w:firstLine="270"/>
        <w:spacing w:after="0" w:line="302"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 Simplifying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Debt Issuance Costs</w:t>
      </w:r>
      <w:r>
        <w:rPr>
          <w:rFonts w:ascii="Arial" w:cs="Arial" w:eastAsia="Arial" w:hAnsi="Arial"/>
          <w:sz w:val="16"/>
          <w:szCs w:val="16"/>
          <w:color w:val="auto"/>
        </w:rPr>
        <w:t>. ASU 2015-03 requires companies to present debt issuance costs related to a recognized debt liability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as a direct deduction from the carrying amount of that debt liability, consistent with debt discounts. Debt issuance costs related to lines of credit are not required to be deducted from the carrying amount of that debt liability.</w:t>
      </w:r>
    </w:p>
    <w:p>
      <w:pPr>
        <w:spacing w:after="0" w:line="46" w:lineRule="exact"/>
        <w:rPr>
          <w:sz w:val="20"/>
          <w:szCs w:val="20"/>
          <w:color w:val="auto"/>
        </w:rPr>
      </w:pPr>
    </w:p>
    <w:p>
      <w:pPr>
        <w:ind w:left="40" w:right="739" w:firstLine="270"/>
        <w:spacing w:after="0" w:line="273" w:lineRule="auto"/>
        <w:rPr>
          <w:sz w:val="20"/>
          <w:szCs w:val="20"/>
          <w:color w:val="auto"/>
        </w:rPr>
      </w:pPr>
      <w:r>
        <w:rPr>
          <w:rFonts w:ascii="Arial" w:cs="Arial" w:eastAsia="Arial" w:hAnsi="Arial"/>
          <w:sz w:val="17"/>
          <w:szCs w:val="17"/>
          <w:color w:val="auto"/>
        </w:rPr>
        <w:t xml:space="preserve">On January 1, 2016, the Company adopted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(ASC 8510), which amends the guidance for determining whether an entity is a variable interest entity. ASU 2015-02 eliminates the separate consolidation guidance for limited partnerships and, with it, the presumption that a general partner should consolidate a limited partnership. In addition, ASU 2015-02 changes the guidance for determining if fee arrangements qualify as variable interests and the effect fee arrangements have on the determination of the primary beneficiary. Adoption of ASU 2015-02 did not affect the consolidation analysis for any of the Company’s investments.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Under the terms of the Advisory Agreement, GSV Asset Management will be paid a base management fee of 2% of gross assets, which is the Company’s total assets reflected on the its Consolidated Statements of Assets and Liabilities (with no deduction for liabilities) reduced by any non-portfolio investments, and an annual incentive fee equal to the lesser of (i) 20% of the Company’s</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January 1, 2017 through December 31, 2017, however, pursuant to a voluntary waiver by GSV Asset Management, the Company will pay GSV Asset Management a base management fee of 1.75%, a 0.25% reduction from the 2.0% base management fee payable under the Advisory Agreement. This waiver of a portion of the base management fee is not subject to recourse against or reimbursement by the Company.</w:t>
      </w:r>
    </w:p>
    <w:p>
      <w:pPr>
        <w:spacing w:after="0" w:line="84"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Consolidated Statements of Assets and Liabilities as of December 31, 2016 and December 31, 2015.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jc w:val="both"/>
        <w:ind w:left="40" w:right="959" w:firstLine="270"/>
        <w:spacing w:after="0" w:line="264" w:lineRule="auto"/>
        <w:rPr>
          <w:sz w:val="20"/>
          <w:szCs w:val="20"/>
          <w:color w:val="auto"/>
        </w:rPr>
      </w:pPr>
      <w:r>
        <w:rPr>
          <w:rFonts w:ascii="Arial" w:cs="Arial" w:eastAsia="Arial" w:hAnsi="Arial"/>
          <w:sz w:val="18"/>
          <w:szCs w:val="18"/>
          <w:color w:val="auto"/>
        </w:rPr>
        <w:t>For the year ended December 31, 2016, the Company reversed accrued incentive fees of $15,188,121. For the years ended December 31, 2015 and 2014, the Company accrued incentive fees of $8,170,326, and $3,614,347, respectively, for financial statement purposes.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GSV Asset Management earned $6,896,347, $8,044,801 and $7,562,488 in management fees for the years ended December 31, 2016, 2015 and 2014, respectively.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color w:val="auto"/>
        </w:rPr>
        <w:t>As of December 31, 2016, there were no receivables owed to the Company by GSV Asset Management. In addition, as of December 31, 2016, the Company owed GSV Asset Management $422,025 primarily for the reimbursement of overhead expenses.</w:t>
      </w:r>
    </w:p>
    <w:p>
      <w:pPr>
        <w:spacing w:after="0" w:line="16" w:lineRule="exact"/>
        <w:rPr>
          <w:sz w:val="20"/>
          <w:szCs w:val="20"/>
          <w:color w:val="auto"/>
        </w:rPr>
      </w:pPr>
    </w:p>
    <w:p>
      <w:pPr>
        <w:jc w:val="both"/>
        <w:ind w:left="40" w:right="759" w:firstLine="270"/>
        <w:spacing w:after="0" w:line="312" w:lineRule="auto"/>
        <w:rPr>
          <w:sz w:val="20"/>
          <w:szCs w:val="20"/>
          <w:color w:val="auto"/>
        </w:rPr>
      </w:pPr>
      <w:r>
        <w:rPr>
          <w:rFonts w:ascii="Arial" w:cs="Arial" w:eastAsia="Arial" w:hAnsi="Arial"/>
          <w:sz w:val="16"/>
          <w:szCs w:val="16"/>
          <w:color w:val="auto"/>
        </w:rPr>
        <w:t>As of December 31, 2015, GSV Asset Management owed the Company $220,770 for reimbursement of expenses paid for by the Company that were the responsibility of GSV Asset Management. In addition, as of December 31, 2015, the Company owed GSV Asset Management $5,047,429 for earned incentive fees and, to a lesser extent, for the reimbursement of other expenses.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859"/>
        <w:spacing w:after="0" w:line="342" w:lineRule="auto"/>
        <w:rPr>
          <w:sz w:val="20"/>
          <w:szCs w:val="20"/>
          <w:color w:val="auto"/>
        </w:rPr>
      </w:pPr>
      <w:r>
        <w:rPr>
          <w:rFonts w:ascii="Arial" w:cs="Arial" w:eastAsia="Arial" w:hAnsi="Arial"/>
          <w:sz w:val="16"/>
          <w:szCs w:val="16"/>
          <w:color w:val="auto"/>
        </w:rPr>
        <w:t>in performing its obligations under the Administration Agreement. There were $2,545,316, $2,681,079, and $3,199,904 in such costs incurred under the Administration Agreement for the years ended December 31, 2016, 2015 and 2014, respectively.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Arrangements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Mark Moe, who is the brother of the Company’s Chief Executive Officer, Michael Moe, serves as Vice President of Business Development, Global Expansion for NestGSV, Inc. (d/b/a GSV Labs, Inc.), one of the Company’s portfolio companies. Diane Flynn, who is the spouse of the Company’s President, Mark Flynn, served as Chief Marketing Officer of NestGSV, Inc. until her resignation in January 2017. Ron Johnson, the Chief Executive Officer of Enjoy Technology, Inc., one of the Company’s portfolio companies, is the brother-in-law of the Company’s President, Mark Flynn. As of December 31, 2016, the fair values of the Company’s investments in NestGSV, Inc. and Enjoy Technology, Inc. were $5,106,751 and $5,443,091, respectively. Another one of the Company’s portfolio companies, SPBRX, INC. (f/k/a GSV Sustainability Partners, Inc.), previously utilized office space paid for by GSV Asset Management without paying GSV Asset Management or the Company any consideration for rent. The Company did not consider this an arms-length transaction. In August 2016, SPBRX, INC. (f/k/a GSV Sustainability Partners, Inc.) moved out of the office space paid for by GSV Asset Management.</w:t>
      </w:r>
    </w:p>
    <w:p>
      <w:pPr>
        <w:spacing w:after="0" w:line="70"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In addition, the Company’s executive officers and directors, and the principals of the Company’s investment adviser, GSV Asset Management, serve or may serve as officers and directors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March 16, 2017, GSV Asset Management also manages Coursera@GSV Fund, LP and Coursera@GSV-EDBI Fund, LP, special purpose vehicles each comprised of an underlying investment in Coursera stock (the “Coursera Funds”), and serves as sub-adviser for certain investment series of GSV Ventures I LLC, GSV Ventures II LLC, GSV Ventures III LLC, GSV Ventures IV LLC, GSV Ventures V LLC and GSV Ventures VI LLC, each a venture capital and growth equity fund (collectively, the “GSV Ventures Funds”), and will likely manage one or more private funds, or series within such private funds, in the future. The Company has no ownership interests in the Coursera Funds or the GSV Ventures Funds sub-advised by GSV Asset Management.</w:t>
      </w:r>
    </w:p>
    <w:p>
      <w:pPr>
        <w:spacing w:after="0" w:line="61"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While the investment focus of each of these entities, including the Coursera Funds and the GSV Ventures Funds, may be different from the Company’s investment objective, it is likely that new investment opportunities that meet the Company’s investment objective will come to the attention of one of these entities, or new entities that will likely be formed in the future in connection with another investment advisory client or program, and, if so, such opportunity might not be offered, or otherwise made available, to the Company. However, the Company’s executive officers, directors and investment adviser, GSV Asset Management, intend to treat the Company in a fair and equitable manner consistent with their applicable duties under law so that the Company will not be disadvantaged in relation to any other particular client. In addition, while GSV Asset Management anticipates that it will from time to time identify investment opportunities that are appropriate for both the Company and the other funds that are currently, or in the future may be, managed by GSV Asset Management, to the extent it does identify such opportunities, GSV Asset Management has established an</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180" w:right="599"/>
        <w:spacing w:after="0" w:line="308" w:lineRule="auto"/>
        <w:rPr>
          <w:sz w:val="20"/>
          <w:szCs w:val="20"/>
          <w:color w:val="auto"/>
        </w:rPr>
      </w:pPr>
      <w:r>
        <w:rPr>
          <w:rFonts w:ascii="Arial" w:cs="Arial" w:eastAsia="Arial" w:hAnsi="Arial"/>
          <w:sz w:val="17"/>
          <w:szCs w:val="17"/>
          <w:color w:val="auto"/>
        </w:rPr>
        <w:t>allocation policy to ensure that the Company has priority over such other funds. The Company’s board of directors will monitor on a quarterly basis any such allocation of investment opportunities between the Company and any such other funds.</w:t>
      </w:r>
    </w:p>
    <w:p>
      <w:pPr>
        <w:spacing w:after="0" w:line="38" w:lineRule="exact"/>
        <w:rPr>
          <w:sz w:val="20"/>
          <w:szCs w:val="20"/>
          <w:color w:val="auto"/>
        </w:rPr>
      </w:pPr>
    </w:p>
    <w:p>
      <w:pPr>
        <w:ind w:left="180" w:right="599" w:firstLine="270"/>
        <w:spacing w:after="0" w:line="271" w:lineRule="auto"/>
        <w:rPr>
          <w:sz w:val="20"/>
          <w:szCs w:val="20"/>
          <w:color w:val="auto"/>
        </w:rPr>
      </w:pPr>
      <w:r>
        <w:rPr>
          <w:rFonts w:ascii="Arial" w:cs="Arial" w:eastAsia="Arial" w:hAnsi="Arial"/>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During the year ended December 31, 2016, the Company received other income of $212,795 from the proceeds of Michael Moe’s sale of common shares of 2U, Inc. (f/k/a 2tor, Inc.), one of the Company’s former portfolio companies, that Mr. Moe received while serving on 2U’s board of directors. These sales proceeds were remitted directly to the Company.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18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53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December 31, 2016, the Company had 91 positions in 45 portfolio companies. At December 31, 2015, the Company had 96 positions in 48 portfolio companies. The following table summarizes the composition of the Company’s investment portfolio by security type at cost and fair value as of December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81,274,687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83,074,410</w:t>
            </w:r>
          </w:p>
        </w:tc>
        <w:tc>
          <w:tcPr>
            <w:tcW w:w="2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65,870,590</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$ 102,319,140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174,462,577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162,238,879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192,255,990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216,291,092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8,849,434</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7,821,948</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4,177,804</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264,745,411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253,286,141</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262,606,155</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323,255,397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14,022,863</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30,743,688</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6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278,768,274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262,015,146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293,349,843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349,808,767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29,998,750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29,998,490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30,000,000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3,675,192</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29,998,750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29,998,490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33,675,160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308,767,024</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292,013,636</w:t>
            </w:r>
          </w:p>
        </w:tc>
        <w:tc>
          <w:tcPr>
            <w:tcW w:w="2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327,025,003</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$ 383,485,460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-1937385</wp:posOffset>
            </wp:positionV>
            <wp:extent cx="5213985"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-1654810</wp:posOffset>
            </wp:positionV>
            <wp:extent cx="5213985" cy="291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-951230</wp:posOffset>
            </wp:positionV>
            <wp:extent cx="5213985"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8" w:name="page109"/>
    <w:bookmarkEnd w:id="10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December 31, 2016 and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4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83,074,410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83,074,410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162,238,879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162,238,879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7,821,948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7,821,948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253,286,141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253,286,141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8,729,005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8,729,005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6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253,286,141</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262,015,146</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29,998,490</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29,998,490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38,727,495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253,286,141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292,013,636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4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102,319,140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102,319,140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216,291,092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216,291,092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4,175,859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469,306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323,255,397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323,255,397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26,486,074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26,553,370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6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26,486,074</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323,255,397</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349,808,767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30,000,000</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3,676,693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33,676,693</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60,162,767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323,255,397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383,485,460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-4904740</wp:posOffset>
            </wp:positionV>
            <wp:extent cx="5213985"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-4192905</wp:posOffset>
            </wp:positionV>
            <wp:extent cx="521398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-3909695</wp:posOffset>
            </wp:positionV>
            <wp:extent cx="5213985" cy="180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-2091690</wp:posOffset>
            </wp:positionV>
            <wp:extent cx="5213985"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5213985"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-3703955</wp:posOffset>
            </wp:positionV>
            <wp:extent cx="52139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9" w:name="page110"/>
    <w:bookmarkEnd w:id="10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539" w:firstLine="270"/>
        <w:spacing w:after="0" w:line="290" w:lineRule="auto"/>
        <w:rPr>
          <w:sz w:val="20"/>
          <w:szCs w:val="20"/>
          <w:color w:val="auto"/>
        </w:rPr>
      </w:pPr>
      <w:r>
        <w:rPr>
          <w:rFonts w:ascii="Arial" w:cs="Arial" w:eastAsia="Arial" w:hAnsi="Arial"/>
          <w:sz w:val="16"/>
          <w:szCs w:val="16"/>
          <w:color w:val="auto"/>
        </w:rPr>
        <w:t>In accordance with FASB ASC 820, the tables below provide quantitative information about the Company’s fair value measurements of its Level 3 assets as of December 31, 2016 and December 31, 2015.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2016 and December 31, 2015.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Range (Weighted</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1840" w:type="dxa"/>
            <w:vAlign w:val="bottom"/>
            <w:gridSpan w:val="3"/>
          </w:tcPr>
          <w:p>
            <w:pPr>
              <w:ind w:left="20"/>
              <w:spacing w:after="0"/>
              <w:rPr>
                <w:sz w:val="20"/>
                <w:szCs w:val="20"/>
                <w:color w:val="auto"/>
              </w:rPr>
            </w:pPr>
            <w:r>
              <w:rPr>
                <w:rFonts w:ascii="Arial" w:cs="Arial" w:eastAsia="Arial" w:hAnsi="Arial"/>
                <w:sz w:val="16"/>
                <w:szCs w:val="16"/>
                <w:color w:val="auto"/>
              </w:rPr>
              <w:t>Common stock in private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color w:val="auto"/>
                <w:w w:val="87"/>
              </w:rPr>
              <w:t>Precedent transactions</w:t>
            </w:r>
            <w:r>
              <w:rPr>
                <w:rFonts w:ascii="Arial" w:cs="Arial" w:eastAsia="Arial" w:hAnsi="Arial"/>
                <w:sz w:val="27"/>
                <w:szCs w:val="27"/>
                <w:color w:val="auto"/>
                <w:w w:val="87"/>
                <w:vertAlign w:val="superscript"/>
              </w:rPr>
              <w:t>(1)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color w:val="auto"/>
              </w:rPr>
              <w:t>companies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83,074,410</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0.8x – 5.2x (3.3x)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37.5x</w:t>
            </w:r>
          </w:p>
        </w:tc>
        <w:tc>
          <w:tcPr>
            <w:tcW w:w="760" w:type="dxa"/>
            <w:vAlign w:val="bottom"/>
          </w:tcPr>
          <w:p>
            <w:pPr>
              <w:ind w:left="20"/>
              <w:spacing w:after="0"/>
              <w:rPr>
                <w:sz w:val="20"/>
                <w:szCs w:val="20"/>
                <w:color w:val="auto"/>
              </w:rPr>
            </w:pPr>
            <w:r>
              <w:rPr>
                <w:rFonts w:ascii="Arial" w:cs="Arial" w:eastAsia="Arial" w:hAnsi="Arial"/>
                <w:sz w:val="16"/>
                <w:szCs w:val="16"/>
                <w:color w:val="auto"/>
              </w:rPr>
              <w:t>(37.5x)</w:t>
            </w:r>
          </w:p>
        </w:tc>
        <w:tc>
          <w:tcPr>
            <w:tcW w:w="0" w:type="dxa"/>
            <w:vAlign w:val="bottom"/>
          </w:tcPr>
          <w:p>
            <w:pPr>
              <w:spacing w:after="0"/>
              <w:rPr>
                <w:sz w:val="1"/>
                <w:szCs w:val="1"/>
                <w:color w:val="auto"/>
              </w:rPr>
            </w:pPr>
          </w:p>
        </w:tc>
      </w:tr>
      <w:tr>
        <w:trPr>
          <w:trHeight w:val="193"/>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Preferred stock in private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Precedent transactions</w:t>
            </w:r>
            <w:r>
              <w:rPr>
                <w:rFonts w:ascii="Arial" w:cs="Arial" w:eastAsia="Arial" w:hAnsi="Arial"/>
                <w:sz w:val="27"/>
                <w:szCs w:val="27"/>
                <w:color w:val="auto"/>
                <w:w w:val="87"/>
                <w:vertAlign w:val="superscript"/>
              </w:rPr>
              <w:t>(1)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157,929,101</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3"/>
              </w:rPr>
              <w:t>0.8x – 5.3x (2.7x)</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37.5x</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(37.5x)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Subscriber multiples</w:t>
            </w:r>
          </w:p>
        </w:tc>
        <w:tc>
          <w:tcPr>
            <w:tcW w:w="16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3"/>
              </w:rPr>
              <w:t>669.9x(669.6x)</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Discount for lack</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of control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4,309,778</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7"/>
              </w:rPr>
              <w:t>PWERM</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760" w:type="dxa"/>
            <w:vAlign w:val="bottom"/>
          </w:tcPr>
          <w:p>
            <w:pPr>
              <w:ind w:lef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Debt Investments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7,821,948</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1840" w:type="dxa"/>
            <w:vAlign w:val="bottom"/>
            <w:gridSpan w:val="3"/>
          </w:tcPr>
          <w:p>
            <w:pPr>
              <w:ind w:left="20"/>
              <w:spacing w:after="0"/>
              <w:rPr>
                <w:sz w:val="20"/>
                <w:szCs w:val="20"/>
                <w:color w:val="auto"/>
              </w:rPr>
            </w:pPr>
            <w:r>
              <w:rPr>
                <w:rFonts w:ascii="Arial" w:cs="Arial" w:eastAsia="Arial" w:hAnsi="Arial"/>
                <w:sz w:val="16"/>
                <w:szCs w:val="16"/>
                <w:color w:val="auto"/>
              </w:rPr>
              <w:t>Warrants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150,904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(Years)</w:t>
            </w:r>
          </w:p>
        </w:tc>
        <w:tc>
          <w:tcPr>
            <w:tcW w:w="1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2"/>
              </w:rPr>
              <w:t>1.2 – 3.0 (2.1)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10.4% – 49.3%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Volatility</w:t>
            </w:r>
          </w:p>
        </w:tc>
        <w:tc>
          <w:tcPr>
            <w:tcW w:w="1600" w:type="dxa"/>
            <w:vAlign w:val="bottom"/>
            <w:gridSpan w:val="3"/>
            <w:shd w:val="clear" w:color="auto" w:fill="CCEEFF"/>
          </w:tcPr>
          <w:p>
            <w:pPr>
              <w:jc w:val="center"/>
              <w:ind w:left="119"/>
              <w:spacing w:after="0"/>
              <w:rPr>
                <w:sz w:val="20"/>
                <w:szCs w:val="20"/>
                <w:color w:val="auto"/>
              </w:rPr>
            </w:pPr>
            <w:r>
              <w:rPr>
                <w:rFonts w:ascii="Arial" w:cs="Arial" w:eastAsia="Arial" w:hAnsi="Arial"/>
                <w:sz w:val="16"/>
                <w:szCs w:val="16"/>
                <w:color w:val="auto"/>
                <w:w w:val="92"/>
              </w:rPr>
              <w:t>(43.2%)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2139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Range (Weighted</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1840" w:type="dxa"/>
            <w:vAlign w:val="bottom"/>
          </w:tcPr>
          <w:p>
            <w:pPr>
              <w:ind w:left="20"/>
              <w:spacing w:after="0"/>
              <w:rPr>
                <w:sz w:val="20"/>
                <w:szCs w:val="20"/>
                <w:color w:val="auto"/>
              </w:rPr>
            </w:pPr>
            <w:r>
              <w:rPr>
                <w:rFonts w:ascii="Arial" w:cs="Arial" w:eastAsia="Arial" w:hAnsi="Arial"/>
                <w:sz w:val="16"/>
                <w:szCs w:val="16"/>
                <w:color w:val="auto"/>
              </w:rPr>
              <w:t>Common stock in private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color w:val="auto"/>
                <w:w w:val="87"/>
              </w:rPr>
              <w:t>Precedent transactions</w:t>
            </w:r>
            <w:r>
              <w:rPr>
                <w:rFonts w:ascii="Arial" w:cs="Arial" w:eastAsia="Arial" w:hAnsi="Arial"/>
                <w:sz w:val="27"/>
                <w:szCs w:val="27"/>
                <w:color w:val="auto"/>
                <w:w w:val="87"/>
                <w:vertAlign w:val="superscript"/>
              </w:rPr>
              <w:t>(1)</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40" w:type="dxa"/>
            <w:vAlign w:val="bottom"/>
          </w:tcPr>
          <w:p>
            <w:pPr>
              <w:ind w:left="200"/>
              <w:spacing w:after="0"/>
              <w:rPr>
                <w:sz w:val="20"/>
                <w:szCs w:val="20"/>
                <w:color w:val="auto"/>
              </w:rPr>
            </w:pPr>
            <w:r>
              <w:rPr>
                <w:rFonts w:ascii="Arial" w:cs="Arial" w:eastAsia="Arial" w:hAnsi="Arial"/>
                <w:sz w:val="16"/>
                <w:szCs w:val="16"/>
                <w:color w:val="auto"/>
              </w:rPr>
              <w:t>companies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9"/>
              </w:rPr>
              <w:t>102,319,140</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4.5x – 5.4x (5.0x)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34.2x (34.2x)</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Discount rate</w:t>
            </w:r>
          </w:p>
        </w:tc>
        <w:tc>
          <w:tcPr>
            <w:tcW w:w="160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35% (35%)</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Liquidation value</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in private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7"/>
              </w:rPr>
              <w:t>Precedent transactions</w:t>
            </w:r>
            <w:r>
              <w:rPr>
                <w:rFonts w:ascii="Arial" w:cs="Arial" w:eastAsia="Arial" w:hAnsi="Arial"/>
                <w:sz w:val="27"/>
                <w:szCs w:val="27"/>
                <w:color w:val="auto"/>
                <w:w w:val="87"/>
                <w:vertAlign w:val="superscript"/>
              </w:rPr>
              <w:t>(1)</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companies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216,291,092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1.3x – 6.0x (3.4x)</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12.0x – 32.0x</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(19.5x)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30% – 50% (40%)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Investments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4,175,859</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Amortized cost</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1840" w:type="dxa"/>
            <w:vAlign w:val="bottom"/>
          </w:tcPr>
          <w:p>
            <w:pPr>
              <w:ind w:left="20"/>
              <w:spacing w:after="0"/>
              <w:rPr>
                <w:sz w:val="20"/>
                <w:szCs w:val="20"/>
                <w:color w:val="auto"/>
              </w:rPr>
            </w:pPr>
            <w:r>
              <w:rPr>
                <w:rFonts w:ascii="Arial" w:cs="Arial" w:eastAsia="Arial" w:hAnsi="Arial"/>
                <w:sz w:val="16"/>
                <w:szCs w:val="16"/>
                <w:color w:val="auto"/>
              </w:rPr>
              <w:t>Warrants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469,306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(Years)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1.03 – 3.00 (2.46)</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Strike price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0.13 – 4.59 (1.20)</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30% – 50%</w:t>
            </w: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6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left="4540" w:right="1379" w:hanging="4512"/>
        <w:spacing w:after="0" w:line="919" w:lineRule="auto"/>
        <w:tabs>
          <w:tab w:leader="none" w:pos="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Precedent transactions include recent rounds of financing, recent purchases made by the Company, and tender offers.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-280670</wp:posOffset>
            </wp:positionV>
            <wp:extent cx="6114415"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342" w:gutter="0" w:footer="0" w:header="0"/>
        </w:sectPr>
      </w:pPr>
    </w:p>
    <w:bookmarkStart w:id="110" w:name="page111"/>
    <w:bookmarkEnd w:id="11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75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9"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70"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aggregate values of Level 3 portfolio investments and embedded derivative changed during the years ended December 31, 2016 and 2015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482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 2016</w:t>
            </w: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c>
          <w:tcPr>
            <w:tcW w:w="11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Preferred</w:t>
            </w:r>
          </w:p>
        </w:tc>
        <w:tc>
          <w:tcPr>
            <w:tcW w:w="40" w:type="dxa"/>
            <w:vAlign w:val="bottom"/>
          </w:tcPr>
          <w:p>
            <w:pPr>
              <w:spacing w:after="0"/>
              <w:rPr>
                <w:sz w:val="10"/>
                <w:szCs w:val="10"/>
                <w:color w:val="auto"/>
              </w:rPr>
            </w:pP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Debt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102,319,140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$216,291,092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$ 4,175,859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469,306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$323,255,397</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143,733</w:t>
            </w:r>
          </w:p>
        </w:tc>
        <w:tc>
          <w:tcPr>
            <w:tcW w:w="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143,733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9,016,702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5,201,294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103,655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14,324,731</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Sales of investments</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(3,509,238)</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(7,651,891)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(574,380)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(11,735,509)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(losses)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(7,127,146)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4,430,221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(246,714)</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(2,943,639)</w:t>
            </w: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line="206" w:lineRule="exact"/>
              <w:rPr>
                <w:sz w:val="20"/>
                <w:szCs w:val="20"/>
                <w:color w:val="auto"/>
              </w:rPr>
            </w:pPr>
            <w:r>
              <w:rPr>
                <w:rFonts w:ascii="Arial" w:cs="Arial" w:eastAsia="Arial" w:hAnsi="Arial"/>
                <w:sz w:val="18"/>
                <w:szCs w:val="18"/>
                <w:color w:val="auto"/>
              </w:rPr>
              <w:t>Exercises, conversions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920" w:type="dxa"/>
            <w:vAlign w:val="bottom"/>
          </w:tcPr>
          <w:p>
            <w:pPr>
              <w:ind w:left="200"/>
              <w:spacing w:after="0" w:line="266" w:lineRule="exact"/>
              <w:rPr>
                <w:sz w:val="20"/>
                <w:szCs w:val="20"/>
                <w:color w:val="auto"/>
              </w:rPr>
            </w:pPr>
            <w:r>
              <w:rPr>
                <w:rFonts w:ascii="Arial" w:cs="Arial" w:eastAsia="Arial" w:hAnsi="Arial"/>
                <w:sz w:val="18"/>
                <w:szCs w:val="18"/>
                <w:color w:val="auto"/>
              </w:rPr>
              <w:t>assignments</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23,588,443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(23,588,443)</w:t>
            </w:r>
          </w:p>
        </w:tc>
        <w:tc>
          <w:tcPr>
            <w:tcW w:w="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Amortization of fixed income security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44,714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44,714</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line="201" w:lineRule="exact"/>
              <w:rPr>
                <w:sz w:val="20"/>
                <w:szCs w:val="20"/>
                <w:color w:val="auto"/>
              </w:rPr>
            </w:pPr>
            <w:r>
              <w:rPr>
                <w:rFonts w:ascii="Arial" w:cs="Arial" w:eastAsia="Arial" w:hAnsi="Arial"/>
                <w:sz w:val="18"/>
                <w:szCs w:val="18"/>
                <w:color w:val="auto"/>
                <w:w w:val="95"/>
              </w:rPr>
              <w:t>Net change in unrealized depreciation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(32,343,602)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(36,258,802)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(1,025,539)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(175,343)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(69,803,286)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Fair Value as of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83,074,410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162,238,879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$ 7,821,948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150,904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253,286,141</w:t>
            </w:r>
          </w:p>
        </w:tc>
        <w:tc>
          <w:tcPr>
            <w:tcW w:w="0" w:type="dxa"/>
            <w:vAlign w:val="bottom"/>
          </w:tcPr>
          <w:p>
            <w:pPr>
              <w:spacing w:after="0"/>
              <w:rPr>
                <w:sz w:val="1"/>
                <w:szCs w:val="1"/>
                <w:color w:val="auto"/>
              </w:rPr>
            </w:pPr>
          </w:p>
        </w:tc>
      </w:tr>
      <w:tr>
        <w:trPr>
          <w:trHeight w:val="195"/>
        </w:trPr>
        <w:tc>
          <w:tcPr>
            <w:tcW w:w="292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5"/>
              </w:rPr>
              <w:t>Net change in unrealized depreciation</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Arial" w:cs="Arial" w:eastAsia="Arial" w:hAnsi="Arial"/>
                <w:sz w:val="18"/>
                <w:szCs w:val="18"/>
                <w:color w:val="auto"/>
                <w:w w:val="98"/>
              </w:rPr>
              <w:t>of Level 3 investments still held as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of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(39,307,692)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(40,126,793)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$(1,025,539)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(195,637)</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(80,655,661)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-445135</wp:posOffset>
            </wp:positionV>
            <wp:extent cx="5325745" cy="4457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25745" cy="44577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899" w:hanging="272"/>
        <w:spacing w:after="0" w:line="277"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year ended December 31,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380" w:type="dxa"/>
            <w:vAlign w:val="bottom"/>
          </w:tcPr>
          <w:p>
            <w:pPr>
              <w:ind w:left="20"/>
              <w:spacing w:after="0"/>
              <w:rPr>
                <w:sz w:val="20"/>
                <w:szCs w:val="20"/>
                <w:color w:val="auto"/>
              </w:rPr>
            </w:pPr>
            <w:r>
              <w:rPr>
                <w:rFonts w:ascii="Arial" w:cs="Arial" w:eastAsia="Arial" w:hAnsi="Arial"/>
                <w:sz w:val="16"/>
                <w:szCs w:val="16"/>
                <w:color w:val="auto"/>
              </w:rPr>
              <w:t>4C Insights (f/k/a The Echo Systems Corp.)</w:t>
            </w:r>
          </w:p>
        </w:tc>
        <w:tc>
          <w:tcPr>
            <w:tcW w:w="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Preferred shares, Series A</w:t>
            </w:r>
          </w:p>
        </w:tc>
        <w:tc>
          <w:tcPr>
            <w:tcW w:w="1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PayNearMe,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E</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C</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3"/>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Note 10% Due 3/2/2016</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Convertible Promissory</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6"/>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Note 10% Due 3/14/2017</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bl>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1" w:name="page112"/>
    <w:bookmarkEnd w:id="11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311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10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85,598,467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193,847,045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1,374,210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904,345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281,724,067</w:t>
            </w:r>
          </w:p>
        </w:tc>
        <w:tc>
          <w:tcPr>
            <w:tcW w:w="0" w:type="dxa"/>
            <w:vAlign w:val="bottom"/>
          </w:tcPr>
          <w:p>
            <w:pPr>
              <w:spacing w:after="0"/>
              <w:rPr>
                <w:sz w:val="1"/>
                <w:szCs w:val="1"/>
                <w:color w:val="auto"/>
              </w:rPr>
            </w:pPr>
          </w:p>
        </w:tc>
      </w:tr>
      <w:tr>
        <w:trPr>
          <w:trHeight w:val="216"/>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10,002,500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17,842,532</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3,128,211</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30,973,819</w:t>
            </w:r>
          </w:p>
        </w:tc>
        <w:tc>
          <w:tcPr>
            <w:tcW w:w="0" w:type="dxa"/>
            <w:vAlign w:val="bottom"/>
          </w:tcPr>
          <w:p>
            <w:pPr>
              <w:spacing w:after="0"/>
              <w:rPr>
                <w:sz w:val="1"/>
                <w:szCs w:val="1"/>
                <w:color w:val="auto"/>
              </w:rPr>
            </w:pPr>
          </w:p>
        </w:tc>
      </w:tr>
      <w:tr>
        <w:trPr>
          <w:trHeight w:val="216"/>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 of investments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(1,886,373)</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(3,668,393)</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(5,604,766)</w:t>
            </w:r>
          </w:p>
        </w:tc>
        <w:tc>
          <w:tcPr>
            <w:tcW w:w="0" w:type="dxa"/>
            <w:vAlign w:val="bottom"/>
          </w:tcPr>
          <w:p>
            <w:pPr>
              <w:spacing w:after="0"/>
              <w:rPr>
                <w:sz w:val="1"/>
                <w:szCs w:val="1"/>
                <w:color w:val="auto"/>
              </w:rPr>
            </w:pPr>
          </w:p>
        </w:tc>
      </w:tr>
      <w:tr>
        <w:trPr>
          <w:trHeight w:val="216"/>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(2,290,880)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(7,563,262)</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(27,190)</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(9,881,332)</w:t>
            </w:r>
          </w:p>
        </w:tc>
        <w:tc>
          <w:tcPr>
            <w:tcW w:w="0" w:type="dxa"/>
            <w:vAlign w:val="bottom"/>
          </w:tcPr>
          <w:p>
            <w:pPr>
              <w:spacing w:after="0"/>
              <w:rPr>
                <w:sz w:val="1"/>
                <w:szCs w:val="1"/>
                <w:color w:val="auto"/>
              </w:rPr>
            </w:pPr>
          </w:p>
        </w:tc>
      </w:tr>
      <w:tr>
        <w:trPr>
          <w:trHeight w:val="205"/>
        </w:trPr>
        <w:tc>
          <w:tcPr>
            <w:tcW w:w="298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Exercises, conversions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assignments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4,959,614</w:t>
            </w:r>
          </w:p>
        </w:tc>
        <w:tc>
          <w:tcPr>
            <w:tcW w:w="100" w:type="dxa"/>
            <w:vAlign w:val="bottom"/>
            <w:shd w:val="clear" w:color="auto" w:fill="CCEEFF"/>
          </w:tcPr>
          <w:p>
            <w:pPr>
              <w:spacing w:after="0"/>
              <w:rPr>
                <w:sz w:val="23"/>
                <w:szCs w:val="23"/>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(4,663,813)</w:t>
            </w:r>
          </w:p>
        </w:tc>
        <w:tc>
          <w:tcPr>
            <w:tcW w:w="10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(295,801)</w:t>
            </w:r>
          </w:p>
        </w:tc>
        <w:tc>
          <w:tcPr>
            <w:tcW w:w="14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fixed income security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premiums and discounts</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50,352</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50,352</w:t>
            </w:r>
          </w:p>
        </w:tc>
        <w:tc>
          <w:tcPr>
            <w:tcW w:w="0" w:type="dxa"/>
            <w:vAlign w:val="bottom"/>
          </w:tcPr>
          <w:p>
            <w:pPr>
              <w:spacing w:after="0"/>
              <w:rPr>
                <w:sz w:val="1"/>
                <w:szCs w:val="1"/>
                <w:color w:val="auto"/>
              </w:rPr>
            </w:pPr>
          </w:p>
        </w:tc>
      </w:tr>
      <w:tr>
        <w:trPr>
          <w:trHeight w:val="202"/>
        </w:trPr>
        <w:tc>
          <w:tcPr>
            <w:tcW w:w="29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change in unrealized appreciation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included in earnings</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5,935,812</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20,496,983</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(3,923)</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(435,615)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25,993,257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Fair Value as of December 31, 2015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102,319,140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216,291,092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4,175,859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469,306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323,255,397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9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Net change in unrealized appreciation</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(depreciation) of Level 3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still held as of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13,882,926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(435,615)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16,532,918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-779780</wp:posOffset>
            </wp:positionV>
            <wp:extent cx="5316855" cy="180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316855" cy="18034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year ended December 31, 2015,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380" w:type="dxa"/>
            <w:vAlign w:val="bottom"/>
          </w:tcPr>
          <w:p>
            <w:pPr>
              <w:ind w:left="20"/>
              <w:spacing w:after="0"/>
              <w:rPr>
                <w:sz w:val="20"/>
                <w:szCs w:val="20"/>
                <w:color w:val="auto"/>
              </w:rPr>
            </w:pPr>
            <w:r>
              <w:rPr>
                <w:rFonts w:ascii="Arial" w:cs="Arial" w:eastAsia="Arial" w:hAnsi="Arial"/>
                <w:sz w:val="16"/>
                <w:szCs w:val="16"/>
                <w:color w:val="auto"/>
              </w:rPr>
              <w:t>Circle Media (f/k/a S3 Digital Corp. (d/b/a S3i))</w:t>
            </w:r>
          </w:p>
        </w:tc>
        <w:tc>
          <w:tcPr>
            <w:tcW w:w="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Term Loan, 12%, 09/30/15</w:t>
            </w:r>
          </w:p>
        </w:tc>
        <w:tc>
          <w:tcPr>
            <w:tcW w:w="1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Preferred shares, Series A</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3"/>
        </w:trPr>
        <w:tc>
          <w:tcPr>
            <w:tcW w:w="338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E</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r>
        <w:trPr>
          <w:trHeight w:val="206"/>
        </w:trPr>
        <w:tc>
          <w:tcPr>
            <w:tcW w:w="338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Preferred shares, Series F</w:t>
            </w:r>
          </w:p>
        </w:tc>
        <w:tc>
          <w:tcPr>
            <w:tcW w:w="1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Common Shares</w:t>
            </w:r>
          </w:p>
        </w:tc>
      </w:tr>
    </w:tbl>
    <w:p>
      <w:pPr>
        <w:spacing w:after="0" w:line="100"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During the year ended December 31, 2015, the Company had one transfer between levels as a result of the expiration of a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IPO/</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Lock-up</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Corporate Action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6"/>
                <w:szCs w:val="16"/>
                <w:color w:val="auto"/>
              </w:rPr>
              <w:t>2U, Inc. (f/k/a 2tor, Inc.)</w:t>
            </w:r>
          </w:p>
        </w:tc>
        <w:tc>
          <w:tcPr>
            <w:tcW w:w="1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Expiration of</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2"/>
              </w:rPr>
              <w:t>8/11/2015</w:t>
            </w:r>
          </w:p>
        </w:tc>
        <w:tc>
          <w:tcPr>
            <w:tcW w:w="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160" w:type="dxa"/>
            <w:vAlign w:val="bottom"/>
          </w:tcPr>
          <w:p>
            <w:pPr>
              <w:spacing w:after="0"/>
              <w:rPr>
                <w:sz w:val="16"/>
                <w:szCs w:val="16"/>
                <w:color w:val="auto"/>
              </w:rPr>
            </w:pPr>
          </w:p>
        </w:tc>
        <w:tc>
          <w:tcPr>
            <w:tcW w:w="1680" w:type="dxa"/>
            <w:vAlign w:val="bottom"/>
          </w:tcPr>
          <w:p>
            <w:pPr>
              <w:jc w:val="center"/>
              <w:spacing w:after="0" w:line="187" w:lineRule="exact"/>
              <w:rPr>
                <w:sz w:val="20"/>
                <w:szCs w:val="20"/>
                <w:color w:val="auto"/>
              </w:rPr>
            </w:pPr>
            <w:r>
              <w:rPr>
                <w:rFonts w:ascii="Arial" w:cs="Arial" w:eastAsia="Arial" w:hAnsi="Arial"/>
                <w:sz w:val="13"/>
                <w:szCs w:val="13"/>
                <w:color w:val="auto"/>
              </w:rPr>
              <w:t>Not applicable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Rule 144 restriction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Company fully liquidated its position in 2U, Inc. prior to December 31, 2015.</w:t>
      </w:r>
    </w:p>
    <w:p>
      <w:pPr>
        <w:spacing w:after="0" w:line="117"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As a result of the Company’s distribution, which was paid on December 31, 2015 to stockholders of record on November 16, 2015, the Company issued an additional 2,860,903 shares in lieu of cash during the year ended December 31, 2015. The distribution was paid in cash or shares of the Company’s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the Company’s outstanding shares prior to the distribution, as well as cash of $26,358,885. The number of shares of common stock comprising the stock portion was calculated based on a price of $9.425 per share, which equaled the average of the volume weighted-average trading price per share of the Company’s common stock on December 28, 29 and 30, 2015. None of the $2.76 per share dividend represented a return of capital.</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new shares of the Company’s common stock were issued during the years ended December 31, 2016 and 2014.</w:t>
      </w:r>
    </w:p>
    <w:p>
      <w:pPr>
        <w:spacing w:after="0" w:line="165"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following information sets forth the computation of basic and diluted net increase/(decrease) in net assets resulting from operations per common share for the years ended December 31, 2016, 2015 and 2014, respectively.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182"/>
        </w:trPr>
        <w:tc>
          <w:tcPr>
            <w:tcW w:w="522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w w:val="91"/>
              </w:rPr>
              <w:t>Net increase/(decrease) in net assets resulting from operations per share –</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basic:</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5220" w:type="dxa"/>
            <w:vAlign w:val="bottom"/>
            <w:gridSpan w:val="3"/>
          </w:tcPr>
          <w:p>
            <w:pPr>
              <w:ind w:left="20"/>
              <w:spacing w:after="0"/>
              <w:rPr>
                <w:sz w:val="20"/>
                <w:szCs w:val="20"/>
                <w:color w:val="auto"/>
              </w:rPr>
            </w:pPr>
            <w:r>
              <w:rPr>
                <w:rFonts w:ascii="Arial" w:cs="Arial" w:eastAsia="Arial" w:hAnsi="Arial"/>
                <w:sz w:val="16"/>
                <w:szCs w:val="16"/>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(74,994,895)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8,466,157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(2,062,771)</w:t>
            </w:r>
          </w:p>
        </w:tc>
      </w:tr>
      <w:tr>
        <w:trPr>
          <w:trHeight w:val="20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Weighted-average common shares – basic</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22,181,003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19,327,938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19,320,100</w:t>
            </w:r>
          </w:p>
        </w:tc>
      </w:tr>
      <w:tr>
        <w:trPr>
          <w:trHeight w:val="182"/>
        </w:trPr>
        <w:tc>
          <w:tcPr>
            <w:tcW w:w="522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w w:val="91"/>
              </w:rPr>
              <w:t>Net increase/(decrease) in net assets resulting from operations per share –</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ind w:left="220"/>
              <w:spacing w:after="0"/>
              <w:rPr>
                <w:sz w:val="20"/>
                <w:szCs w:val="20"/>
                <w:color w:val="auto"/>
              </w:rPr>
            </w:pPr>
            <w:r>
              <w:rPr>
                <w:rFonts w:ascii="Arial" w:cs="Arial" w:eastAsia="Arial" w:hAnsi="Arial"/>
                <w:sz w:val="16"/>
                <w:szCs w:val="16"/>
                <w:b w:val="1"/>
                <w:bCs w:val="1"/>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(3.38)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0.44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(0.11)</w:t>
            </w:r>
          </w:p>
        </w:tc>
      </w:tr>
      <w:tr>
        <w:trPr>
          <w:trHeight w:val="185"/>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1"/>
              </w:rPr>
              <w:t>Net increase/(decrease) in net assets resulting from operations per share –</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diluted: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5220" w:type="dxa"/>
            <w:vAlign w:val="bottom"/>
            <w:gridSpan w:val="3"/>
          </w:tcPr>
          <w:p>
            <w:pPr>
              <w:ind w:left="20"/>
              <w:spacing w:after="0"/>
              <w:rPr>
                <w:sz w:val="20"/>
                <w:szCs w:val="20"/>
                <w:color w:val="auto"/>
              </w:rPr>
            </w:pPr>
            <w:r>
              <w:rPr>
                <w:rFonts w:ascii="Arial" w:cs="Arial" w:eastAsia="Arial" w:hAnsi="Arial"/>
                <w:sz w:val="16"/>
                <w:szCs w:val="16"/>
                <w:color w:val="auto"/>
              </w:rPr>
              <w:t>Net increase/(decrease) in net assets resulting from operations, before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20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(74,994,895)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8,466,157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(2,062,771)</w:t>
            </w:r>
          </w:p>
        </w:tc>
      </w:tr>
      <w:tr>
        <w:trPr>
          <w:trHeight w:val="196"/>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6"/>
              </w:rPr>
              <w:t>Adjustments for interest on Convertible Senior Notes and deferred financing</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20" w:type="dxa"/>
            <w:vAlign w:val="bottom"/>
            <w:gridSpan w:val="3"/>
          </w:tcPr>
          <w:p>
            <w:pPr>
              <w:ind w:left="20"/>
              <w:spacing w:after="0"/>
              <w:rPr>
                <w:sz w:val="20"/>
                <w:szCs w:val="20"/>
                <w:color w:val="auto"/>
              </w:rPr>
            </w:pPr>
            <w:r>
              <w:rPr>
                <w:rFonts w:ascii="Arial" w:cs="Arial" w:eastAsia="Arial" w:hAnsi="Arial"/>
                <w:sz w:val="16"/>
                <w:szCs w:val="16"/>
                <w:color w:val="auto"/>
                <w:w w:val="96"/>
              </w:rPr>
              <w:t>Net increase/(decrease) in net assets resulting from operations, as adjusted</w:t>
            </w: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(74,994,895)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8,466,157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(2,062,771)</w:t>
            </w:r>
          </w:p>
        </w:tc>
      </w:tr>
      <w:tr>
        <w:trPr>
          <w:trHeight w:val="20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22,181,003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19,327,938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19,320,100</w:t>
            </w:r>
          </w:p>
        </w:tc>
      </w:tr>
      <w:tr>
        <w:trPr>
          <w:trHeight w:val="243"/>
        </w:trPr>
        <w:tc>
          <w:tcPr>
            <w:tcW w:w="522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Adjustments for dilutive effect of Convertible Senior Notes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22,181,003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19,327,938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19,320,100</w:t>
            </w:r>
          </w:p>
        </w:tc>
      </w:tr>
      <w:tr>
        <w:trPr>
          <w:trHeight w:val="182"/>
        </w:trPr>
        <w:tc>
          <w:tcPr>
            <w:tcW w:w="522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w w:val="91"/>
              </w:rPr>
              <w:t>Net increase/(decrease) in net assets resulting from operations per share –</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ind w:left="220"/>
              <w:spacing w:after="0"/>
              <w:rPr>
                <w:sz w:val="20"/>
                <w:szCs w:val="20"/>
                <w:color w:val="auto"/>
              </w:rPr>
            </w:pPr>
            <w:r>
              <w:rPr>
                <w:rFonts w:ascii="Arial" w:cs="Arial" w:eastAsia="Arial" w:hAnsi="Arial"/>
                <w:sz w:val="16"/>
                <w:szCs w:val="16"/>
                <w:b w:val="1"/>
                <w:bCs w:val="1"/>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(3.38)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0.44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(0.11)</w:t>
            </w: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-2066290</wp:posOffset>
            </wp:positionV>
            <wp:extent cx="5213985" cy="274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-479425</wp:posOffset>
            </wp:positionV>
            <wp:extent cx="5213985" cy="3003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36" w:lineRule="exact"/>
        <w:rPr>
          <w:sz w:val="20"/>
          <w:szCs w:val="20"/>
          <w:color w:val="auto"/>
        </w:rPr>
      </w:pPr>
    </w:p>
    <w:p>
      <w:pPr>
        <w:ind w:left="300" w:right="619" w:hanging="272"/>
        <w:spacing w:after="0" w:line="312" w:lineRule="auto"/>
        <w:tabs>
          <w:tab w:leader="none" w:pos="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the years ended December 31, 2016, 2015 and 2014, respectively, 5,751,815, 5,710,212 and 4,244,128 potentially dilutive common shares were excluded from the weighted-average common shares outstanding for diluted net increase/(decrease) in net assets resulting from operations per common share because the effect of these shares would have been anti-dilutive.</w:t>
      </w:r>
    </w:p>
    <w:p>
      <w:pPr>
        <w:spacing w:after="0" w:line="200" w:lineRule="exact"/>
        <w:rPr>
          <w:sz w:val="20"/>
          <w:szCs w:val="20"/>
          <w:color w:val="auto"/>
        </w:rPr>
      </w:pPr>
    </w:p>
    <w:p>
      <w:pPr>
        <w:spacing w:after="0" w:line="2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December 31, 2016 and December 31, 2015, the Company had not entered into any investment agreements that required it to make a future investment in a portfolio company.</w:t>
      </w:r>
    </w:p>
    <w:p>
      <w:pPr>
        <w:spacing w:after="0" w:line="79" w:lineRule="exact"/>
        <w:rPr>
          <w:sz w:val="20"/>
          <w:szCs w:val="20"/>
          <w:color w:val="auto"/>
        </w:rPr>
      </w:pPr>
    </w:p>
    <w:p>
      <w:pPr>
        <w:ind w:left="6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743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60" w:type="dxa"/>
            <w:vAlign w:val="bottom"/>
            <w:tcBorders>
              <w:right w:val="single" w:sz="8" w:color="CCEEFF"/>
            </w:tcBorders>
            <w:gridSpan w:val="4"/>
            <w:shd w:val="clear" w:color="auto" w:fill="CCEEFF"/>
          </w:tcPr>
          <w:p>
            <w:pPr>
              <w:ind w:left="20"/>
              <w:spacing w:after="0" w:line="123" w:lineRule="exact"/>
              <w:rPr>
                <w:sz w:val="20"/>
                <w:szCs w:val="20"/>
                <w:color w:val="auto"/>
              </w:rPr>
            </w:pPr>
            <w:r>
              <w:rPr>
                <w:rFonts w:ascii="Arial" w:cs="Arial" w:eastAsia="Arial" w:hAnsi="Arial"/>
                <w:sz w:val="14"/>
                <w:szCs w:val="14"/>
                <w:color w:val="auto"/>
              </w:rPr>
              <w:t>Net asset value at beginning of</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year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14.91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89"/>
        </w:trPr>
        <w:tc>
          <w:tcPr>
            <w:tcW w:w="2460" w:type="dxa"/>
            <w:vAlign w:val="bottom"/>
            <w:gridSpan w:val="4"/>
          </w:tcPr>
          <w:p>
            <w:pPr>
              <w:ind w:left="20"/>
              <w:spacing w:after="0"/>
              <w:rPr>
                <w:sz w:val="20"/>
                <w:szCs w:val="20"/>
                <w:color w:val="auto"/>
              </w:rPr>
            </w:pPr>
            <w:r>
              <w:rPr>
                <w:rFonts w:ascii="Arial" w:cs="Arial" w:eastAsia="Arial" w:hAnsi="Arial"/>
                <w:sz w:val="14"/>
                <w:szCs w:val="14"/>
                <w:color w:val="auto"/>
              </w:rPr>
              <w:t>Issuance of common shares</w:t>
            </w:r>
          </w:p>
        </w:tc>
        <w:tc>
          <w:tcPr>
            <w:tcW w:w="8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3"/>
                <w:szCs w:val="13"/>
                <w:color w:val="auto"/>
              </w:rPr>
              <w:t>1.91</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189"/>
        </w:trPr>
        <w:tc>
          <w:tcPr>
            <w:tcW w:w="246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Underwriters’ discount</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(0.72)</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9"/>
        </w:trPr>
        <w:tc>
          <w:tcPr>
            <w:tcW w:w="2460" w:type="dxa"/>
            <w:vAlign w:val="bottom"/>
            <w:gridSpan w:val="4"/>
          </w:tcPr>
          <w:p>
            <w:pPr>
              <w:ind w:left="20"/>
              <w:spacing w:after="0"/>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(0.04)</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9"/>
        </w:trPr>
        <w:tc>
          <w:tcPr>
            <w:tcW w:w="246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Net investment loss</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3"/>
                <w:szCs w:val="13"/>
                <w:color w:val="auto"/>
              </w:rPr>
              <w:t>(0.06)</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3"/>
                <w:szCs w:val="13"/>
                <w:color w:val="auto"/>
              </w:rPr>
              <w:t>(2.52)</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3"/>
                <w:szCs w:val="13"/>
                <w:color w:val="auto"/>
              </w:rPr>
              <w:t>(0.66)</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(0.46)</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(0.51)</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189"/>
        </w:trPr>
        <w:tc>
          <w:tcPr>
            <w:tcW w:w="2460" w:type="dxa"/>
            <w:vAlign w:val="bottom"/>
            <w:gridSpan w:val="4"/>
          </w:tcPr>
          <w:p>
            <w:pPr>
              <w:ind w:left="20"/>
              <w:spacing w:after="0"/>
              <w:rPr>
                <w:sz w:val="20"/>
                <w:szCs w:val="20"/>
                <w:color w:val="auto"/>
              </w:rPr>
            </w:pPr>
            <w:r>
              <w:rPr>
                <w:rFonts w:ascii="Arial" w:cs="Arial" w:eastAsia="Arial" w:hAnsi="Arial"/>
                <w:sz w:val="14"/>
                <w:szCs w:val="14"/>
                <w:color w:val="auto"/>
              </w:rPr>
              <w:t>Realized gain/(loss)</w:t>
            </w:r>
          </w:p>
        </w:tc>
        <w:tc>
          <w:tcPr>
            <w:tcW w:w="8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Arial" w:cs="Arial" w:eastAsia="Arial" w:hAnsi="Arial"/>
                <w:sz w:val="13"/>
                <w:szCs w:val="13"/>
                <w:color w:val="auto"/>
              </w:rPr>
              <w:t>(0.12)</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2.80</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1.24</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(1.12)</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rPr>
              <w:t>(0.09)</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130"/>
        </w:trPr>
        <w:tc>
          <w:tcPr>
            <w:tcW w:w="2460" w:type="dxa"/>
            <w:vAlign w:val="bottom"/>
            <w:tcBorders>
              <w:right w:val="single" w:sz="8" w:color="CCEEFF"/>
            </w:tcBorders>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(Provision)/Benefit for taxes on net</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260"/>
              <w:spacing w:after="0" w:line="29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0.02</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(0.51)</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1"/>
                <w:szCs w:val="11"/>
                <w:color w:val="auto"/>
              </w:rPr>
            </w:pPr>
          </w:p>
        </w:tc>
        <w:tc>
          <w:tcPr>
            <w:tcW w:w="10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0.49</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realized capital gains/losses</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80" w:type="dxa"/>
            <w:vAlign w:val="bottom"/>
          </w:tcPr>
          <w:p>
            <w:pPr>
              <w:spacing w:after="0"/>
              <w:rPr>
                <w:sz w:val="11"/>
                <w:szCs w:val="1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(3.30)</w:t>
            </w:r>
            <w:r>
              <w:rPr>
                <w:rFonts w:ascii="Arial" w:cs="Arial" w:eastAsia="Arial" w:hAnsi="Arial"/>
                <w:sz w:val="23"/>
                <w:szCs w:val="23"/>
                <w:color w:val="auto"/>
                <w:vertAlign w:val="superscript"/>
              </w:rPr>
              <w:t>(1)</w:t>
            </w:r>
          </w:p>
        </w:tc>
        <w:tc>
          <w:tcPr>
            <w:tcW w:w="80" w:type="dxa"/>
            <w:vAlign w:val="bottom"/>
          </w:tcPr>
          <w:p>
            <w:pPr>
              <w:spacing w:after="0"/>
              <w:rPr>
                <w:sz w:val="11"/>
                <w:szCs w:val="1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(0.69)</w:t>
            </w:r>
            <w:r>
              <w:rPr>
                <w:rFonts w:ascii="Arial" w:cs="Arial" w:eastAsia="Arial" w:hAnsi="Arial"/>
                <w:sz w:val="23"/>
                <w:szCs w:val="23"/>
                <w:color w:val="auto"/>
                <w:vertAlign w:val="superscript"/>
              </w:rPr>
              <w:t>(1)</w:t>
            </w:r>
          </w:p>
        </w:tc>
        <w:tc>
          <w:tcPr>
            <w:tcW w:w="80" w:type="dxa"/>
            <w:vAlign w:val="bottom"/>
          </w:tcPr>
          <w:p>
            <w:pPr>
              <w:spacing w:after="0"/>
              <w:rPr>
                <w:sz w:val="11"/>
                <w:szCs w:val="1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(0.30)</w:t>
            </w:r>
            <w:r>
              <w:rPr>
                <w:rFonts w:ascii="Arial" w:cs="Arial" w:eastAsia="Arial" w:hAnsi="Arial"/>
                <w:sz w:val="23"/>
                <w:szCs w:val="23"/>
                <w:color w:val="auto"/>
                <w:vertAlign w:val="superscript"/>
              </w:rPr>
              <w:t>(1)</w:t>
            </w:r>
          </w:p>
        </w:tc>
        <w:tc>
          <w:tcPr>
            <w:tcW w:w="8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4.53</w:t>
            </w:r>
            <w:r>
              <w:rPr>
                <w:rFonts w:ascii="Arial" w:cs="Arial" w:eastAsia="Arial" w:hAnsi="Arial"/>
                <w:sz w:val="23"/>
                <w:szCs w:val="23"/>
                <w:color w:val="auto"/>
                <w:vertAlign w:val="superscript"/>
              </w:rPr>
              <w:t>(1)</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(0.43)</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Arial" w:cs="Arial" w:eastAsia="Arial" w:hAnsi="Arial"/>
                <w:sz w:val="14"/>
                <w:szCs w:val="14"/>
                <w:color w:val="auto"/>
              </w:rPr>
              <w:t>appreciation/(depreciation)</w:t>
            </w: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tcBorders>
              <w:right w:val="single" w:sz="8" w:color="CCEEFF"/>
            </w:tcBorders>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(Provision)/Benefit for taxes on</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40" w:type="dxa"/>
            <w:vAlign w:val="bottom"/>
            <w:tcBorders>
              <w:right w:val="single" w:sz="8" w:color="CCEEFF"/>
            </w:tcBorders>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unrealized appreciation/deprecation of</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0.10</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0.83</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0.12</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(1.60)</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investments</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Distributions from realized gain</w:t>
            </w: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(0.04)</w:t>
            </w: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(2.76)</w:t>
            </w: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460" w:type="dxa"/>
            <w:vAlign w:val="bottom"/>
            <w:tcBorders>
              <w:right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Dilution from shares issued</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Net asset value at end of year</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8.66</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12.08</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14.80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14.91</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460" w:type="dxa"/>
            <w:vAlign w:val="bottom"/>
            <w:tcBorders>
              <w:right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Per share market value at end of year</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9.37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89"/>
        </w:trPr>
        <w:tc>
          <w:tcPr>
            <w:tcW w:w="2460" w:type="dxa"/>
            <w:vAlign w:val="bottom"/>
            <w:gridSpan w:val="4"/>
          </w:tcPr>
          <w:p>
            <w:pPr>
              <w:ind w:left="20"/>
              <w:spacing w:after="0"/>
              <w:rPr>
                <w:sz w:val="20"/>
                <w:szCs w:val="20"/>
                <w:color w:val="auto"/>
              </w:rPr>
            </w:pPr>
            <w:r>
              <w:rPr>
                <w:rFonts w:ascii="Arial" w:cs="Arial" w:eastAsia="Arial" w:hAnsi="Arial"/>
                <w:sz w:val="14"/>
                <w:szCs w:val="14"/>
                <w:color w:val="auto"/>
              </w:rPr>
              <w:t>Total return based on market value</w:t>
            </w:r>
          </w:p>
        </w:tc>
        <w:tc>
          <w:tcPr>
            <w:tcW w:w="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3"/>
                <w:szCs w:val="13"/>
                <w:color w:val="auto"/>
              </w:rPr>
              <w:t>(23.29)%</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3"/>
                <w:szCs w:val="13"/>
                <w:color w:val="auto"/>
              </w:rPr>
              <w:t>8.57%</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3"/>
                <w:szCs w:val="13"/>
                <w:color w:val="auto"/>
              </w:rPr>
              <w:t>(28.62)%</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3"/>
                <w:szCs w:val="13"/>
                <w:color w:val="auto"/>
              </w:rPr>
              <w:t>43.42%</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3"/>
                <w:szCs w:val="13"/>
                <w:color w:val="auto"/>
              </w:rPr>
              <w:t>(39.57)%</w:t>
            </w:r>
            <w:r>
              <w:rPr>
                <w:rFonts w:ascii="Arial" w:cs="Arial" w:eastAsia="Arial" w:hAnsi="Arial"/>
                <w:sz w:val="21"/>
                <w:szCs w:val="21"/>
                <w:color w:val="auto"/>
                <w:vertAlign w:val="superscript"/>
              </w:rPr>
              <w:t>(6)</w:t>
            </w:r>
          </w:p>
        </w:tc>
        <w:tc>
          <w:tcPr>
            <w:tcW w:w="0" w:type="dxa"/>
            <w:vAlign w:val="bottom"/>
          </w:tcPr>
          <w:p>
            <w:pPr>
              <w:spacing w:after="0"/>
              <w:rPr>
                <w:sz w:val="1"/>
                <w:szCs w:val="1"/>
                <w:color w:val="auto"/>
              </w:rPr>
            </w:pPr>
          </w:p>
        </w:tc>
      </w:tr>
      <w:tr>
        <w:trPr>
          <w:trHeight w:val="130"/>
        </w:trPr>
        <w:tc>
          <w:tcPr>
            <w:tcW w:w="2460" w:type="dxa"/>
            <w:vAlign w:val="bottom"/>
            <w:tcBorders>
              <w:right w:val="single" w:sz="8" w:color="CCEEFF"/>
            </w:tcBorders>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Total return based on net asset</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(27.74)%</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(0.27)%</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(0.74)%</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1"/>
                <w:szCs w:val="11"/>
                <w:color w:val="auto"/>
              </w:rPr>
            </w:pPr>
          </w:p>
        </w:tc>
        <w:tc>
          <w:tcPr>
            <w:tcW w:w="10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14.08%</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0.93%</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value</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9"/>
              </w:rPr>
              <w:t>22,181,003</w:t>
            </w: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22,181,003</w:t>
            </w: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19,320,100</w:t>
            </w:r>
          </w:p>
        </w:tc>
        <w:tc>
          <w:tcPr>
            <w:tcW w:w="8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19,320,100</w:t>
            </w:r>
          </w:p>
        </w:tc>
        <w:tc>
          <w:tcPr>
            <w:tcW w:w="10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19,320,100</w:t>
            </w:r>
          </w:p>
        </w:tc>
        <w:tc>
          <w:tcPr>
            <w:tcW w:w="0" w:type="dxa"/>
            <w:vAlign w:val="bottom"/>
          </w:tcPr>
          <w:p>
            <w:pPr>
              <w:spacing w:after="0"/>
              <w:rPr>
                <w:sz w:val="1"/>
                <w:szCs w:val="1"/>
                <w:color w:val="auto"/>
              </w:rPr>
            </w:pPr>
          </w:p>
        </w:tc>
      </w:tr>
      <w:tr>
        <w:trPr>
          <w:trHeight w:val="149"/>
        </w:trPr>
        <w:tc>
          <w:tcPr>
            <w:tcW w:w="2460" w:type="dxa"/>
            <w:vAlign w:val="bottom"/>
            <w:tcBorders>
              <w:right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Ratios/Supplemental Data: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assets at end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9"/>
              </w:rPr>
              <w:t>192,128,810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268,010,945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285,903,673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287,966,444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252,582,801</w:t>
            </w:r>
          </w:p>
        </w:tc>
        <w:tc>
          <w:tcPr>
            <w:tcW w:w="0" w:type="dxa"/>
            <w:vAlign w:val="bottom"/>
          </w:tcPr>
          <w:p>
            <w:pPr>
              <w:spacing w:after="0"/>
              <w:rPr>
                <w:sz w:val="1"/>
                <w:szCs w:val="1"/>
                <w:color w:val="auto"/>
              </w:rPr>
            </w:pPr>
          </w:p>
        </w:tc>
      </w:tr>
      <w:tr>
        <w:trPr>
          <w:trHeight w:val="149"/>
        </w:trPr>
        <w:tc>
          <w:tcPr>
            <w:tcW w:w="2460" w:type="dxa"/>
            <w:vAlign w:val="bottom"/>
            <w:tcBorders>
              <w:right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net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9"/>
              </w:rPr>
              <w:t>243,577,514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2"/>
              </w:rPr>
              <w:t>296,560,393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2"/>
              </w:rPr>
              <w:t>284,953,811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250,121,052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208,050,344</w:t>
            </w:r>
          </w:p>
        </w:tc>
        <w:tc>
          <w:tcPr>
            <w:tcW w:w="0" w:type="dxa"/>
            <w:vAlign w:val="bottom"/>
          </w:tcPr>
          <w:p>
            <w:pPr>
              <w:spacing w:after="0"/>
              <w:rPr>
                <w:sz w:val="1"/>
                <w:szCs w:val="1"/>
                <w:color w:val="auto"/>
              </w:rPr>
            </w:pPr>
          </w:p>
        </w:tc>
      </w:tr>
      <w:tr>
        <w:trPr>
          <w:trHeight w:val="135"/>
        </w:trPr>
        <w:tc>
          <w:tcPr>
            <w:tcW w:w="24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Ratios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tcBorders>
              <w:right w:val="single" w:sz="8" w:color="CCEEFF"/>
            </w:tcBorders>
            <w:gridSpan w:val="4"/>
            <w:shd w:val="clear" w:color="auto" w:fill="CCEEFF"/>
          </w:tcPr>
          <w:p>
            <w:pPr>
              <w:ind w:left="20"/>
              <w:spacing w:after="0" w:line="123" w:lineRule="exact"/>
              <w:rPr>
                <w:sz w:val="20"/>
                <w:szCs w:val="20"/>
                <w:color w:val="auto"/>
              </w:rPr>
            </w:pPr>
            <w:r>
              <w:rPr>
                <w:rFonts w:ascii="Arial" w:cs="Arial" w:eastAsia="Arial" w:hAnsi="Arial"/>
                <w:sz w:val="14"/>
                <w:szCs w:val="14"/>
                <w:color w:val="auto"/>
              </w:rPr>
              <w:t>Ratio of gross operating expenses to</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average net assets</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0.82%</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9.10%</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30"/>
        </w:trPr>
        <w:tc>
          <w:tcPr>
            <w:tcW w:w="24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Ratio of net income tax provisions to</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Arial" w:cs="Arial" w:eastAsia="Arial" w:hAnsi="Arial"/>
                <w:sz w:val="14"/>
                <w:szCs w:val="14"/>
                <w:color w:val="auto"/>
              </w:rPr>
              <w:t>average net assets</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(0.87)%</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60" w:type="dxa"/>
            <w:vAlign w:val="bottom"/>
            <w:tcBorders>
              <w:right w:val="single" w:sz="8" w:color="CCEEFF"/>
            </w:tcBorders>
            <w:gridSpan w:val="4"/>
            <w:shd w:val="clear" w:color="auto" w:fill="CCEEFF"/>
          </w:tcPr>
          <w:p>
            <w:pPr>
              <w:ind w:left="20"/>
              <w:spacing w:after="0" w:line="123" w:lineRule="exact"/>
              <w:rPr>
                <w:sz w:val="20"/>
                <w:szCs w:val="20"/>
                <w:color w:val="auto"/>
              </w:rPr>
            </w:pPr>
            <w:r>
              <w:rPr>
                <w:rFonts w:ascii="Arial" w:cs="Arial" w:eastAsia="Arial" w:hAnsi="Arial"/>
                <w:sz w:val="14"/>
                <w:szCs w:val="14"/>
                <w:color w:val="auto"/>
              </w:rPr>
              <w:t>Ratio of net operating expenses to</w:t>
            </w: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average net assets</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7.22%</w:t>
            </w: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7.14%</w:t>
            </w: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30"/>
        </w:trPr>
        <w:tc>
          <w:tcPr>
            <w:tcW w:w="2460" w:type="dxa"/>
            <w:vAlign w:val="bottom"/>
            <w:gridSpan w:val="4"/>
          </w:tcPr>
          <w:p>
            <w:pPr>
              <w:ind w:left="20"/>
              <w:spacing w:after="0" w:line="130" w:lineRule="exact"/>
              <w:rPr>
                <w:sz w:val="20"/>
                <w:szCs w:val="20"/>
                <w:color w:val="auto"/>
              </w:rPr>
            </w:pPr>
            <w:r>
              <w:rPr>
                <w:rFonts w:ascii="Arial" w:cs="Arial" w:eastAsia="Arial" w:hAnsi="Arial"/>
                <w:sz w:val="14"/>
                <w:szCs w:val="14"/>
                <w:color w:val="auto"/>
                <w:w w:val="99"/>
              </w:rPr>
              <w:t>Ratio of net investment loss to average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Arial" w:cs="Arial" w:eastAsia="Arial" w:hAnsi="Arial"/>
                <w:sz w:val="14"/>
                <w:szCs w:val="14"/>
                <w:color w:val="auto"/>
              </w:rPr>
              <w:t>net assets</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(16.41)%</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460" w:type="dxa"/>
            <w:vAlign w:val="bottom"/>
            <w:tcBorders>
              <w:right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19.45%</w:t>
            </w: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-2074545</wp:posOffset>
            </wp:positionV>
            <wp:extent cx="530860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08600" cy="163195"/>
                    </a:xfrm>
                    <a:prstGeom prst="rect">
                      <a:avLst/>
                    </a:prstGeom>
                    <a:noFill/>
                  </pic:spPr>
                </pic:pic>
              </a:graphicData>
            </a:graphic>
          </wp:anchor>
        </w:drawing>
      </w:r>
    </w:p>
    <w:p>
      <w:pPr>
        <w:spacing w:after="0" w:line="236" w:lineRule="exact"/>
        <w:rPr>
          <w:sz w:val="20"/>
          <w:szCs w:val="20"/>
          <w:color w:val="auto"/>
        </w:rPr>
      </w:pPr>
    </w:p>
    <w:p>
      <w:pPr>
        <w:ind w:left="4540" w:right="4739" w:hanging="4512"/>
        <w:spacing w:after="0" w:line="1004" w:lineRule="auto"/>
        <w:tabs>
          <w:tab w:leader="none" w:pos="297"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weighted-average number of shares outstanding for the year.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-304165</wp:posOffset>
            </wp:positionV>
            <wp:extent cx="6114415"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121"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280" w:right="739" w:hanging="272"/>
        <w:spacing w:after="0" w:line="259"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year. The closing market price per share adjusted for dividends on December 31, 2015 is $6.61. Total return based on net asset value is based upon the change in net asset value per share between the opening and ending net asset values per share.</w:t>
      </w:r>
    </w:p>
    <w:p>
      <w:pPr>
        <w:spacing w:after="0" w:line="78" w:lineRule="exact"/>
        <w:rPr>
          <w:rFonts w:ascii="Arial" w:cs="Arial" w:eastAsia="Arial" w:hAnsi="Arial"/>
          <w:sz w:val="18"/>
          <w:szCs w:val="18"/>
          <w:color w:val="auto"/>
        </w:rPr>
      </w:pPr>
    </w:p>
    <w:p>
      <w:pPr>
        <w:ind w:left="280" w:right="639" w:hanging="272"/>
        <w:spacing w:after="0" w:line="277"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280" w:right="559" w:hanging="272"/>
        <w:spacing w:after="0" w:line="264"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ind w:left="280" w:right="619" w:hanging="272"/>
        <w:spacing w:after="0" w:line="293" w:lineRule="auto"/>
        <w:tabs>
          <w:tab w:leader="none" w:pos="2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w:t>
      </w:r>
    </w:p>
    <w:p>
      <w:pPr>
        <w:spacing w:after="0" w:line="5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(i.e.,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70"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 The GSVC Holdings are C</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40" w:right="799"/>
        <w:spacing w:after="0" w:line="293" w:lineRule="auto"/>
        <w:rPr>
          <w:sz w:val="20"/>
          <w:szCs w:val="20"/>
          <w:color w:val="auto"/>
        </w:rPr>
      </w:pPr>
      <w:r>
        <w:rPr>
          <w:rFonts w:ascii="Arial" w:cs="Arial" w:eastAsia="Arial" w:hAnsi="Arial"/>
          <w:sz w:val="16"/>
          <w:szCs w:val="16"/>
          <w:color w:val="auto"/>
        </w:rPr>
        <w:t>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57"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As of December 31, 2016, the Company recorded a deferred tax liability of approximately $10.4 million, of which approximately $10.2 million has been recorded in the event that such gains are recognized by December 31, 2018, and approximately $0.2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As of December 31, 2015, the Company recorded a deferred tax liability of approximately $12.5 million, of which approximately $10.2 million has been recorded in the event that such gains are recognized by December 31, 2018, and approximately $2.3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6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2"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December 31, 2016, there were no interest or penalties incurred related to uncertain tax positions.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Convertible Senior Notes Payable</w:t>
      </w:r>
    </w:p>
    <w:p>
      <w:pPr>
        <w:spacing w:after="0" w:line="121"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mature on September 15, 2018, unless previously repurchased or converted in accordance with their terms. The Company does not have the right to redeem the Convertible Senior Notes prior to maturity. The Convertible Senior Notes were convertible into shares of the Company’s common stock based on an initial conversion rate of 61.5091 shares of the Company’s common stock per $1,000 of principal amount of the Convertible Senior Notes, which was equivalent to an initial conversion price of approximately $16.26 per share of common stock. As a result of the Company’s dividends paid on December 31, 2015 and August 24, 2016, the conversion rate was increased to 83.3596 shares of common stock per $1,000 principal amount of the Convertible Senior Notes, which is equivalent to a conversion price of approximately $12.00 per share of common stock.</w:t>
      </w:r>
    </w:p>
    <w:p>
      <w:pPr>
        <w:spacing w:after="0" w:line="65"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 terms of the offering required the Company to place $10,867,500 from the offering in an escrow account (the “Interest Escrow”) with U.S. Bank N.A., the trustee, under the indenture pursuant to which the Convertible Senior Notes were issued. Funds in the Interest Escrow were used to purchase six U.S. Treasury</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60" w:right="559"/>
        <w:spacing w:after="0" w:line="273" w:lineRule="auto"/>
        <w:rPr>
          <w:sz w:val="20"/>
          <w:szCs w:val="20"/>
          <w:color w:val="auto"/>
        </w:rPr>
      </w:pPr>
      <w:r>
        <w:rPr>
          <w:rFonts w:ascii="Arial" w:cs="Arial" w:eastAsia="Arial" w:hAnsi="Arial"/>
          <w:sz w:val="17"/>
          <w:szCs w:val="17"/>
          <w:color w:val="auto"/>
        </w:rPr>
        <w:t>Strips (“Government Securities”) with an original cost of $10,845,236. The Government Securities were used to make the six scheduled interest payments on the Convertible Senior Notes. In October 2016, in connection with the final interest payment on the Convertible Senior Notes, and pursuant to a request made by the Company made under the Pledge and Escrow Agreement, U.S. Bank N.A. released and transferred to the Company the excess funds, in an amount of approximately $90,431, that had remained in the Interest Escrow. As a result of such release and transfer, the $90,431 will no longer be included as restricted cash on the Company’s Consolidated Statements of Assets and Liabilities.</w:t>
      </w:r>
    </w:p>
    <w:p>
      <w:pPr>
        <w:spacing w:after="0" w:line="70"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Convertible Senior Notes to the balance shown on the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960" w:type="dxa"/>
            <w:vAlign w:val="bottom"/>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$69,000,000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$ 69,000,000</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Unamortized embedded derivative discount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(261,099)</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(403,381)</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(1,226,103)</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(1,947,572)</w:t>
            </w:r>
          </w:p>
        </w:tc>
      </w:tr>
      <w:tr>
        <w:trPr>
          <w:trHeight w:val="20"/>
        </w:trPr>
        <w:tc>
          <w:tcPr>
            <w:tcW w:w="5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67,512,798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$ 66,649,047</w:t>
            </w:r>
          </w:p>
        </w:tc>
      </w:tr>
      <w:tr>
        <w:trPr>
          <w:trHeight w:val="20"/>
        </w:trPr>
        <w:tc>
          <w:tcPr>
            <w:tcW w:w="5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As of December 31, 2016 and December 31,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Embedded Derivative</w:t>
      </w:r>
    </w:p>
    <w:p>
      <w:pPr>
        <w:spacing w:after="0" w:line="121" w:lineRule="exact"/>
        <w:rPr>
          <w:sz w:val="20"/>
          <w:szCs w:val="20"/>
          <w:color w:val="auto"/>
        </w:rPr>
      </w:pPr>
    </w:p>
    <w:p>
      <w:pPr>
        <w:ind w:left="60" w:right="679" w:firstLine="270"/>
        <w:spacing w:after="0" w:line="272" w:lineRule="auto"/>
        <w:rPr>
          <w:sz w:val="20"/>
          <w:szCs w:val="20"/>
          <w:color w:val="auto"/>
        </w:rPr>
      </w:pPr>
      <w:r>
        <w:rPr>
          <w:rFonts w:ascii="Arial" w:cs="Arial" w:eastAsia="Arial" w:hAnsi="Arial"/>
          <w:sz w:val="17"/>
          <w:szCs w:val="17"/>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notes being converted, the cash proceeds from the sale by the escrow agent of the portion of the Government Securities in the escrow account that were remaining with respect to any of the first six interest payments that had not been made on the notes being converted. Under FASB ASC 815-10-15-74(a), the interest make-whole payment was considered an embedded derivative and was separated from the host contract, the Convertible Senior Notes, and carried at fair value.</w:t>
      </w:r>
    </w:p>
    <w:p>
      <w:pPr>
        <w:spacing w:after="0" w:line="70"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21"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the Credit Facility, which expired on December 31, 2016 in accordance with its terms. Under the Credit Facility, the Company was permitted to borrow an amount equal to the lesser of $18 million or 20% of the Company’s then-current net asset value.</w:t>
      </w:r>
    </w:p>
    <w:p>
      <w:pPr>
        <w:spacing w:after="0" w:line="79" w:lineRule="exact"/>
        <w:rPr>
          <w:sz w:val="20"/>
          <w:szCs w:val="20"/>
          <w:color w:val="auto"/>
        </w:rPr>
      </w:pPr>
    </w:p>
    <w:p>
      <w:pPr>
        <w:ind w:left="60" w:right="519" w:firstLine="270"/>
        <w:spacing w:after="0" w:line="264" w:lineRule="auto"/>
        <w:rPr>
          <w:sz w:val="20"/>
          <w:szCs w:val="20"/>
          <w:color w:val="auto"/>
        </w:rPr>
      </w:pPr>
      <w:r>
        <w:rPr>
          <w:rFonts w:ascii="Arial" w:cs="Arial" w:eastAsia="Arial" w:hAnsi="Arial"/>
          <w:sz w:val="18"/>
          <w:szCs w:val="18"/>
          <w:color w:val="auto"/>
        </w:rPr>
        <w:t>The Credit Facility bore interest at a per annum rate equal to the greater of (i) the prime rate plus 4.75% or (ii) 8.0% on amounts drawn under the Credit Facility based on a 360-day year. In addition, a fee of $180,000 per annum (1.0% of the $18 million revolving line of credit) was charged under the Loan</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40" w:right="719"/>
        <w:spacing w:after="0" w:line="291" w:lineRule="auto"/>
        <w:rPr>
          <w:sz w:val="20"/>
          <w:szCs w:val="20"/>
          <w:color w:val="auto"/>
        </w:rPr>
      </w:pPr>
      <w:r>
        <w:rPr>
          <w:rFonts w:ascii="Arial" w:cs="Arial" w:eastAsia="Arial" w:hAnsi="Arial"/>
          <w:sz w:val="16"/>
          <w:szCs w:val="16"/>
          <w:color w:val="auto"/>
        </w:rPr>
        <w:t>Agreement. Under the terms of the Credit Facility, the Company was required to repay all outstanding borrowings on the Credit Facility so that there is at least one 30-day period every 12 months during which the Company has no balance outstanding. The Company made certain customary representations and warranties under the Loan Agreement and was required to comply with various covenants, reporting requirements, and other customary requirements for similar credit facilities. The Loan Agreement included usual and customary events of default for credit facilities of a similar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59"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The Credit Facility was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Borrowing under the Credit Facility was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 For the years ended December 31, 2016 and 2015 the Company had average borrowings outstanding under the Credit Facility of $106,061 and $3,712,329, respectively.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From January 1, 2017 through March 15, 2017, the Company did not close on any investment purchases. From January 1, 2017 through March 15, 2017, the Company did not sell any investments</w:t>
      </w:r>
    </w:p>
    <w:p>
      <w:pPr>
        <w:spacing w:after="0" w:line="62"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57" w:lineRule="exact"/>
        <w:rPr>
          <w:sz w:val="20"/>
          <w:szCs w:val="20"/>
          <w:color w:val="auto"/>
        </w:rPr>
      </w:pPr>
    </w:p>
    <w:p>
      <w:pPr>
        <w:jc w:val="both"/>
        <w:ind w:left="40" w:right="699" w:firstLine="270"/>
        <w:spacing w:after="0" w:line="264" w:lineRule="auto"/>
        <w:rPr>
          <w:sz w:val="20"/>
          <w:szCs w:val="20"/>
          <w:color w:val="auto"/>
        </w:rPr>
      </w:pPr>
      <w:r>
        <w:rPr>
          <w:rFonts w:ascii="Arial" w:cs="Arial" w:eastAsia="Arial" w:hAnsi="Arial"/>
          <w:sz w:val="18"/>
          <w:szCs w:val="18"/>
          <w:color w:val="auto"/>
        </w:rPr>
        <w:t>On March 1, 2017 Snap Inc. listed its shares on the New York Stock Exchange in an IPO with an offering price of $17.00 per share. The Company’s shares of Snap Inc. are locked up for 150 days following the IPO. This prevents the Company from selling the shares until 150 days after March 1, 2017.</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 Waiver</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GSV Asset Management has voluntarily agreed to waive a portion of the advisory fees payable by the Company to GSV Asset Management under the Advisory Agreement. Pursuant to the waiver, effective January 1, 2017 through December 31, 2017, the Company will pay GSV Asset Management a base management fee of 1.75%, a 0.25% reduction from the 2.0% base management fee payable under the Advisory Agreement. This waiver of a portion of the base management fee is not subject to recourse against or reimbursement by the Company.</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571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102,652</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(54,119)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86,648</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601,102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(444,355)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1,397,922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4,308,303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(3,262,224)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Benefit/(Loss)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547,007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(1,452,041)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(4,221,655)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3,863,326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Realized Gain/(Loss) on Investments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(6,075,070)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1,104,361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2,658,715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 Depreciation on</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(19,421,001)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(15,933,886)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(1,261,709)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(36,597,249)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Benefit for Taxes on Unrealized Depreciation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551,310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1,565,474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Decrease in Net Assets Resulting from</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(24,949,064)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(16,281,566)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(2,273,339)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(31,490,926)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8"/>
              </w:rPr>
              <w:t>Net Decrease in Net Assets from Operations per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common share – basic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Decrease in Net Assets from Operations per</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 diluted</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22,181,003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22,181,003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22,181,003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22,181,003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22,181,003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22,181,003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22,181,003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5"/>
              </w:rPr>
              <w:t>22,181,003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24"/>
                <w:szCs w:val="24"/>
                <w:color w:val="auto"/>
              </w:rPr>
            </w:pPr>
          </w:p>
        </w:tc>
        <w:tc>
          <w:tcPr>
            <w:tcW w:w="1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59,024</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123,891</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39,363</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12,852,430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6,233,424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6,239,277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1,653,104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(Provision)/Benefit for Taxes on Net Investment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5,223,611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2,494,459</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(26,583,935)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(3,103,505)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(7,569,795)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(3,615,074)</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w w:val="99"/>
              </w:rPr>
              <w:t>(32,783,849)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(4,687,991)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Gain/(Loss) on Investments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13,218,403</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13,636,614</w:t>
            </w: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27,289,816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Net Realized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Capital Gain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(5,397,074)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(5,567,830)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11,307,706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Appreciation/(Depreciation) on Investments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27,784,081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(5,744,399)</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(21,981,668)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(13,480,259)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Unrealized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Appreciation/Depreciation of Investments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(11,370,993)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2,372,190</w:t>
            </w:r>
          </w:p>
        </w:tc>
        <w:tc>
          <w:tcPr>
            <w:tcW w:w="60" w:type="dxa"/>
            <w:vAlign w:val="bottom"/>
          </w:tcPr>
          <w:p>
            <w:pPr>
              <w:spacing w:after="0"/>
              <w:rPr>
                <w:sz w:val="20"/>
                <w:szCs w:val="20"/>
                <w:color w:val="auto"/>
              </w:rPr>
            </w:pPr>
          </w:p>
        </w:tc>
        <w:tc>
          <w:tcPr>
            <w:tcW w:w="1080" w:type="dxa"/>
            <w:vAlign w:val="bottom"/>
            <w:gridSpan w:val="4"/>
          </w:tcPr>
          <w:p>
            <w:pPr>
              <w:jc w:val="right"/>
              <w:ind w:right="12"/>
              <w:spacing w:after="0"/>
              <w:rPr>
                <w:sz w:val="20"/>
                <w:szCs w:val="20"/>
                <w:color w:val="auto"/>
              </w:rPr>
            </w:pPr>
            <w:r>
              <w:rPr>
                <w:rFonts w:ascii="Arial" w:cs="Arial" w:eastAsia="Arial" w:hAnsi="Arial"/>
                <w:sz w:val="18"/>
                <w:szCs w:val="18"/>
                <w:color w:val="auto"/>
              </w:rPr>
              <w:t>25,020,686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36,197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Increase/(Decrease) in Net Assets Resulting</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16,664,622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1,081,501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8,852,691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(18,132,657)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 per common share – basic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 – diluted</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19,320,100</w:t>
            </w:r>
          </w:p>
        </w:tc>
        <w:tc>
          <w:tcPr>
            <w:tcW w:w="20" w:type="dxa"/>
            <w:vAlign w:val="bottom"/>
          </w:tcPr>
          <w:p>
            <w:pPr>
              <w:spacing w:after="0"/>
              <w:rPr>
                <w:sz w:val="20"/>
                <w:szCs w:val="20"/>
                <w:color w:val="auto"/>
              </w:rPr>
            </w:pPr>
          </w:p>
        </w:tc>
        <w:tc>
          <w:tcPr>
            <w:tcW w:w="1040" w:type="dxa"/>
            <w:vAlign w:val="bottom"/>
            <w:gridSpan w:val="3"/>
          </w:tcPr>
          <w:p>
            <w:pPr>
              <w:jc w:val="right"/>
              <w:ind w:right="13"/>
              <w:spacing w:after="0"/>
              <w:rPr>
                <w:sz w:val="20"/>
                <w:szCs w:val="20"/>
                <w:color w:val="auto"/>
              </w:rPr>
            </w:pPr>
            <w:r>
              <w:rPr>
                <w:rFonts w:ascii="Arial" w:cs="Arial" w:eastAsia="Arial" w:hAnsi="Arial"/>
                <w:sz w:val="18"/>
                <w:szCs w:val="18"/>
                <w:color w:val="auto"/>
              </w:rPr>
              <w:t>19,320,100</w:t>
            </w:r>
          </w:p>
        </w:tc>
        <w:tc>
          <w:tcPr>
            <w:tcW w:w="60" w:type="dxa"/>
            <w:vAlign w:val="bottom"/>
          </w:tcPr>
          <w:p>
            <w:pPr>
              <w:spacing w:after="0"/>
              <w:rPr>
                <w:sz w:val="20"/>
                <w:szCs w:val="20"/>
                <w:color w:val="auto"/>
              </w:rPr>
            </w:pPr>
          </w:p>
        </w:tc>
        <w:tc>
          <w:tcPr>
            <w:tcW w:w="1080" w:type="dxa"/>
            <w:vAlign w:val="bottom"/>
            <w:gridSpan w:val="4"/>
          </w:tcPr>
          <w:p>
            <w:pPr>
              <w:jc w:val="right"/>
              <w:ind w:right="12"/>
              <w:spacing w:after="0"/>
              <w:rPr>
                <w:sz w:val="20"/>
                <w:szCs w:val="20"/>
                <w:color w:val="auto"/>
              </w:rPr>
            </w:pPr>
            <w:r>
              <w:rPr>
                <w:rFonts w:ascii="Arial" w:cs="Arial" w:eastAsia="Arial" w:hAnsi="Arial"/>
                <w:sz w:val="18"/>
                <w:szCs w:val="18"/>
                <w:color w:val="auto"/>
              </w:rPr>
              <w:t>19,320,100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19,351,197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23,564,228</w:t>
            </w:r>
          </w:p>
        </w:tc>
        <w:tc>
          <w:tcPr>
            <w:tcW w:w="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19,320,100</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23,564,228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5"/>
              </w:rPr>
              <w:t>19,351,197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-4021455</wp:posOffset>
            </wp:positionV>
            <wp:extent cx="52482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9" w:name="page120"/>
    <w:bookmarkEnd w:id="11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SELECTED QUARTERLY FINANCIAL DATA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97,033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26,127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(2,794,814)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(3,419,149)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(4,881,287)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(1,684,641)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Gains/(Losses)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4,858,066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4,223,159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18,421,499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(9,388,397)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79,704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(920,306)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6,018,713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(7,240,882)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Loss per common share – basic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w w:val="97"/>
              </w:rPr>
              <w:t>Net Investment Loss per common share – diluted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 per 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19,320,100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19,320,100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19,320,100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23,564,228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19,320,100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0" w:name="page121"/>
    <w:bookmarkEnd w:id="12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12 — SUPPLEMENTAL FINANCIAL DATA</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Information of Unconsolidated Subsidiaries</w:t>
      </w:r>
    </w:p>
    <w:p>
      <w:pPr>
        <w:spacing w:after="0" w:line="117" w:lineRule="exact"/>
        <w:rPr>
          <w:sz w:val="20"/>
          <w:szCs w:val="20"/>
          <w:color w:val="auto"/>
        </w:rPr>
      </w:pPr>
    </w:p>
    <w:p>
      <w:pPr>
        <w:ind w:left="180" w:right="539" w:firstLine="270"/>
        <w:spacing w:after="0" w:line="297" w:lineRule="auto"/>
        <w:rPr>
          <w:sz w:val="20"/>
          <w:szCs w:val="20"/>
          <w:color w:val="auto"/>
        </w:rPr>
      </w:pPr>
      <w:r>
        <w:rPr>
          <w:rFonts w:ascii="Arial" w:cs="Arial" w:eastAsia="Arial" w:hAnsi="Arial"/>
          <w:sz w:val="16"/>
          <w:szCs w:val="16"/>
          <w:color w:val="auto"/>
        </w:rPr>
        <w:t>In accordance with the SEC’s Regulation S-X and GAAP, we are not permitted to consolidate any subsidiary or other entity that is not an investment company, including those in which we have a controlling interest. We had certain unconsolidated subsidiaries for the year ended December 31, 2014, that met at least one of the significant conditions of the SEC’s Regulation S-X. Accordingly, pursuant to Regulation S-X, summarized, comparative financial information is presented below for our unconsolidated significant subsidiaries as of December 31, 2016 and 2015 and for the years ended December 31,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wp:posOffset>
            </wp:positionV>
            <wp:extent cx="52057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Data as of:</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820" w:type="dxa"/>
            <w:vAlign w:val="bottom"/>
            <w:tcBorders>
              <w:bottom w:val="single" w:sz="8" w:color="auto"/>
            </w:tcBorders>
            <w:gridSpan w:val="2"/>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$ 5,473,860</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5,241,795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1,886,163</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2,801,796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5,249,784</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4,378,060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7,670,558</w:t>
            </w:r>
          </w:p>
        </w:tc>
        <w:tc>
          <w:tcPr>
            <w:tcW w:w="1220" w:type="dxa"/>
            <w:vAlign w:val="bottom"/>
            <w:gridSpan w:val="2"/>
          </w:tcPr>
          <w:p>
            <w:pPr>
              <w:jc w:val="right"/>
              <w:ind w:right="2"/>
              <w:spacing w:after="0"/>
              <w:rPr>
                <w:sz w:val="20"/>
                <w:szCs w:val="20"/>
                <w:color w:val="auto"/>
              </w:rPr>
            </w:pPr>
            <w:r>
              <w:rPr>
                <w:rFonts w:ascii="Arial" w:cs="Arial" w:eastAsia="Arial" w:hAnsi="Arial"/>
                <w:sz w:val="18"/>
                <w:szCs w:val="18"/>
                <w:color w:val="auto"/>
              </w:rPr>
              <w:t>2,932,095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Statement Data For the years ended:</w:t>
            </w:r>
          </w:p>
        </w:tc>
        <w:tc>
          <w:tcPr>
            <w:tcW w:w="160" w:type="dxa"/>
            <w:vAlign w:val="bottom"/>
            <w:vMerge w:val="restart"/>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$21,585,521</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9"/>
              </w:rPr>
              <w:t>$21,319,861</w:t>
            </w: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$ 13,263,877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w w:val="97"/>
              </w:rPr>
              <w:t>17,652,505</w:t>
            </w:r>
          </w:p>
        </w:tc>
        <w:tc>
          <w:tcPr>
            <w:tcW w:w="40" w:type="dxa"/>
            <w:vAlign w:val="bottom"/>
          </w:tcPr>
          <w:p>
            <w:pPr>
              <w:spacing w:after="0"/>
              <w:rPr>
                <w:sz w:val="18"/>
                <w:szCs w:val="18"/>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8"/>
                <w:szCs w:val="18"/>
                <w:color w:val="auto"/>
              </w:rPr>
              <w:t>16,248,769</w:t>
            </w:r>
          </w:p>
        </w:tc>
        <w:tc>
          <w:tcPr>
            <w:tcW w:w="1220" w:type="dxa"/>
            <w:vAlign w:val="bottom"/>
            <w:gridSpan w:val="2"/>
          </w:tcPr>
          <w:p>
            <w:pPr>
              <w:jc w:val="right"/>
              <w:ind w:right="42"/>
              <w:spacing w:after="0"/>
              <w:rPr>
                <w:sz w:val="20"/>
                <w:szCs w:val="20"/>
                <w:color w:val="auto"/>
              </w:rPr>
            </w:pPr>
            <w:r>
              <w:rPr>
                <w:rFonts w:ascii="Arial" w:cs="Arial" w:eastAsia="Arial" w:hAnsi="Arial"/>
                <w:sz w:val="18"/>
                <w:szCs w:val="18"/>
                <w:color w:val="auto"/>
              </w:rPr>
              <w:t>11,169,530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Income/(loss) from operations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(4,727,446)</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(5,057,815)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(3,460,381)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8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Total net income/(loss) including net income/(loss) attributable</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 non-controlling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(5,301,605)</w:t>
            </w:r>
          </w:p>
        </w:tc>
        <w:tc>
          <w:tcPr>
            <w:tcW w:w="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(5,306,836)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(3,723,409)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non-controlling interest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820" w:type="dxa"/>
            <w:vAlign w:val="bottom"/>
            <w:gridSpan w:val="2"/>
          </w:tcPr>
          <w:p>
            <w:pPr>
              <w:ind w:left="4540"/>
              <w:spacing w:after="0"/>
              <w:rPr>
                <w:sz w:val="20"/>
                <w:szCs w:val="20"/>
                <w:color w:val="auto"/>
              </w:rPr>
            </w:pPr>
            <w:r>
              <w:rPr>
                <w:rFonts w:ascii="Arial" w:cs="Arial" w:eastAsia="Arial" w:hAnsi="Arial"/>
                <w:sz w:val="18"/>
                <w:szCs w:val="18"/>
                <w:color w:val="auto"/>
                <w:w w:val="86"/>
              </w:rPr>
              <w:t>118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-1723390</wp:posOffset>
            </wp:positionV>
            <wp:extent cx="52139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We evaluated, under the supervision and with the participation of management, including our Chief Executive Officer and Chief Financial Officer, the effectiveness of the design and operation of our disclosure controls and procedures (as defined in Rules 13a-15(e) and 15d-15(e) of the Exchange Act), as of the end of the period covered by this report. Based on that evaluation, the Chief Executive Officer and Chief Financial Officer concluded that our disclosure controls and procedures were effective and provided reasonable assurance that information required to be disclosed in our periodic SEC filings is (1) recorded, processed, summarized and reported within the time periods specified in the SEC’s rules and forms, and (2) is accumulated and communicated to our management, including our Chief Executive Officer and Chief Financial Officer, as appropriate, to allow for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2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2016.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7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 xml:space="preserve">Management performed an assessment of the effectiveness of our internal control over financial reporting as of December 31, 2016 based upon criteria in Internal Control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Based on our assessment, management determined that our internal control over financial reporting was effective as of December 31, 2016 based on the criteria on Internal Control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80" w:lineRule="exact"/>
        <w:rPr>
          <w:sz w:val="20"/>
          <w:szCs w:val="20"/>
          <w:color w:val="auto"/>
        </w:rPr>
      </w:pPr>
    </w:p>
    <w:p>
      <w:pPr>
        <w:ind w:left="40" w:right="999" w:firstLine="270"/>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2016 has been audited by Deloitte &amp; Touche LLP, an independent registered public accounting firm, as stated in their report which appears herein.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Report of the Independent Registered Public Accounting Firm</w:t>
      </w:r>
    </w:p>
    <w:p>
      <w:pPr>
        <w:spacing w:after="0" w:line="121" w:lineRule="exact"/>
        <w:rPr>
          <w:sz w:val="20"/>
          <w:szCs w:val="20"/>
          <w:color w:val="auto"/>
        </w:rPr>
      </w:pPr>
    </w:p>
    <w:p>
      <w:pPr>
        <w:ind w:left="40" w:right="1019" w:firstLine="27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Deloitte &amp; Touche LLP, our independent registered public accounting firm, has issued a report on the effectiveness of our internal control over financial reporting, which appears on page </w:t>
      </w:r>
      <w:hyperlink w:anchor="page123">
        <w:r>
          <w:rPr>
            <w:rFonts w:ascii="Arial" w:cs="Arial" w:eastAsia="Arial" w:hAnsi="Arial"/>
            <w:sz w:val="17"/>
            <w:szCs w:val="17"/>
            <w:u w:val="single" w:color="auto"/>
            <w:color w:val="0000EE"/>
          </w:rPr>
          <w:t>120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annual report on Form 10-K.</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Woodside, California</w:t>
      </w:r>
    </w:p>
    <w:p>
      <w:pPr>
        <w:spacing w:after="0" w:line="103"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GSV Capital Corp.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0"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March 16, 2017 expressed an unqualified opinion on those financial statements and financial statement schedule.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16, 2017</w:t>
      </w: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under the Exchange Act) that occurred during the fiscal quarter ended December 31, 2016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information required by Item 10 will be contained in the 2017 Proxy Statement under the headings entitled “Proposal I: Election of Directors — Information About the Nominees and Directors,” “— Information About the Executive Officers Who Are Not Directors,” “— Section 16(a) Beneficial Ownership Reporting Compliance” and “— Committees to the Board of Directors,” and is hereby incorporated by reference. There have been no material changes to the procedures by which stockholders may recommend nominees to our board of directors.</w:t>
      </w:r>
    </w:p>
    <w:p>
      <w:pPr>
        <w:spacing w:after="0" w:line="8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 xml:space="preserve">We have adopted a Code of Business Conduct and Ethics for our employees and directors, including, specifically, our Chief Executive Officer, our Chief Financial Officer, our chief accounting officer, and our other executive officers. Our Code of Business Conduct and Ethics satisfies the requirements for a “code of ethics” within the meaning of SEC rules. A copy of the Code of Business Conduct and Ethics is posted on our website at </w:t>
      </w:r>
      <w:r>
        <w:rPr>
          <w:rFonts w:ascii="Arial" w:cs="Arial" w:eastAsia="Arial" w:hAnsi="Arial"/>
          <w:sz w:val="17"/>
          <w:szCs w:val="17"/>
          <w:i w:val="1"/>
          <w:iCs w:val="1"/>
          <w:color w:val="auto"/>
        </w:rPr>
        <w:t>http://investors.gsvcap.com/governance</w:t>
      </w:r>
      <w:r>
        <w:rPr>
          <w:rFonts w:ascii="Arial" w:cs="Arial" w:eastAsia="Arial" w:hAnsi="Arial"/>
          <w:sz w:val="17"/>
          <w:szCs w:val="17"/>
          <w:color w:val="auto"/>
        </w:rPr>
        <w:t>.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information required by Item 11 will be contained in the 2017 Proxy Statement under the headings entitled “Proposal I: Election of Directors — Compensation of Chief Executive Officer and Other Executive Officers” and “— Committees to the Board of Directors,” and is hereby incorporated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information required by Item 12 will be contained in the 2017 Proxy Statement under the heading “Security Ownership of Certain Beneficial Owners and Management,” and is hereby incorporated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information required by Item 13 will be contained in the 2017 Proxy Statement under the heading “Proposal I: Election of Directors,” and is hereby incorporated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information required by Item 14 will be contained in the 2017 Proxy Statement and is hereby incorporated by reference.</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p>
      <w:pPr>
        <w:spacing w:after="0" w:line="140" w:lineRule="exact"/>
        <w:rPr>
          <w:sz w:val="20"/>
          <w:szCs w:val="20"/>
          <w:color w:val="auto"/>
        </w:rPr>
      </w:pPr>
    </w:p>
    <w:p>
      <w:pPr>
        <w:ind w:left="440" w:hanging="252"/>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720" w:hanging="262"/>
        <w:spacing w:after="0"/>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following financial statements are set forth in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6960" w:type="dxa"/>
            <w:vAlign w:val="bottom"/>
            <w:gridSpan w:val="12"/>
            <w:shd w:val="clear" w:color="auto" w:fill="CCEEFF"/>
          </w:tcPr>
          <w:p>
            <w:pPr>
              <w:ind w:left="20"/>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Reports of Independent Registered Public Accounting Firms</w:t>
              </w:r>
            </w:hyperlink>
          </w:p>
        </w:tc>
        <w:tc>
          <w:tcPr>
            <w:tcW w:w="420" w:type="dxa"/>
            <w:vAlign w:val="bottom"/>
            <w:gridSpan w:val="3"/>
            <w:shd w:val="clear" w:color="auto" w:fill="CCEEFF"/>
          </w:tcPr>
          <w:p>
            <w:pPr>
              <w:jc w:val="right"/>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60" w:type="dxa"/>
            <w:vAlign w:val="bottom"/>
            <w:gridSpan w:val="12"/>
          </w:tcPr>
          <w:p>
            <w:pPr>
              <w:ind w:left="2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Assets and Liabilities as of December 31, 2016 and 2015</w:t>
              </w:r>
            </w:hyperlink>
          </w:p>
        </w:tc>
        <w:tc>
          <w:tcPr>
            <w:tcW w:w="420" w:type="dxa"/>
            <w:vAlign w:val="bottom"/>
            <w:gridSpan w:val="3"/>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960" w:type="dxa"/>
            <w:vAlign w:val="bottom"/>
            <w:gridSpan w:val="12"/>
            <w:shd w:val="clear" w:color="auto" w:fill="CCEEFF"/>
          </w:tcPr>
          <w:p>
            <w:pPr>
              <w:ind w:left="2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2016,</w:t>
              </w:r>
            </w:hyperlink>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740" w:type="dxa"/>
            <w:vAlign w:val="bottom"/>
            <w:tcBorders>
              <w:top w:val="single" w:sz="8" w:color="0000EE"/>
            </w:tcBorders>
            <w:gridSpan w:val="6"/>
            <w:shd w:val="clear" w:color="auto" w:fill="CCEEFF"/>
          </w:tcPr>
          <w:p>
            <w:pPr>
              <w:ind w:left="18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2015 and 2014</w:t>
              </w:r>
            </w:hyperlink>
          </w:p>
        </w:tc>
        <w:tc>
          <w:tcPr>
            <w:tcW w:w="1200" w:type="dxa"/>
            <w:vAlign w:val="bottom"/>
            <w:tcBorders>
              <w:top w:val="single" w:sz="8" w:color="CCEEFF"/>
            </w:tcBorders>
            <w:gridSpan w:val="5"/>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60" w:type="dxa"/>
            <w:vAlign w:val="bottom"/>
            <w:gridSpan w:val="12"/>
          </w:tcPr>
          <w:p>
            <w:pPr>
              <w:ind w:left="20"/>
              <w:spacing w:after="0" w:line="17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Consolidated Statements of Changes in Net Assets for the years ended December 31, 2016,</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2015 and 2014</w:t>
              </w:r>
            </w:hyperlink>
          </w:p>
        </w:tc>
        <w:tc>
          <w:tcPr>
            <w:tcW w:w="3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960" w:type="dxa"/>
            <w:vAlign w:val="bottom"/>
            <w:gridSpan w:val="12"/>
            <w:shd w:val="clear" w:color="auto" w:fill="CCEEFF"/>
          </w:tcPr>
          <w:p>
            <w:pPr>
              <w:ind w:left="2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 for the years ended December 31, 2016,</w:t>
              </w:r>
            </w:hyperlink>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780" w:type="dxa"/>
            <w:vAlign w:val="bottom"/>
            <w:tcBorders>
              <w:top w:val="single" w:sz="8" w:color="0000EE"/>
            </w:tcBorders>
            <w:gridSpan w:val="7"/>
            <w:shd w:val="clear" w:color="auto" w:fill="CCEEFF"/>
          </w:tcPr>
          <w:p>
            <w:pPr>
              <w:ind w:left="18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2015 and 2014</w:t>
              </w:r>
            </w:hyperlink>
          </w:p>
        </w:tc>
        <w:tc>
          <w:tcPr>
            <w:tcW w:w="1160" w:type="dxa"/>
            <w:vAlign w:val="bottom"/>
            <w:tcBorders>
              <w:top w:val="single" w:sz="8" w:color="CCEEFF"/>
            </w:tcBorders>
            <w:gridSpan w:val="4"/>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60" w:type="dxa"/>
            <w:vAlign w:val="bottom"/>
            <w:gridSpan w:val="12"/>
          </w:tcPr>
          <w:p>
            <w:pPr>
              <w:ind w:left="2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Schedule of Investments as of December 31, 2016</w:t>
              </w:r>
            </w:hyperlink>
          </w:p>
        </w:tc>
        <w:tc>
          <w:tcPr>
            <w:tcW w:w="420" w:type="dxa"/>
            <w:vAlign w:val="bottom"/>
            <w:gridSpan w:val="3"/>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6960" w:type="dxa"/>
            <w:vAlign w:val="bottom"/>
            <w:gridSpan w:val="12"/>
            <w:shd w:val="clear" w:color="auto" w:fill="CCEEFF"/>
          </w:tcPr>
          <w:p>
            <w:pPr>
              <w:ind w:left="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Schedule of Investments as of December 31, 2015</w:t>
              </w:r>
            </w:hyperlink>
          </w:p>
        </w:tc>
        <w:tc>
          <w:tcPr>
            <w:tcW w:w="4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60" w:type="dxa"/>
            <w:vAlign w:val="bottom"/>
            <w:gridSpan w:val="12"/>
          </w:tcPr>
          <w:p>
            <w:pPr>
              <w:ind w:left="2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420" w:type="dxa"/>
            <w:vAlign w:val="bottom"/>
            <w:gridSpan w:val="3"/>
          </w:tcPr>
          <w:p>
            <w:pPr>
              <w:jc w:val="right"/>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gridSpan w:val="10"/>
          </w:tcPr>
          <w:p>
            <w:pPr>
              <w:ind w:left="140"/>
              <w:spacing w:after="0"/>
              <w:rPr>
                <w:sz w:val="20"/>
                <w:szCs w:val="20"/>
                <w:color w:val="auto"/>
              </w:rPr>
            </w:pPr>
            <w:r>
              <w:rPr>
                <w:rFonts w:ascii="Arial" w:cs="Arial" w:eastAsia="Arial" w:hAnsi="Arial"/>
                <w:sz w:val="18"/>
                <w:szCs w:val="18"/>
                <w:color w:val="auto"/>
              </w:rPr>
              <w:t>(2) The following financial statement schedules are filed herewith:</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696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Schedules 12-14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940" w:type="dxa"/>
            <w:vAlign w:val="bottom"/>
            <w:gridSpan w:val="11"/>
          </w:tcPr>
          <w:p>
            <w:pPr>
              <w:ind w:left="180"/>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Schedule of Investments in and Advances to Affiliates as of December 31, 2016</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125</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940" w:type="dxa"/>
            <w:vAlign w:val="bottom"/>
            <w:gridSpan w:val="11"/>
            <w:shd w:val="clear" w:color="auto" w:fill="CCEEFF"/>
          </w:tcPr>
          <w:p>
            <w:pPr>
              <w:ind w:left="180"/>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Schedule of Investments in and Advances to Affiliates as of December 31, 2015</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129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-625475</wp:posOffset>
            </wp:positionV>
            <wp:extent cx="47510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Exhibits required to be filed by Item 601 of Regulation S-K</w:t>
      </w:r>
    </w:p>
    <w:p>
      <w:pPr>
        <w:spacing w:after="0" w:line="121" w:lineRule="exact"/>
        <w:rPr>
          <w:sz w:val="20"/>
          <w:szCs w:val="20"/>
          <w:color w:val="auto"/>
        </w:rPr>
      </w:pPr>
    </w:p>
    <w:p>
      <w:pPr>
        <w:ind w:left="180" w:right="519" w:firstLine="270"/>
        <w:spacing w:after="0" w:line="257" w:lineRule="auto"/>
        <w:rPr>
          <w:sz w:val="20"/>
          <w:szCs w:val="20"/>
          <w:color w:val="auto"/>
        </w:rPr>
      </w:pPr>
      <w:r>
        <w:rPr>
          <w:rFonts w:ascii="Arial" w:cs="Arial" w:eastAsia="Arial" w:hAnsi="Arial"/>
          <w:sz w:val="18"/>
          <w:szCs w:val="18"/>
          <w:color w:val="auto"/>
        </w:rPr>
        <w:t>Please note that the agreements included as exhibits to this Form 10-K are included to provide information regarding their terms and are not intended to provide any other factual or disclosure information about us or the other parties to the agreements. The agreements contain representations and warranties by each of the parties to the applicable agreement that have been made solely for the benefit of the other parties to the applicable agreement and may not describe the actual state of affairs as of the date they were made or at any other time.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796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3.1</w:t>
            </w:r>
          </w:p>
        </w:tc>
        <w:tc>
          <w:tcPr>
            <w:tcW w:w="874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3.2</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3.3</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4.1</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4.2</w:t>
            </w:r>
          </w:p>
        </w:tc>
        <w:tc>
          <w:tcPr>
            <w:tcW w:w="8740" w:type="dxa"/>
            <w:vAlign w:val="bottom"/>
          </w:tcPr>
          <w:p>
            <w:pPr>
              <w:ind w:left="200"/>
              <w:spacing w:after="0"/>
              <w:rPr>
                <w:sz w:val="20"/>
                <w:szCs w:val="20"/>
                <w:color w:val="auto"/>
              </w:rPr>
            </w:pPr>
            <w:r>
              <w:rPr>
                <w:rFonts w:ascii="Arial" w:cs="Arial" w:eastAsia="Arial" w:hAnsi="Arial"/>
                <w:sz w:val="18"/>
                <w:szCs w:val="18"/>
                <w:color w:val="auto"/>
              </w:rPr>
              <w:t>Indenture, dated September 17, 2013, relating to the 5.25% Convertible Senior Notes due 2018, by</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center"/>
              <w:ind w:left="70"/>
              <w:spacing w:after="0"/>
              <w:rPr>
                <w:sz w:val="20"/>
                <w:szCs w:val="20"/>
                <w:color w:val="auto"/>
              </w:rPr>
            </w:pPr>
            <w:r>
              <w:rPr>
                <w:rFonts w:ascii="Arial" w:cs="Arial" w:eastAsia="Arial" w:hAnsi="Arial"/>
                <w:sz w:val="18"/>
                <w:szCs w:val="18"/>
                <w:color w:val="auto"/>
                <w:w w:val="85"/>
              </w:rPr>
              <w:t>10.1</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and between the Company and the U.S. Bank National Association, as trustee</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860" w:type="dxa"/>
            <w:vAlign w:val="bottom"/>
            <w:vMerge w:val="continue"/>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Arial" w:cs="Arial" w:eastAsia="Arial" w:hAnsi="Arial"/>
                <w:sz w:val="18"/>
                <w:szCs w:val="18"/>
                <w:color w:val="auto"/>
              </w:rPr>
              <w:t>Dividend Reinvestment Plan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5"/>
              </w:rPr>
              <w:t>10.2</w:t>
            </w:r>
          </w:p>
        </w:tc>
        <w:tc>
          <w:tcPr>
            <w:tcW w:w="8740" w:type="dxa"/>
            <w:vAlign w:val="bottom"/>
          </w:tcPr>
          <w:p>
            <w:pPr>
              <w:ind w:left="200"/>
              <w:spacing w:after="0"/>
              <w:rPr>
                <w:sz w:val="20"/>
                <w:szCs w:val="20"/>
                <w:color w:val="auto"/>
              </w:rPr>
            </w:pPr>
            <w:r>
              <w:rPr>
                <w:rFonts w:ascii="Arial" w:cs="Arial" w:eastAsia="Arial" w:hAnsi="Arial"/>
                <w:sz w:val="18"/>
                <w:szCs w:val="18"/>
                <w:color w:val="auto"/>
              </w:rPr>
              <w:t>Amended and Restated Investment Advisory Agreement by and between the Company and GSV</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Arial" w:cs="Arial" w:eastAsia="Arial" w:hAnsi="Arial"/>
                <w:sz w:val="18"/>
                <w:szCs w:val="18"/>
                <w:color w:val="auto"/>
              </w:rPr>
              <w:t>Asset Management,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20"/>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5"/>
              </w:rPr>
              <w:t>10.3</w:t>
            </w:r>
          </w:p>
        </w:tc>
        <w:tc>
          <w:tcPr>
            <w:tcW w:w="8740" w:type="dxa"/>
            <w:vAlign w:val="bottom"/>
          </w:tcPr>
          <w:p>
            <w:pPr>
              <w:ind w:left="200"/>
              <w:spacing w:after="0"/>
              <w:rPr>
                <w:sz w:val="20"/>
                <w:szCs w:val="20"/>
                <w:color w:val="auto"/>
              </w:rPr>
            </w:pPr>
            <w:r>
              <w:rPr>
                <w:rFonts w:ascii="Arial" w:cs="Arial" w:eastAsia="Arial" w:hAnsi="Arial"/>
                <w:sz w:val="18"/>
                <w:szCs w:val="18"/>
                <w:color w:val="auto"/>
              </w:rPr>
              <w:t>Amended and Restated Administration Agreement by and between the Company and GSV Capital</w:t>
            </w:r>
          </w:p>
        </w:tc>
        <w:tc>
          <w:tcPr>
            <w:tcW w:w="0" w:type="dxa"/>
            <w:vAlign w:val="bottom"/>
          </w:tcPr>
          <w:p>
            <w:pPr>
              <w:spacing w:after="0"/>
              <w:rPr>
                <w:sz w:val="1"/>
                <w:szCs w:val="1"/>
                <w:color w:val="auto"/>
              </w:rPr>
            </w:pPr>
          </w:p>
        </w:tc>
      </w:tr>
      <w:tr>
        <w:trPr>
          <w:trHeight w:val="390"/>
        </w:trPr>
        <w:tc>
          <w:tcPr>
            <w:tcW w:w="86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Service Company, LLC</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647"/>
        </w:trPr>
        <w:tc>
          <w:tcPr>
            <w:tcW w:w="860" w:type="dxa"/>
            <w:vAlign w:val="bottom"/>
          </w:tcPr>
          <w:p>
            <w:pPr>
              <w:spacing w:after="0"/>
              <w:rPr>
                <w:sz w:val="24"/>
                <w:szCs w:val="24"/>
                <w:color w:val="auto"/>
              </w:rPr>
            </w:pPr>
          </w:p>
        </w:tc>
        <w:tc>
          <w:tcPr>
            <w:tcW w:w="8740" w:type="dxa"/>
            <w:vAlign w:val="bottom"/>
          </w:tcPr>
          <w:p>
            <w:pPr>
              <w:ind w:left="38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62"/>
        </w:trPr>
        <w:tc>
          <w:tcPr>
            <w:tcW w:w="860" w:type="dxa"/>
            <w:vAlign w:val="bottom"/>
            <w:tcBorders>
              <w:bottom w:val="single" w:sz="8" w:color="9A9A9A"/>
            </w:tcBorders>
          </w:tcPr>
          <w:p>
            <w:pPr>
              <w:spacing w:after="0"/>
              <w:rPr>
                <w:sz w:val="14"/>
                <w:szCs w:val="14"/>
                <w:color w:val="auto"/>
              </w:rPr>
            </w:pPr>
          </w:p>
        </w:tc>
        <w:tc>
          <w:tcPr>
            <w:tcW w:w="87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8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1796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345"/>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10.4</w:t>
            </w:r>
          </w:p>
        </w:tc>
        <w:tc>
          <w:tcPr>
            <w:tcW w:w="7460" w:type="dxa"/>
            <w:vAlign w:val="bottom"/>
          </w:tcPr>
          <w:p>
            <w:pPr>
              <w:ind w:left="200"/>
              <w:spacing w:after="0"/>
              <w:rPr>
                <w:sz w:val="20"/>
                <w:szCs w:val="20"/>
                <w:color w:val="auto"/>
              </w:rPr>
            </w:pPr>
            <w:r>
              <w:rPr>
                <w:rFonts w:ascii="Arial" w:cs="Arial" w:eastAsia="Arial" w:hAnsi="Arial"/>
                <w:sz w:val="18"/>
                <w:szCs w:val="18"/>
                <w:color w:val="auto"/>
                <w:w w:val="97"/>
              </w:rPr>
              <w:t>Form of Indemnification Agreement by and between the Company and each of its directors</w:t>
            </w:r>
            <w:r>
              <w:rPr>
                <w:rFonts w:ascii="Arial" w:cs="Arial" w:eastAsia="Arial" w:hAnsi="Arial"/>
                <w:sz w:val="30"/>
                <w:szCs w:val="30"/>
                <w:color w:val="auto"/>
                <w:w w:val="97"/>
                <w:vertAlign w:val="superscript"/>
              </w:rPr>
              <w:t>(1)</w:t>
            </w:r>
          </w:p>
        </w:tc>
      </w:tr>
      <w:tr>
        <w:trPr>
          <w:trHeight w:val="257"/>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10.5</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Custody Agreement by and between the Company and U.S. Bank National Association</w:t>
            </w:r>
            <w:r>
              <w:rPr>
                <w:rFonts w:ascii="Arial" w:cs="Arial" w:eastAsia="Arial" w:hAnsi="Arial"/>
                <w:sz w:val="29"/>
                <w:szCs w:val="29"/>
                <w:color w:val="auto"/>
                <w:vertAlign w:val="superscript"/>
              </w:rPr>
              <w:t>(7)</w:t>
            </w:r>
          </w:p>
        </w:tc>
      </w:tr>
      <w:tr>
        <w:trPr>
          <w:trHeight w:val="22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10.6</w:t>
            </w:r>
          </w:p>
        </w:tc>
        <w:tc>
          <w:tcPr>
            <w:tcW w:w="7460" w:type="dxa"/>
            <w:vAlign w:val="bottom"/>
          </w:tcPr>
          <w:p>
            <w:pPr>
              <w:ind w:left="200"/>
              <w:spacing w:after="0"/>
              <w:rPr>
                <w:sz w:val="20"/>
                <w:szCs w:val="20"/>
                <w:color w:val="auto"/>
              </w:rPr>
            </w:pPr>
            <w:r>
              <w:rPr>
                <w:rFonts w:ascii="Arial" w:cs="Arial" w:eastAsia="Arial" w:hAnsi="Arial"/>
                <w:sz w:val="18"/>
                <w:szCs w:val="18"/>
                <w:color w:val="auto"/>
                <w:w w:val="90"/>
              </w:rPr>
              <w:t>Form of Trademark License Agreement by and between the Company and GSV Asset Management,</w:t>
            </w:r>
          </w:p>
        </w:tc>
      </w:tr>
      <w:tr>
        <w:trPr>
          <w:trHeight w:val="253"/>
        </w:trPr>
        <w:tc>
          <w:tcPr>
            <w:tcW w:w="500" w:type="dxa"/>
            <w:vAlign w:val="bottom"/>
          </w:tcPr>
          <w:p>
            <w:pPr>
              <w:spacing w:after="0"/>
              <w:rPr>
                <w:sz w:val="21"/>
                <w:szCs w:val="21"/>
                <w:color w:val="auto"/>
              </w:rPr>
            </w:pPr>
          </w:p>
        </w:tc>
        <w:tc>
          <w:tcPr>
            <w:tcW w:w="7460" w:type="dxa"/>
            <w:vAlign w:val="bottom"/>
          </w:tcPr>
          <w:p>
            <w:pPr>
              <w:ind w:left="200"/>
              <w:spacing w:after="0" w:line="253" w:lineRule="exact"/>
              <w:rPr>
                <w:sz w:val="20"/>
                <w:szCs w:val="20"/>
                <w:color w:val="auto"/>
              </w:rPr>
            </w:pPr>
            <w:r>
              <w:rPr>
                <w:rFonts w:ascii="Arial" w:cs="Arial" w:eastAsia="Arial" w:hAnsi="Arial"/>
                <w:sz w:val="18"/>
                <w:szCs w:val="18"/>
                <w:color w:val="auto"/>
              </w:rPr>
              <w:t>LLC</w:t>
            </w:r>
            <w:r>
              <w:rPr>
                <w:rFonts w:ascii="Arial" w:cs="Arial" w:eastAsia="Arial" w:hAnsi="Arial"/>
                <w:sz w:val="29"/>
                <w:szCs w:val="29"/>
                <w:color w:val="auto"/>
                <w:vertAlign w:val="superscript"/>
              </w:rPr>
              <w:t>(2)</w:t>
            </w:r>
          </w:p>
        </w:tc>
      </w:tr>
      <w:tr>
        <w:trPr>
          <w:trHeight w:val="22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10.7</w:t>
            </w:r>
          </w:p>
        </w:tc>
        <w:tc>
          <w:tcPr>
            <w:tcW w:w="7460" w:type="dxa"/>
            <w:vAlign w:val="bottom"/>
          </w:tcPr>
          <w:p>
            <w:pPr>
              <w:ind w:left="200"/>
              <w:spacing w:after="0"/>
              <w:rPr>
                <w:sz w:val="20"/>
                <w:szCs w:val="20"/>
                <w:color w:val="auto"/>
              </w:rPr>
            </w:pPr>
            <w:r>
              <w:rPr>
                <w:rFonts w:ascii="Arial" w:cs="Arial" w:eastAsia="Arial" w:hAnsi="Arial"/>
                <w:sz w:val="18"/>
                <w:szCs w:val="18"/>
                <w:color w:val="auto"/>
                <w:w w:val="90"/>
              </w:rPr>
              <w:t>Loan and Security Agreement between the Company and Silicon Valley Bank, dated as of December</w:t>
            </w:r>
          </w:p>
        </w:tc>
      </w:tr>
      <w:tr>
        <w:trPr>
          <w:trHeight w:val="253"/>
        </w:trPr>
        <w:tc>
          <w:tcPr>
            <w:tcW w:w="500" w:type="dxa"/>
            <w:vAlign w:val="bottom"/>
          </w:tcPr>
          <w:p>
            <w:pPr>
              <w:spacing w:after="0"/>
              <w:rPr>
                <w:sz w:val="21"/>
                <w:szCs w:val="21"/>
                <w:color w:val="auto"/>
              </w:rPr>
            </w:pPr>
          </w:p>
        </w:tc>
        <w:tc>
          <w:tcPr>
            <w:tcW w:w="7460" w:type="dxa"/>
            <w:vAlign w:val="bottom"/>
          </w:tcPr>
          <w:p>
            <w:pPr>
              <w:ind w:left="200"/>
              <w:spacing w:after="0" w:line="253" w:lineRule="exact"/>
              <w:rPr>
                <w:sz w:val="20"/>
                <w:szCs w:val="20"/>
                <w:color w:val="auto"/>
              </w:rPr>
            </w:pPr>
            <w:r>
              <w:rPr>
                <w:rFonts w:ascii="Arial" w:cs="Arial" w:eastAsia="Arial" w:hAnsi="Arial"/>
                <w:sz w:val="18"/>
                <w:szCs w:val="18"/>
                <w:color w:val="auto"/>
              </w:rPr>
              <w:t>31, 2013</w:t>
            </w:r>
            <w:r>
              <w:rPr>
                <w:rFonts w:ascii="Arial" w:cs="Arial" w:eastAsia="Arial" w:hAnsi="Arial"/>
                <w:sz w:val="29"/>
                <w:szCs w:val="29"/>
                <w:color w:val="auto"/>
                <w:vertAlign w:val="superscript"/>
              </w:rPr>
              <w:t>(5)</w:t>
            </w: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11.1</w:t>
            </w:r>
          </w:p>
        </w:tc>
        <w:tc>
          <w:tcPr>
            <w:tcW w:w="7460" w:type="dxa"/>
            <w:vAlign w:val="bottom"/>
          </w:tcPr>
          <w:p>
            <w:pPr>
              <w:ind w:left="200"/>
              <w:spacing w:after="0"/>
              <w:rPr>
                <w:sz w:val="20"/>
                <w:szCs w:val="20"/>
                <w:color w:val="auto"/>
              </w:rPr>
            </w:pPr>
            <w:r>
              <w:rPr>
                <w:rFonts w:ascii="Arial" w:cs="Arial" w:eastAsia="Arial" w:hAnsi="Arial"/>
                <w:sz w:val="18"/>
                <w:szCs w:val="18"/>
                <w:color w:val="auto"/>
                <w:w w:val="90"/>
              </w:rPr>
              <w:t>Statement re Computation of Per Share Earnings (Included in the notes to the consolidated financial</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statements contained in this report)</w:t>
            </w: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21.1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List of Subsidiaries (Included in the notes to the consolidated financial statements contained in this</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report)</w:t>
            </w: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31.1</w:t>
            </w:r>
          </w:p>
        </w:tc>
        <w:tc>
          <w:tcPr>
            <w:tcW w:w="746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31.2</w:t>
            </w:r>
          </w:p>
        </w:tc>
        <w:tc>
          <w:tcPr>
            <w:tcW w:w="74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32.1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3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32.2</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and incorporated by reference herein.</w:t>
      </w:r>
    </w:p>
    <w:p>
      <w:pPr>
        <w:spacing w:after="0" w:line="62" w:lineRule="exact"/>
        <w:rPr>
          <w:rFonts w:ascii="Arial" w:cs="Arial" w:eastAsia="Arial" w:hAnsi="Arial"/>
          <w:sz w:val="18"/>
          <w:szCs w:val="18"/>
          <w:color w:val="auto"/>
        </w:rPr>
      </w:pPr>
    </w:p>
    <w:p>
      <w:pPr>
        <w:ind w:left="280" w:right="13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on Form 10-K (File No. 814-00852) filed on March 15, 2013, and incorporated by reference herein.</w:t>
      </w:r>
    </w:p>
    <w:p>
      <w:pPr>
        <w:spacing w:after="0" w:line="62" w:lineRule="exact"/>
        <w:rPr>
          <w:rFonts w:ascii="Arial" w:cs="Arial" w:eastAsia="Arial" w:hAnsi="Arial"/>
          <w:sz w:val="18"/>
          <w:szCs w:val="18"/>
          <w:color w:val="auto"/>
        </w:rPr>
      </w:pPr>
    </w:p>
    <w:p>
      <w:pPr>
        <w:ind w:left="280" w:right="67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18, 2013, and incorporated by reference herein.</w:t>
      </w:r>
    </w:p>
    <w:p>
      <w:pPr>
        <w:spacing w:after="0" w:line="62" w:lineRule="exact"/>
        <w:rPr>
          <w:rFonts w:ascii="Arial" w:cs="Arial" w:eastAsia="Arial" w:hAnsi="Arial"/>
          <w:sz w:val="18"/>
          <w:szCs w:val="18"/>
          <w:color w:val="auto"/>
        </w:rPr>
      </w:pPr>
    </w:p>
    <w:p>
      <w:pPr>
        <w:ind w:left="280" w:right="143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January 7, 2014, and incorporated by reference herein.</w:t>
      </w:r>
    </w:p>
    <w:p>
      <w:pPr>
        <w:spacing w:after="0" w:line="62" w:lineRule="exact"/>
        <w:rPr>
          <w:rFonts w:ascii="Arial" w:cs="Arial" w:eastAsia="Arial" w:hAnsi="Arial"/>
          <w:sz w:val="18"/>
          <w:szCs w:val="18"/>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62" w:lineRule="exact"/>
        <w:rPr>
          <w:rFonts w:ascii="Arial" w:cs="Arial" w:eastAsia="Arial" w:hAnsi="Arial"/>
          <w:sz w:val="18"/>
          <w:szCs w:val="18"/>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Schedule of Investments in and Advances to Affiliates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2139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of Interest,</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2"/>
              </w:rPr>
              <w:t>Fees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0"/>
              </w:rPr>
              <w:t>Fair Value at</w:t>
            </w: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Dividends</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To Non-Control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40" w:type="dxa"/>
            <w:vAlign w:val="bottom"/>
          </w:tcPr>
          <w:p>
            <w:pPr>
              <w:spacing w:after="0"/>
              <w:rPr>
                <w:sz w:val="11"/>
                <w:szCs w:val="11"/>
                <w:color w:val="auto"/>
              </w:rPr>
            </w:pPr>
          </w:p>
        </w:tc>
        <w:tc>
          <w:tcPr>
            <w:tcW w:w="72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auto"/>
                <w:w w:val="98"/>
              </w:rPr>
              <w:t>December</w:t>
            </w:r>
          </w:p>
        </w:tc>
      </w:tr>
      <w:tr>
        <w:trPr>
          <w:trHeight w:val="135"/>
        </w:trPr>
        <w:tc>
          <w:tcPr>
            <w:tcW w:w="1760" w:type="dxa"/>
            <w:vAlign w:val="bottom"/>
            <w:gridSpan w:val="7"/>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/Non-Affiliate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49"/>
              <w:spacing w:after="0" w:line="135" w:lineRule="exact"/>
              <w:rPr>
                <w:sz w:val="20"/>
                <w:szCs w:val="20"/>
                <w:color w:val="auto"/>
              </w:rPr>
            </w:pPr>
            <w:r>
              <w:rPr>
                <w:rFonts w:ascii="Arial" w:cs="Arial" w:eastAsia="Arial" w:hAnsi="Arial"/>
                <w:sz w:val="13"/>
                <w:szCs w:val="13"/>
                <w:b w:val="1"/>
                <w:bCs w:val="1"/>
                <w:color w:val="auto"/>
                <w:w w:val="93"/>
              </w:rPr>
              <w:t>Corporate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88"/>
              </w:rPr>
              <w:t>Unrealized</w:t>
            </w:r>
          </w:p>
        </w:tc>
        <w:tc>
          <w:tcPr>
            <w:tcW w:w="760" w:type="dxa"/>
            <w:vAlign w:val="bottom"/>
            <w:gridSpan w:val="2"/>
          </w:tcPr>
          <w:p>
            <w:pPr>
              <w:jc w:val="right"/>
              <w:ind w:right="210"/>
              <w:spacing w:after="0" w:line="135" w:lineRule="exact"/>
              <w:rPr>
                <w:sz w:val="20"/>
                <w:szCs w:val="20"/>
                <w:color w:val="auto"/>
              </w:rPr>
            </w:pPr>
            <w:r>
              <w:rPr>
                <w:rFonts w:ascii="Arial" w:cs="Arial" w:eastAsia="Arial" w:hAnsi="Arial"/>
                <w:sz w:val="13"/>
                <w:szCs w:val="13"/>
                <w:b w:val="1"/>
                <w:bCs w:val="1"/>
                <w:color w:val="auto"/>
              </w:rPr>
              <w:t>31,</w:t>
            </w:r>
          </w:p>
        </w:tc>
      </w:tr>
      <w:tr>
        <w:trPr>
          <w:trHeight w:val="153"/>
        </w:trPr>
        <w:tc>
          <w:tcPr>
            <w:tcW w:w="1760" w:type="dxa"/>
            <w:vAlign w:val="bottom"/>
            <w:gridSpan w:val="7"/>
          </w:tcPr>
          <w:p>
            <w:pPr>
              <w:ind w:left="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Income</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49"/>
              <w:spacing w:after="0"/>
              <w:rPr>
                <w:sz w:val="20"/>
                <w:szCs w:val="20"/>
                <w:color w:val="auto"/>
              </w:rPr>
            </w:pPr>
            <w:r>
              <w:rPr>
                <w:rFonts w:ascii="Arial" w:cs="Arial" w:eastAsia="Arial" w:hAnsi="Arial"/>
                <w:sz w:val="13"/>
                <w:szCs w:val="13"/>
                <w:b w:val="1"/>
                <w:bCs w:val="1"/>
                <w:color w:val="auto"/>
              </w:rPr>
              <w:t>Action</w:t>
            </w:r>
          </w:p>
        </w:tc>
        <w:tc>
          <w:tcPr>
            <w:tcW w:w="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jc w:val="right"/>
              <w:ind w:right="128"/>
              <w:spacing w:after="0"/>
              <w:rPr>
                <w:sz w:val="20"/>
                <w:szCs w:val="20"/>
                <w:color w:val="auto"/>
              </w:rPr>
            </w:pPr>
            <w:r>
              <w:rPr>
                <w:rFonts w:ascii="Arial" w:cs="Arial" w:eastAsia="Arial" w:hAnsi="Arial"/>
                <w:sz w:val="13"/>
                <w:szCs w:val="13"/>
                <w:b w:val="1"/>
                <w:bCs w:val="1"/>
                <w:color w:val="auto"/>
              </w:rPr>
              <w:t>Sales</w:t>
            </w:r>
          </w:p>
        </w:tc>
        <w:tc>
          <w:tcPr>
            <w:tcW w:w="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760" w:type="dxa"/>
            <w:vAlign w:val="bottom"/>
            <w:gridSpan w:val="2"/>
          </w:tcPr>
          <w:p>
            <w:pPr>
              <w:jc w:val="right"/>
              <w:ind w:right="150"/>
              <w:spacing w:after="0"/>
              <w:rPr>
                <w:sz w:val="20"/>
                <w:szCs w:val="20"/>
                <w:color w:val="auto"/>
              </w:rPr>
            </w:pPr>
            <w:r>
              <w:rPr>
                <w:rFonts w:ascii="Arial" w:cs="Arial" w:eastAsia="Arial" w:hAnsi="Arial"/>
                <w:sz w:val="13"/>
                <w:szCs w:val="13"/>
                <w:b w:val="1"/>
                <w:bCs w:val="1"/>
                <w:color w:val="auto"/>
              </w:rPr>
              <w:t>2016</w:t>
            </w:r>
          </w:p>
        </w:tc>
      </w:tr>
      <w:tr>
        <w:trPr>
          <w:trHeight w:val="129"/>
        </w:trPr>
        <w:tc>
          <w:tcPr>
            <w:tcW w:w="1760" w:type="dxa"/>
            <w:vAlign w:val="bottom"/>
            <w:tcBorders>
              <w:top w:val="single" w:sz="8" w:color="auto"/>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69"/>
        </w:trPr>
        <w:tc>
          <w:tcPr>
            <w:tcW w:w="1760" w:type="dxa"/>
            <w:vAlign w:val="bottom"/>
            <w:gridSpan w:val="7"/>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2"/>
        </w:trPr>
        <w:tc>
          <w:tcPr>
            <w:tcW w:w="176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$ 4,599,718</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360"/>
              <w:spacing w:after="0" w:line="142"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51,120</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$4,650,838</w:t>
            </w:r>
          </w:p>
        </w:tc>
      </w:tr>
      <w:tr>
        <w:trPr>
          <w:trHeight w:val="149"/>
        </w:trPr>
        <w:tc>
          <w:tcPr>
            <w:tcW w:w="17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(162,825)</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4,470,403</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(18,204)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499,796</w:t>
            </w:r>
          </w:p>
        </w:tc>
      </w:tr>
      <w:tr>
        <w:trPr>
          <w:trHeight w:val="135"/>
        </w:trPr>
        <w:tc>
          <w:tcPr>
            <w:tcW w:w="1760" w:type="dxa"/>
            <w:vAlign w:val="bottom"/>
            <w:gridSpan w:val="7"/>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580" w:type="dxa"/>
            <w:vAlign w:val="bottom"/>
            <w:tcBorders>
              <w:top w:val="single" w:sz="8" w:color="auto"/>
            </w:tcBorders>
            <w:gridSpan w:val="5"/>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3"/>
        </w:trPr>
        <w:tc>
          <w:tcPr>
            <w:tcW w:w="1760" w:type="dxa"/>
            <w:vAlign w:val="bottom"/>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rPr>
              <w:t>Note 8% Due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11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07/31/2017***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16,889</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425,620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427,900</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Convertible Promissory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w w:val="97"/>
              </w:rPr>
              <w:t>Note 8% Due 06/30/16***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48,248</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500,000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Promissory Note 10%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Due 11/23/2016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500,000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Unsecured Promissory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w w:val="93"/>
              </w:rPr>
              <w:t>Note 12% Due 05/29/2017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10,862</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501,802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496,725</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4,960,565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(4,904,498)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(56,067)</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1,733,404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2"/>
              </w:rPr>
              <w:t>(2,005,730)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272,326</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605,500</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2"/>
              </w:rPr>
              <w:t>(1,021,778)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1,021,778</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Series A-4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9"/>
              </w:rPr>
              <w:t>4,904,498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(2,188,588)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2,715,910</w:t>
            </w:r>
          </w:p>
        </w:tc>
      </w:tr>
      <w:tr>
        <w:trPr>
          <w:trHeight w:val="149"/>
        </w:trPr>
        <w:tc>
          <w:tcPr>
            <w:tcW w:w="17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stock Series A-3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9"/>
              <w:spacing w:after="0" w:line="149" w:lineRule="exact"/>
              <w:rPr>
                <w:sz w:val="20"/>
                <w:szCs w:val="20"/>
                <w:color w:val="auto"/>
              </w:rPr>
            </w:pPr>
            <w:r>
              <w:rPr>
                <w:rFonts w:ascii="Arial" w:cs="Arial" w:eastAsia="Arial" w:hAnsi="Arial"/>
                <w:sz w:val="14"/>
                <w:szCs w:val="14"/>
                <w:color w:val="auto"/>
                <w:w w:val="99"/>
              </w:rPr>
              <w:t>2,005,730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(1,053,139)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952,591</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Series A-2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605,500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166,500</w:t>
            </w:r>
          </w:p>
        </w:tc>
      </w:tr>
      <w:tr>
        <w:trPr>
          <w:trHeight w:val="149"/>
        </w:trPr>
        <w:tc>
          <w:tcPr>
            <w:tcW w:w="17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stock Series A-1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9"/>
              <w:spacing w:after="0" w:line="149" w:lineRule="exact"/>
              <w:rPr>
                <w:sz w:val="20"/>
                <w:szCs w:val="20"/>
                <w:color w:val="auto"/>
              </w:rPr>
            </w:pPr>
            <w:r>
              <w:rPr>
                <w:rFonts w:ascii="Arial" w:cs="Arial" w:eastAsia="Arial" w:hAnsi="Arial"/>
                <w:sz w:val="14"/>
                <w:szCs w:val="14"/>
                <w:color w:val="auto"/>
                <w:w w:val="99"/>
              </w:rPr>
              <w:t>1,021,778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(751,778)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w:t>
            </w:r>
          </w:p>
        </w:tc>
      </w:tr>
      <w:tr>
        <w:trPr>
          <w:trHeight w:val="149"/>
        </w:trPr>
        <w:tc>
          <w:tcPr>
            <w:tcW w:w="176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9"/>
              </w:rPr>
              <w:t>Preferred Warrant Series 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w w:val="95"/>
              </w:rPr>
              <w:t>4 – Strike Price $1.33333,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rPr>
              <w:t>Date 10/6/2019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40,000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40,000</w:t>
            </w:r>
          </w:p>
        </w:tc>
      </w:tr>
      <w:tr>
        <w:trPr>
          <w:trHeight w:val="130"/>
        </w:trPr>
        <w:tc>
          <w:tcPr>
            <w:tcW w:w="176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Preferred Warrant Series 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4 – Strike Price $1.33333,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Date 7/18/2021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74,380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22,500</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9"/>
              </w:rPr>
              <w:t>Preferred Warrant Series 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w w:val="95"/>
              </w:rPr>
              <w:t>4 – Strike Price $1.33333,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rPr>
              <w:t>Date 11/29/2021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29,275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(20,275)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9,000</w:t>
            </w:r>
          </w:p>
        </w:tc>
      </w:tr>
      <w:tr>
        <w:trPr>
          <w:trHeight w:val="130"/>
        </w:trPr>
        <w:tc>
          <w:tcPr>
            <w:tcW w:w="176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Preferred Warrant Series 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3 – Strike Price $1.33333,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Date 4/4/2019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5,625</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0"/>
              </w:rPr>
              <w:t>Preferred warrants, Series D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rPr>
              <w:t>Date 10/6/2019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(145,000)</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w w:val="90"/>
              </w:rPr>
              <w:t>Preferred warrants, Series C –</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6"/>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Date 4/4/2019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31,875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(31,875)</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2"/>
              </w:rPr>
              <w:t>Preferred warrants Series D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Strike Price $1.33,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Expiration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color w:val="auto"/>
              </w:rPr>
              <w:t>Date 7/18/2021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color w:val="auto"/>
        </w:rPr>
        <w:t>Schedule of Investments in and Advances to Affiliates 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1796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69"/>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Transfer</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of Interest,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from Control</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6"/>
              </w:rPr>
              <w:t>Fees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Dividends</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92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To Non-Control</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20" w:type="dxa"/>
            <w:vAlign w:val="bottom"/>
            <w:gridSpan w:val="10"/>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Credited in</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92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/Non-Affiliate</w:t>
            </w:r>
          </w:p>
        </w:tc>
        <w:tc>
          <w:tcPr>
            <w:tcW w:w="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Corporate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2"/>
              </w:rPr>
              <w:t>December 31,</w:t>
            </w:r>
          </w:p>
        </w:tc>
      </w:tr>
      <w:tr>
        <w:trPr>
          <w:trHeight w:val="153"/>
        </w:trPr>
        <w:tc>
          <w:tcPr>
            <w:tcW w:w="182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79"/>
              </w:rPr>
              <w:t>Purchases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Sales</w:t>
            </w: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2016</w:t>
            </w:r>
          </w:p>
        </w:tc>
      </w:tr>
      <w:tr>
        <w:trPr>
          <w:trHeight w:val="129"/>
        </w:trPr>
        <w:tc>
          <w:tcPr>
            <w:tcW w:w="1820" w:type="dxa"/>
            <w:vAlign w:val="bottom"/>
            <w:tcBorders>
              <w:righ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SPBRX, INC. (f/k/a GSV</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1360" w:type="dxa"/>
            <w:vAlign w:val="bottom"/>
            <w:tcBorders>
              <w:top w:val="single" w:sz="8" w:color="auto"/>
              <w:bottom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6"/>
              </w:rPr>
              <w:t>Sustainability Partners,</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Inc.)</w:t>
            </w:r>
          </w:p>
        </w:tc>
        <w:tc>
          <w:tcPr>
            <w:tcW w:w="1160" w:type="dxa"/>
            <w:vAlign w:val="bottom"/>
            <w:tcBorders>
              <w:bottom w:val="single" w:sz="8" w:color="CCEEFF"/>
            </w:tcBorders>
            <w:gridSpan w:val="5"/>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CCEEFF"/>
            </w:tcBorders>
            <w:shd w:val="clear" w:color="auto" w:fill="CCEEFF"/>
          </w:tcPr>
          <w:p>
            <w:pPr>
              <w:spacing w:after="0"/>
              <w:rPr>
                <w:sz w:val="11"/>
                <w:szCs w:val="11"/>
                <w:color w:val="auto"/>
              </w:rPr>
            </w:pPr>
          </w:p>
        </w:tc>
      </w:tr>
      <w:tr>
        <w:trPr>
          <w:trHeight w:val="142"/>
        </w:trPr>
        <w:tc>
          <w:tcPr>
            <w:tcW w:w="182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6,250,000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1"/>
              </w:rPr>
              <w:t>$ (1,940,222)</w:t>
            </w: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9"/>
              </w:rPr>
              <w:t>4,309,778</w:t>
            </w:r>
          </w:p>
        </w:tc>
      </w:tr>
      <w:tr>
        <w:trPr>
          <w:trHeight w:val="149"/>
        </w:trPr>
        <w:tc>
          <w:tcPr>
            <w:tcW w:w="1820" w:type="dxa"/>
            <w:vAlign w:val="bottom"/>
            <w:tcBorders>
              <w:righ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182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ind w:right="29"/>
              <w:spacing w:after="0" w:line="142" w:lineRule="exact"/>
              <w:rPr>
                <w:sz w:val="20"/>
                <w:szCs w:val="20"/>
                <w:color w:val="auto"/>
              </w:rPr>
            </w:pPr>
            <w:r>
              <w:rPr>
                <w:rFonts w:ascii="Arial" w:cs="Arial" w:eastAsia="Arial" w:hAnsi="Arial"/>
                <w:sz w:val="14"/>
                <w:szCs w:val="14"/>
                <w:color w:val="auto"/>
                <w:w w:val="98"/>
              </w:rPr>
              <w:t>101,999</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1"/>
              </w:rPr>
              <w:t>22,871,790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9"/>
              </w:rPr>
              <w:t>1,563,049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3"/>
              </w:rPr>
              <w:t>(500,000)</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1"/>
              </w:rPr>
              <w:t>$ (4,897,273)</w:t>
            </w:r>
          </w:p>
        </w:tc>
        <w:tc>
          <w:tcPr>
            <w:tcW w:w="80" w:type="dxa"/>
            <w:vAlign w:val="bottom"/>
          </w:tcPr>
          <w:p>
            <w:pPr>
              <w:spacing w:after="0" w:line="142"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88"/>
              </w:rPr>
              <w:t>19,037,566</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820" w:type="dxa"/>
            <w:vAlign w:val="bottom"/>
            <w:tcBorders>
              <w:righ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20" w:type="dxa"/>
            <w:vAlign w:val="bottom"/>
            <w:gridSpan w:val="10"/>
          </w:tcPr>
          <w:p>
            <w:pPr>
              <w:ind w:left="20"/>
              <w:spacing w:after="0" w:line="142" w:lineRule="exact"/>
              <w:rPr>
                <w:sz w:val="20"/>
                <w:szCs w:val="20"/>
                <w:color w:val="auto"/>
              </w:rPr>
            </w:pPr>
            <w:r>
              <w:rPr>
                <w:rFonts w:ascii="Arial" w:cs="Arial" w:eastAsia="Arial" w:hAnsi="Arial"/>
                <w:sz w:val="14"/>
                <w:szCs w:val="14"/>
                <w:color w:val="auto"/>
                <w:w w:val="99"/>
              </w:rPr>
              <w:t>Preferred shares, Series A-1</w:t>
            </w:r>
          </w:p>
        </w:tc>
        <w:tc>
          <w:tcPr>
            <w:tcW w:w="100" w:type="dxa"/>
            <w:vAlign w:val="bottom"/>
          </w:tcPr>
          <w:p>
            <w:pPr>
              <w:spacing w:after="0"/>
              <w:rPr>
                <w:sz w:val="12"/>
                <w:szCs w:val="12"/>
                <w:color w:val="auto"/>
              </w:rPr>
            </w:pPr>
          </w:p>
        </w:tc>
        <w:tc>
          <w:tcPr>
            <w:tcW w:w="62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133,978</w:t>
            </w:r>
          </w:p>
        </w:tc>
        <w:tc>
          <w:tcPr>
            <w:tcW w:w="80" w:type="dxa"/>
            <w:vAlign w:val="bottom"/>
          </w:tcPr>
          <w:p>
            <w:pPr>
              <w:spacing w:after="0"/>
              <w:rPr>
                <w:sz w:val="12"/>
                <w:szCs w:val="12"/>
                <w:color w:val="auto"/>
              </w:rPr>
            </w:pPr>
          </w:p>
        </w:tc>
        <w:tc>
          <w:tcPr>
            <w:tcW w:w="84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(133,978)</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1820" w:type="dxa"/>
            <w:vAlign w:val="bottom"/>
            <w:tcBorders>
              <w:righ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191,993</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(191,993)</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820" w:type="dxa"/>
            <w:vAlign w:val="bottom"/>
            <w:gridSpan w:val="10"/>
          </w:tcPr>
          <w:p>
            <w:pPr>
              <w:ind w:left="20"/>
              <w:spacing w:after="0" w:line="130" w:lineRule="exact"/>
              <w:rPr>
                <w:sz w:val="20"/>
                <w:szCs w:val="20"/>
                <w:color w:val="auto"/>
              </w:rPr>
            </w:pPr>
            <w:r>
              <w:rPr>
                <w:rFonts w:ascii="Arial" w:cs="Arial" w:eastAsia="Arial" w:hAnsi="Arial"/>
                <w:sz w:val="14"/>
                <w:szCs w:val="14"/>
                <w:color w:val="auto"/>
                <w:w w:val="99"/>
              </w:rPr>
              <w:t>Preferred warrants Series A,</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$1.00 Strike Price,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8"/>
          </w:tcPr>
          <w:p>
            <w:pPr>
              <w:spacing w:after="0"/>
              <w:rPr>
                <w:sz w:val="20"/>
                <w:szCs w:val="20"/>
                <w:color w:val="auto"/>
              </w:rPr>
            </w:pPr>
            <w:r>
              <w:rPr>
                <w:rFonts w:ascii="Arial" w:cs="Arial" w:eastAsia="Arial" w:hAnsi="Arial"/>
                <w:sz w:val="14"/>
                <w:szCs w:val="14"/>
                <w:color w:val="auto"/>
              </w:rPr>
              <w:t>Expiration Date 1/9/2017</w:t>
            </w:r>
          </w:p>
        </w:tc>
        <w:tc>
          <w:tcPr>
            <w:tcW w:w="10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820" w:type="dxa"/>
            <w:vAlign w:val="bottom"/>
            <w:tcBorders>
              <w:right w:val="single" w:sz="8" w:color="CCEEFF"/>
            </w:tcBorders>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2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62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84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9"/>
              </w:rPr>
              <w:t>3,000,000</w:t>
            </w:r>
          </w:p>
        </w:tc>
      </w:tr>
      <w:tr>
        <w:trPr>
          <w:trHeight w:val="149"/>
        </w:trPr>
        <w:tc>
          <w:tcPr>
            <w:tcW w:w="1820" w:type="dxa"/>
            <w:vAlign w:val="bottom"/>
            <w:tcBorders>
              <w:righ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1,500,000</w:t>
            </w:r>
          </w:p>
        </w:tc>
      </w:tr>
      <w:tr>
        <w:trPr>
          <w:trHeight w:val="135"/>
        </w:trPr>
        <w:tc>
          <w:tcPr>
            <w:tcW w:w="182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Circle Media (f/k/a S3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9"/>
              </w:rPr>
              <w:t>Digital Corp. (d/b/a</w:t>
            </w:r>
          </w:p>
        </w:tc>
        <w:tc>
          <w:tcPr>
            <w:tcW w:w="46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S3i))</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23"/>
        </w:trPr>
        <w:tc>
          <w:tcPr>
            <w:tcW w:w="1820" w:type="dxa"/>
            <w:vAlign w:val="bottom"/>
            <w:tcBorders>
              <w:right w:val="single" w:sz="8" w:color="CCEEFF"/>
            </w:tcBorders>
            <w:gridSpan w:val="10"/>
            <w:shd w:val="clear" w:color="auto" w:fill="CCEEFF"/>
          </w:tcPr>
          <w:p>
            <w:pPr>
              <w:ind w:left="20"/>
              <w:spacing w:after="0" w:line="123" w:lineRule="exact"/>
              <w:rPr>
                <w:sz w:val="20"/>
                <w:szCs w:val="20"/>
                <w:color w:val="auto"/>
              </w:rPr>
            </w:pPr>
            <w:r>
              <w:rPr>
                <w:rFonts w:ascii="Arial" w:cs="Arial" w:eastAsia="Arial" w:hAnsi="Arial"/>
                <w:sz w:val="14"/>
                <w:szCs w:val="14"/>
                <w:color w:val="auto"/>
              </w:rPr>
              <w:t>Promissory Note, 12%,</w:t>
            </w: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r>
      <w:tr>
        <w:trPr>
          <w:trHeight w:val="167"/>
        </w:trPr>
        <w:tc>
          <w:tcPr>
            <w:tcW w:w="136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4"/>
                <w:szCs w:val="14"/>
                <w:color w:val="auto"/>
              </w:rPr>
              <w:t>11/17/2017***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3,304</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736</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26,544</w:t>
            </w:r>
          </w:p>
        </w:tc>
      </w:tr>
      <w:tr>
        <w:trPr>
          <w:trHeight w:val="149"/>
        </w:trPr>
        <w:tc>
          <w:tcPr>
            <w:tcW w:w="182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62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1,156,175</w:t>
            </w:r>
          </w:p>
        </w:tc>
        <w:tc>
          <w:tcPr>
            <w:tcW w:w="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(671,406)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484,769</w:t>
            </w:r>
          </w:p>
        </w:tc>
      </w:tr>
      <w:tr>
        <w:trPr>
          <w:trHeight w:val="130"/>
        </w:trPr>
        <w:tc>
          <w:tcPr>
            <w:tcW w:w="1820" w:type="dxa"/>
            <w:vAlign w:val="bottom"/>
            <w:tcBorders>
              <w:right w:val="single" w:sz="8" w:color="CCEEFF"/>
            </w:tcBorders>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$1.17 Strike Price,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67"/>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11/18/2022</w:t>
            </w:r>
          </w:p>
        </w:tc>
        <w:tc>
          <w:tcPr>
            <w:tcW w:w="4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2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$1.17 Strike Price,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7"/>
        </w:trPr>
        <w:tc>
          <w:tcPr>
            <w:tcW w:w="960" w:type="dxa"/>
            <w:vAlign w:val="bottom"/>
            <w:gridSpan w:val="4"/>
          </w:tcPr>
          <w:p>
            <w:pPr>
              <w:ind w:left="200"/>
              <w:spacing w:after="0"/>
              <w:rPr>
                <w:sz w:val="20"/>
                <w:szCs w:val="20"/>
                <w:color w:val="auto"/>
              </w:rPr>
            </w:pPr>
            <w:r>
              <w:rPr>
                <w:rFonts w:ascii="Arial" w:cs="Arial" w:eastAsia="Arial" w:hAnsi="Arial"/>
                <w:sz w:val="14"/>
                <w:szCs w:val="14"/>
                <w:color w:val="auto"/>
              </w:rPr>
              <w:t>8/29/2021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14,065</w:t>
            </w:r>
          </w:p>
        </w:tc>
        <w:tc>
          <w:tcPr>
            <w:tcW w:w="8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(14,065)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20" w:type="dxa"/>
            <w:vAlign w:val="bottom"/>
            <w:tcBorders>
              <w:right w:val="single" w:sz="8" w:color="CCEEFF"/>
            </w:tcBorders>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$1.17 Strike Price,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67"/>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6/26/2021</w:t>
            </w:r>
          </w:p>
        </w:tc>
        <w:tc>
          <w:tcPr>
            <w:tcW w:w="4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3,088</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2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$1.17 Strike Price,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7"/>
        </w:trPr>
        <w:tc>
          <w:tcPr>
            <w:tcW w:w="960" w:type="dxa"/>
            <w:vAlign w:val="bottom"/>
            <w:gridSpan w:val="4"/>
          </w:tcPr>
          <w:p>
            <w:pPr>
              <w:ind w:left="200"/>
              <w:spacing w:after="0"/>
              <w:rPr>
                <w:sz w:val="20"/>
                <w:szCs w:val="20"/>
                <w:color w:val="auto"/>
              </w:rPr>
            </w:pPr>
            <w:r>
              <w:rPr>
                <w:rFonts w:ascii="Arial" w:cs="Arial" w:eastAsia="Arial" w:hAnsi="Arial"/>
                <w:sz w:val="14"/>
                <w:szCs w:val="14"/>
                <w:color w:val="auto"/>
              </w:rPr>
              <w:t>9/30/2020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12,864</w:t>
            </w:r>
          </w:p>
        </w:tc>
        <w:tc>
          <w:tcPr>
            <w:tcW w:w="8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(12,864)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20" w:type="dxa"/>
            <w:vAlign w:val="bottom"/>
            <w:tcBorders>
              <w:right w:val="single" w:sz="8" w:color="CCEEFF"/>
            </w:tcBorders>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$1.00 Strike Price,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67"/>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11/21/2017</w:t>
            </w:r>
          </w:p>
        </w:tc>
        <w:tc>
          <w:tcPr>
            <w:tcW w:w="4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5"/>
        </w:trPr>
        <w:tc>
          <w:tcPr>
            <w:tcW w:w="182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23"/>
        </w:trPr>
        <w:tc>
          <w:tcPr>
            <w:tcW w:w="1820" w:type="dxa"/>
            <w:vAlign w:val="bottom"/>
            <w:tcBorders>
              <w:right w:val="single" w:sz="8" w:color="CCEEFF"/>
            </w:tcBorders>
            <w:gridSpan w:val="10"/>
            <w:shd w:val="clear" w:color="auto" w:fill="CCEEFF"/>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tcBorders>
              <w:right w:val="single" w:sz="8" w:color="CCEEFF"/>
            </w:tcBorders>
            <w:gridSpan w:val="8"/>
            <w:shd w:val="clear" w:color="auto" w:fill="CCEEFF"/>
          </w:tcPr>
          <w:p>
            <w:pPr>
              <w:spacing w:after="0" w:line="149" w:lineRule="exact"/>
              <w:rPr>
                <w:sz w:val="20"/>
                <w:szCs w:val="20"/>
                <w:color w:val="auto"/>
              </w:rPr>
            </w:pPr>
            <w:r>
              <w:rPr>
                <w:rFonts w:ascii="Arial" w:cs="Arial" w:eastAsia="Arial" w:hAnsi="Arial"/>
                <w:sz w:val="14"/>
                <w:szCs w:val="14"/>
                <w:color w:val="auto"/>
              </w:rPr>
              <w:t>Convertible Promissory</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r>
      <w:tr>
        <w:trPr>
          <w:trHeight w:val="158"/>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tcBorders>
              <w:right w:val="single" w:sz="8" w:color="CCEEFF"/>
            </w:tcBorders>
            <w:gridSpan w:val="8"/>
            <w:shd w:val="clear" w:color="auto" w:fill="CCEEFF"/>
          </w:tcPr>
          <w:p>
            <w:pPr>
              <w:spacing w:after="0" w:line="159" w:lineRule="exact"/>
              <w:rPr>
                <w:sz w:val="20"/>
                <w:szCs w:val="20"/>
                <w:color w:val="auto"/>
              </w:rPr>
            </w:pPr>
            <w:r>
              <w:rPr>
                <w:rFonts w:ascii="Arial" w:cs="Arial" w:eastAsia="Arial" w:hAnsi="Arial"/>
                <w:sz w:val="14"/>
                <w:szCs w:val="14"/>
                <w:color w:val="auto"/>
              </w:rPr>
              <w:t>Note 8% Due</w:t>
            </w: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98"/>
        </w:trPr>
        <w:tc>
          <w:tcPr>
            <w:tcW w:w="1360" w:type="dxa"/>
            <w:vAlign w:val="bottom"/>
            <w:tcBorders>
              <w:right w:val="single" w:sz="8" w:color="CCEEFF"/>
            </w:tcBorders>
            <w:gridSpan w:val="5"/>
            <w:shd w:val="clear" w:color="auto" w:fill="CCEEFF"/>
          </w:tcPr>
          <w:p>
            <w:pPr>
              <w:ind w:left="200"/>
              <w:spacing w:after="0" w:line="198" w:lineRule="exact"/>
              <w:rPr>
                <w:sz w:val="20"/>
                <w:szCs w:val="20"/>
                <w:color w:val="auto"/>
              </w:rPr>
            </w:pPr>
            <w:r>
              <w:rPr>
                <w:rFonts w:ascii="Arial" w:cs="Arial" w:eastAsia="Arial" w:hAnsi="Arial"/>
                <w:sz w:val="14"/>
                <w:szCs w:val="14"/>
                <w:color w:val="auto"/>
              </w:rPr>
              <w:t>11/26/2018***</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87,318</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1,080,000</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86,400</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1,166,400</w:t>
            </w:r>
          </w:p>
        </w:tc>
      </w:tr>
      <w:tr>
        <w:trPr>
          <w:trHeight w:val="130"/>
        </w:trPr>
        <w:tc>
          <w:tcPr>
            <w:tcW w:w="1820" w:type="dxa"/>
            <w:vAlign w:val="bottom"/>
            <w:gridSpan w:val="10"/>
          </w:tcPr>
          <w:p>
            <w:pPr>
              <w:ind w:left="20"/>
              <w:spacing w:after="0" w:line="130" w:lineRule="exact"/>
              <w:rPr>
                <w:sz w:val="20"/>
                <w:szCs w:val="20"/>
                <w:color w:val="auto"/>
              </w:rPr>
            </w:pPr>
            <w:r>
              <w:rPr>
                <w:rFonts w:ascii="Arial" w:cs="Arial" w:eastAsia="Arial" w:hAnsi="Arial"/>
                <w:sz w:val="14"/>
                <w:szCs w:val="14"/>
                <w:color w:val="auto"/>
                <w:w w:val="97"/>
              </w:rPr>
              <w:t>Convertible preferred shares,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8"/>
          </w:tcPr>
          <w:p>
            <w:pPr>
              <w:spacing w:after="0"/>
              <w:rPr>
                <w:sz w:val="20"/>
                <w:szCs w:val="20"/>
                <w:color w:val="auto"/>
              </w:rPr>
            </w:pPr>
            <w:r>
              <w:rPr>
                <w:rFonts w:ascii="Arial" w:cs="Arial" w:eastAsia="Arial" w:hAnsi="Arial"/>
                <w:sz w:val="14"/>
                <w:szCs w:val="14"/>
                <w:color w:val="auto"/>
              </w:rPr>
              <w:t>Series D</w:t>
            </w:r>
          </w:p>
        </w:tc>
        <w:tc>
          <w:tcPr>
            <w:tcW w:w="10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775,861</w:t>
            </w:r>
          </w:p>
        </w:tc>
        <w:tc>
          <w:tcPr>
            <w:tcW w:w="8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20" w:type="dxa"/>
            <w:vAlign w:val="bottom"/>
            <w:tcBorders>
              <w:right w:val="single" w:sz="8" w:color="CCEEFF"/>
            </w:tcBorders>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Convertible preferred shares,</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rPr>
              <w:t>Series C</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1,959,127</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(45,643)</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1,913,484</w:t>
            </w:r>
          </w:p>
        </w:tc>
      </w:tr>
      <w:tr>
        <w:trPr>
          <w:trHeight w:val="130"/>
        </w:trPr>
        <w:tc>
          <w:tcPr>
            <w:tcW w:w="182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$4.59 Strike Price,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spacing w:after="0" w:line="149" w:lineRule="exact"/>
              <w:rPr>
                <w:sz w:val="20"/>
                <w:szCs w:val="20"/>
                <w:color w:val="auto"/>
              </w:rPr>
            </w:pPr>
            <w:r>
              <w:rPr>
                <w:rFonts w:ascii="Arial" w:cs="Arial" w:eastAsia="Arial" w:hAnsi="Arial"/>
                <w:sz w:val="14"/>
                <w:szCs w:val="14"/>
                <w:color w:val="auto"/>
              </w:rPr>
              <w:t>Expiration Date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960" w:type="dxa"/>
            <w:vAlign w:val="bottom"/>
            <w:gridSpan w:val="4"/>
          </w:tcPr>
          <w:p>
            <w:pPr>
              <w:ind w:left="200"/>
              <w:spacing w:after="0"/>
              <w:rPr>
                <w:sz w:val="20"/>
                <w:szCs w:val="20"/>
                <w:color w:val="auto"/>
              </w:rPr>
            </w:pPr>
            <w:r>
              <w:rPr>
                <w:rFonts w:ascii="Arial" w:cs="Arial" w:eastAsia="Arial" w:hAnsi="Arial"/>
                <w:sz w:val="14"/>
                <w:szCs w:val="14"/>
                <w:color w:val="auto"/>
              </w:rPr>
              <w:t>2/25/2018</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10,142</w:t>
            </w:r>
          </w:p>
        </w:tc>
        <w:tc>
          <w:tcPr>
            <w:tcW w:w="8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(5,747)</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-4631055</wp:posOffset>
            </wp:positionV>
            <wp:extent cx="5213985"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color w:val="auto"/>
        </w:rPr>
        <w:t>Schedule of Investments in and Advances to Affiliates 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Transfer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of Interest,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1"/>
              </w:rPr>
              <w:t>from Control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2"/>
              </w:rPr>
              <w:t>Fees 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0"/>
              </w:rPr>
              <w:t>Fair Value at</w:t>
            </w: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Dividends</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To Non-Control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72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w w:val="98"/>
              </w:rPr>
              <w:t>December</w:t>
            </w:r>
          </w:p>
        </w:tc>
      </w:tr>
      <w:tr>
        <w:trPr>
          <w:trHeight w:val="135"/>
        </w:trPr>
        <w:tc>
          <w:tcPr>
            <w:tcW w:w="1760" w:type="dxa"/>
            <w:vAlign w:val="bottom"/>
            <w:gridSpan w:val="10"/>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/Non-Affiliate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3"/>
                <w:szCs w:val="13"/>
                <w:b w:val="1"/>
                <w:bCs w:val="1"/>
                <w:color w:val="auto"/>
                <w:w w:val="99"/>
              </w:rPr>
              <w:t>Corporate</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0" w:type="dxa"/>
            <w:vAlign w:val="bottom"/>
            <w:gridSpan w:val="2"/>
          </w:tcPr>
          <w:p>
            <w:pPr>
              <w:jc w:val="right"/>
              <w:ind w:right="209"/>
              <w:spacing w:after="0" w:line="135" w:lineRule="exact"/>
              <w:rPr>
                <w:sz w:val="20"/>
                <w:szCs w:val="20"/>
                <w:color w:val="auto"/>
              </w:rPr>
            </w:pPr>
            <w:r>
              <w:rPr>
                <w:rFonts w:ascii="Arial" w:cs="Arial" w:eastAsia="Arial" w:hAnsi="Arial"/>
                <w:sz w:val="13"/>
                <w:szCs w:val="13"/>
                <w:b w:val="1"/>
                <w:bCs w:val="1"/>
                <w:color w:val="auto"/>
              </w:rPr>
              <w:t>31,</w:t>
            </w:r>
          </w:p>
        </w:tc>
      </w:tr>
      <w:tr>
        <w:trPr>
          <w:trHeight w:val="153"/>
        </w:trPr>
        <w:tc>
          <w:tcPr>
            <w:tcW w:w="1760" w:type="dxa"/>
            <w:vAlign w:val="bottom"/>
            <w:gridSpan w:val="10"/>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60" w:type="dxa"/>
            <w:vAlign w:val="bottom"/>
            <w:gridSpan w:val="2"/>
          </w:tcPr>
          <w:p>
            <w:pPr>
              <w:jc w:val="center"/>
              <w:ind w:left="8"/>
              <w:spacing w:after="0"/>
              <w:rPr>
                <w:sz w:val="20"/>
                <w:szCs w:val="20"/>
                <w:color w:val="auto"/>
              </w:rPr>
            </w:pPr>
            <w:r>
              <w:rPr>
                <w:rFonts w:ascii="Arial" w:cs="Arial" w:eastAsia="Arial" w:hAnsi="Arial"/>
                <w:sz w:val="13"/>
                <w:szCs w:val="13"/>
                <w:b w:val="1"/>
                <w:bCs w:val="1"/>
                <w:color w:val="auto"/>
                <w:w w:val="89"/>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Action</w:t>
            </w:r>
          </w:p>
        </w:tc>
        <w:tc>
          <w:tcPr>
            <w:tcW w:w="6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3"/>
                <w:szCs w:val="13"/>
                <w:b w:val="1"/>
                <w:bCs w:val="1"/>
                <w:color w:val="auto"/>
                <w:w w:val="91"/>
              </w:rPr>
              <w:t>Purchases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rPr>
              <w:t>Sales</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2016</w:t>
            </w:r>
          </w:p>
        </w:tc>
      </w:tr>
      <w:tr>
        <w:trPr>
          <w:trHeight w:val="129"/>
        </w:trPr>
        <w:tc>
          <w:tcPr>
            <w:tcW w:w="1760" w:type="dxa"/>
            <w:vAlign w:val="bottom"/>
            <w:tcBorders>
              <w:top w:val="single" w:sz="8" w:color="auto"/>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42"/>
        </w:trPr>
        <w:tc>
          <w:tcPr>
            <w:tcW w:w="1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$ 9,996,311</w:t>
            </w:r>
          </w:p>
        </w:tc>
        <w:tc>
          <w:tcPr>
            <w:tcW w:w="1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ind w:left="3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$2,000,003</w:t>
            </w:r>
          </w:p>
        </w:tc>
        <w:tc>
          <w:tcPr>
            <w:tcW w:w="2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0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8"/>
              </w:rPr>
              <w:t>$ (2,011,360)</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$9,984,954</w:t>
            </w:r>
          </w:p>
        </w:tc>
      </w:tr>
      <w:tr>
        <w:trPr>
          <w:trHeight w:val="135"/>
        </w:trPr>
        <w:tc>
          <w:tcPr>
            <w:tcW w:w="1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23"/>
        </w:trPr>
        <w:tc>
          <w:tcPr>
            <w:tcW w:w="1760" w:type="dxa"/>
            <w:vAlign w:val="bottom"/>
            <w:gridSpan w:val="10"/>
          </w:tcPr>
          <w:p>
            <w:pPr>
              <w:ind w:left="20"/>
              <w:spacing w:after="0" w:line="123" w:lineRule="exact"/>
              <w:rPr>
                <w:sz w:val="20"/>
                <w:szCs w:val="20"/>
                <w:color w:val="auto"/>
              </w:rPr>
            </w:pPr>
            <w:r>
              <w:rPr>
                <w:rFonts w:ascii="Arial" w:cs="Arial" w:eastAsia="Arial" w:hAnsi="Arial"/>
                <w:sz w:val="14"/>
                <w:szCs w:val="14"/>
                <w:color w:val="auto"/>
                <w:w w:val="96"/>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740" w:type="dxa"/>
            <w:vAlign w:val="bottom"/>
            <w:gridSpan w:val="9"/>
          </w:tcPr>
          <w:p>
            <w:pPr>
              <w:ind w:left="180"/>
              <w:spacing w:after="0"/>
              <w:rPr>
                <w:sz w:val="20"/>
                <w:szCs w:val="20"/>
                <w:color w:val="auto"/>
              </w:rPr>
            </w:pPr>
            <w:r>
              <w:rPr>
                <w:rFonts w:ascii="Arial" w:cs="Arial" w:eastAsia="Arial" w:hAnsi="Arial"/>
                <w:sz w:val="14"/>
                <w:szCs w:val="14"/>
                <w:color w:val="auto"/>
              </w:rPr>
              <w:t>9% Due 6/30/2017***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w w:val="90"/>
              </w:rPr>
              <w:t>120,523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120,658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3"/>
              <w:spacing w:after="0"/>
              <w:rPr>
                <w:sz w:val="20"/>
                <w:szCs w:val="20"/>
                <w:color w:val="auto"/>
              </w:rPr>
            </w:pPr>
            <w:r>
              <w:rPr>
                <w:rFonts w:ascii="Arial" w:cs="Arial" w:eastAsia="Arial" w:hAnsi="Arial"/>
                <w:sz w:val="14"/>
                <w:szCs w:val="14"/>
                <w:color w:val="auto"/>
              </w:rPr>
              <w:t>706,362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2,827,020</w:t>
            </w:r>
          </w:p>
        </w:tc>
      </w:tr>
      <w:tr>
        <w:trPr>
          <w:trHeight w:val="149"/>
        </w:trPr>
        <w:tc>
          <w:tcPr>
            <w:tcW w:w="1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(5,213,345)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4,786,654</w:t>
            </w:r>
          </w:p>
        </w:tc>
      </w:tr>
      <w:tr>
        <w:trPr>
          <w:trHeight w:val="135"/>
        </w:trPr>
        <w:tc>
          <w:tcPr>
            <w:tcW w:w="176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2"/>
        </w:trPr>
        <w:tc>
          <w:tcPr>
            <w:tcW w:w="176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r>
      <w:tr>
        <w:trPr>
          <w:trHeight w:val="149"/>
        </w:trPr>
        <w:tc>
          <w:tcPr>
            <w:tcW w:w="176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63,427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588,294</w:t>
            </w:r>
          </w:p>
        </w:tc>
      </w:tr>
      <w:tr>
        <w:trPr>
          <w:trHeight w:val="176"/>
        </w:trPr>
        <w:tc>
          <w:tcPr>
            <w:tcW w:w="176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Fullbridge, Inc.</w:t>
            </w:r>
            <w:r>
              <w:rPr>
                <w:rFonts w:ascii="Arial" w:cs="Arial" w:eastAsia="Arial" w:hAnsi="Arial"/>
                <w:sz w:val="20"/>
                <w:szCs w:val="20"/>
                <w:b w:val="1"/>
                <w:bCs w:val="1"/>
                <w:color w:val="auto"/>
                <w:vertAlign w:val="superscript"/>
              </w:rPr>
              <w:t>(6)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23"/>
        </w:trPr>
        <w:tc>
          <w:tcPr>
            <w:tcW w:w="1760" w:type="dxa"/>
            <w:vAlign w:val="bottom"/>
            <w:gridSpan w:val="10"/>
          </w:tcPr>
          <w:p>
            <w:pPr>
              <w:ind w:left="20"/>
              <w:spacing w:after="0" w:line="123" w:lineRule="exact"/>
              <w:rPr>
                <w:sz w:val="20"/>
                <w:szCs w:val="20"/>
                <w:color w:val="auto"/>
              </w:rPr>
            </w:pPr>
            <w:r>
              <w:rPr>
                <w:rFonts w:ascii="Arial" w:cs="Arial" w:eastAsia="Arial" w:hAnsi="Arial"/>
                <w:sz w:val="14"/>
                <w:szCs w:val="14"/>
                <w:color w:val="auto"/>
                <w:w w:val="94"/>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740" w:type="dxa"/>
            <w:vAlign w:val="bottom"/>
            <w:gridSpan w:val="9"/>
          </w:tcPr>
          <w:p>
            <w:pPr>
              <w:ind w:left="180"/>
              <w:spacing w:after="0"/>
              <w:rPr>
                <w:sz w:val="20"/>
                <w:szCs w:val="20"/>
                <w:color w:val="auto"/>
              </w:rPr>
            </w:pPr>
            <w:r>
              <w:rPr>
                <w:rFonts w:ascii="Arial" w:cs="Arial" w:eastAsia="Arial" w:hAnsi="Arial"/>
                <w:sz w:val="14"/>
                <w:szCs w:val="14"/>
                <w:color w:val="auto"/>
              </w:rPr>
              <w:t>10% Due 3/2/2016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(85,829)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1,020,859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(354,075)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(667,184)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Convertible Promissory Note,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10% Due 3/14/2017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(935,849)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(64,151)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(3,112,754)</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40" w:type="dxa"/>
            <w:vAlign w:val="bottom"/>
            <w:gridSpan w:val="9"/>
          </w:tcPr>
          <w:p>
            <w:pPr>
              <w:ind w:left="180"/>
              <w:spacing w:after="0"/>
              <w:rPr>
                <w:sz w:val="20"/>
                <w:szCs w:val="20"/>
                <w:color w:val="auto"/>
              </w:rPr>
            </w:pPr>
            <w:r>
              <w:rPr>
                <w:rFonts w:ascii="Arial" w:cs="Arial" w:eastAsia="Arial" w:hAnsi="Arial"/>
                <w:sz w:val="14"/>
                <w:szCs w:val="14"/>
                <w:color w:val="auto"/>
                <w:w w:val="99"/>
              </w:rPr>
              <w:t>Expiration Date 3/2/2020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9"/>
            <w:shd w:val="clear" w:color="auto" w:fill="CCEEFF"/>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9"/>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w w:val="99"/>
              </w:rPr>
              <w:t>3/22/2020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9"/>
              </w:rPr>
              <w:t>5/16/2019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9"/>
            <w:shd w:val="clear" w:color="auto" w:fill="CCEEFF"/>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74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w w:val="99"/>
              </w:rPr>
              <w:t>Expiration Date 4/3/2019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88"/>
              </w:rPr>
              <w:t>10/10/2018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9"/>
            <w:shd w:val="clear" w:color="auto" w:fill="CCEEFF"/>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740" w:type="dxa"/>
            <w:vAlign w:val="bottom"/>
            <w:gridSpan w:val="9"/>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w w:val="88"/>
              </w:rPr>
              <w:t>12/11/2018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76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$0.91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gridSpan w:val="9"/>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9"/>
              </w:rPr>
              <w:t>2/18/2019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5"/>
        </w:trPr>
        <w:tc>
          <w:tcPr>
            <w:tcW w:w="1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6"/>
              </w:rPr>
              <w:t>Global Education Learning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(Holdings) Ltd.**</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42"/>
        </w:trPr>
        <w:tc>
          <w:tcPr>
            <w:tcW w:w="1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76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r>
        <w:trPr>
          <w:trHeight w:val="142"/>
        </w:trPr>
        <w:tc>
          <w:tcPr>
            <w:tcW w:w="176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13"/>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76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(25,928)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223,763</w:t>
            </w:r>
          </w:p>
        </w:tc>
      </w:tr>
      <w:tr>
        <w:trPr>
          <w:trHeight w:val="135"/>
        </w:trPr>
        <w:tc>
          <w:tcPr>
            <w:tcW w:w="176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580" w:type="dxa"/>
            <w:vAlign w:val="bottom"/>
            <w:tcBorders>
              <w:top w:val="single" w:sz="8" w:color="auto"/>
            </w:tcBorders>
            <w:gridSpan w:val="7"/>
          </w:tcPr>
          <w:p>
            <w:pPr>
              <w:ind w:left="180"/>
              <w:spacing w:after="0" w:line="169" w:lineRule="exact"/>
              <w:rPr>
                <w:sz w:val="20"/>
                <w:szCs w:val="20"/>
                <w:color w:val="auto"/>
              </w:rPr>
            </w:pPr>
            <w:r>
              <w:rPr>
                <w:rFonts w:ascii="Arial" w:cs="Arial" w:eastAsia="Arial" w:hAnsi="Arial"/>
                <w:sz w:val="12"/>
                <w:szCs w:val="12"/>
                <w:b w:val="1"/>
                <w:bCs w:val="1"/>
                <w:color w:val="auto"/>
              </w:rPr>
              <w:t>Learnist Inc.)</w:t>
            </w:r>
            <w:r>
              <w:rPr>
                <w:rFonts w:ascii="Arial" w:cs="Arial" w:eastAsia="Arial" w:hAnsi="Arial"/>
                <w:sz w:val="19"/>
                <w:szCs w:val="19"/>
                <w:b w:val="1"/>
                <w:bCs w:val="1"/>
                <w:color w:val="auto"/>
                <w:vertAlign w:val="superscript"/>
              </w:rPr>
              <w:t>(4)</w:t>
            </w:r>
          </w:p>
        </w:tc>
        <w:tc>
          <w:tcPr>
            <w:tcW w:w="1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2"/>
        </w:trPr>
        <w:tc>
          <w:tcPr>
            <w:tcW w:w="176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4,364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(4,364)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Schedule of Investments in and Advances to Affiliates as of December 31, 2016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1796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of Interest,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86"/>
              </w:rPr>
              <w:t>Fees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Investment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Dividends</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9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To Non-Control</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2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Credited in</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9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/Non-Affiliate</w:t>
            </w:r>
          </w:p>
        </w:tc>
        <w:tc>
          <w:tcPr>
            <w:tcW w:w="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Corporate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2"/>
              </w:rPr>
              <w:t>December 31,</w:t>
            </w:r>
          </w:p>
        </w:tc>
      </w:tr>
      <w:tr>
        <w:trPr>
          <w:trHeight w:val="153"/>
        </w:trPr>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0"/>
              </w:rPr>
              <w:t>Investment</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4"/>
              </w:rPr>
              <w:t>Purchases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2016</w:t>
            </w:r>
          </w:p>
        </w:tc>
      </w:tr>
      <w:tr>
        <w:trPr>
          <w:trHeight w:val="129"/>
        </w:trPr>
        <w:tc>
          <w:tcPr>
            <w:tcW w:w="1820" w:type="dxa"/>
            <w:vAlign w:val="bottom"/>
            <w:tcBorders>
              <w:right w:val="single" w:sz="8" w:color="CCEEFF"/>
            </w:tcBorders>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Ozy Media, Inc.</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82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Convertible Promissory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80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Note 5%, Due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8"/>
        </w:trPr>
        <w:tc>
          <w:tcPr>
            <w:tcW w:w="1060" w:type="dxa"/>
            <w:vAlign w:val="bottom"/>
            <w:gridSpan w:val="4"/>
          </w:tcPr>
          <w:p>
            <w:pPr>
              <w:ind w:left="200"/>
              <w:spacing w:after="0" w:line="198" w:lineRule="exact"/>
              <w:rPr>
                <w:sz w:val="20"/>
                <w:szCs w:val="20"/>
                <w:color w:val="auto"/>
              </w:rPr>
            </w:pPr>
            <w:r>
              <w:rPr>
                <w:rFonts w:ascii="Arial" w:cs="Arial" w:eastAsia="Arial" w:hAnsi="Arial"/>
                <w:sz w:val="14"/>
                <w:szCs w:val="14"/>
                <w:color w:val="auto"/>
                <w:w w:val="94"/>
              </w:rPr>
              <w:t>02/28/2018</w:t>
            </w:r>
            <w:r>
              <w:rPr>
                <w:rFonts w:ascii="Arial" w:cs="Arial" w:eastAsia="Arial" w:hAnsi="Arial"/>
                <w:sz w:val="22"/>
                <w:szCs w:val="22"/>
                <w:color w:val="auto"/>
                <w:w w:val="94"/>
                <w:vertAlign w:val="superscript"/>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33,700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w w:val="94"/>
              </w:rPr>
              <w:t>$2,000,000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2,000,000</w:t>
            </w:r>
          </w:p>
        </w:tc>
      </w:tr>
      <w:tr>
        <w:trPr>
          <w:trHeight w:val="149"/>
        </w:trPr>
        <w:tc>
          <w:tcPr>
            <w:tcW w:w="1820" w:type="dxa"/>
            <w:vAlign w:val="bottom"/>
            <w:tcBorders>
              <w:right w:val="single" w:sz="8" w:color="CCEEFF"/>
            </w:tcBorders>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4,690,178</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4,999,999</w:t>
            </w:r>
          </w:p>
        </w:tc>
      </w:tr>
      <w:tr>
        <w:trPr>
          <w:trHeight w:val="149"/>
        </w:trPr>
        <w:tc>
          <w:tcPr>
            <w:tcW w:w="182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3,907,004</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(907,004)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3,000,000</w:t>
            </w:r>
          </w:p>
        </w:tc>
      </w:tr>
      <w:tr>
        <w:trPr>
          <w:trHeight w:val="130"/>
        </w:trPr>
        <w:tc>
          <w:tcPr>
            <w:tcW w:w="1820" w:type="dxa"/>
            <w:vAlign w:val="bottom"/>
            <w:tcBorders>
              <w:right w:val="single" w:sz="8" w:color="CCEEFF"/>
            </w:tcBorders>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shares, Series</w:t>
            </w: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00" w:type="dxa"/>
            <w:vAlign w:val="bottom"/>
            <w:tcBorders>
              <w:right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Seed</w:t>
            </w: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1,531,812</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(921,812)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610,000</w:t>
            </w:r>
          </w:p>
        </w:tc>
      </w:tr>
      <w:tr>
        <w:trPr>
          <w:trHeight w:val="176"/>
        </w:trPr>
        <w:tc>
          <w:tcPr>
            <w:tcW w:w="1820" w:type="dxa"/>
            <w:vAlign w:val="bottom"/>
            <w:gridSpan w:val="6"/>
          </w:tcPr>
          <w:p>
            <w:pPr>
              <w:ind w:left="20"/>
              <w:spacing w:after="0" w:line="176" w:lineRule="exact"/>
              <w:rPr>
                <w:sz w:val="20"/>
                <w:szCs w:val="20"/>
                <w:color w:val="auto"/>
              </w:rPr>
            </w:pPr>
            <w:r>
              <w:rPr>
                <w:rFonts w:ascii="Arial" w:cs="Arial" w:eastAsia="Arial" w:hAnsi="Arial"/>
                <w:sz w:val="13"/>
                <w:szCs w:val="13"/>
                <w:b w:val="1"/>
                <w:bCs w:val="1"/>
                <w:color w:val="auto"/>
              </w:rPr>
              <w:t>PayNearMe, Inc.</w:t>
            </w:r>
            <w:r>
              <w:rPr>
                <w:rFonts w:ascii="Arial" w:cs="Arial" w:eastAsia="Arial" w:hAnsi="Arial"/>
                <w:sz w:val="20"/>
                <w:szCs w:val="20"/>
                <w:b w:val="1"/>
                <w:bCs w:val="1"/>
                <w:color w:val="auto"/>
                <w:vertAlign w:val="superscript"/>
              </w:rPr>
              <w:t>(6)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2"/>
        </w:trPr>
        <w:tc>
          <w:tcPr>
            <w:tcW w:w="1820" w:type="dxa"/>
            <w:vAlign w:val="bottom"/>
            <w:tcBorders>
              <w:right w:val="single" w:sz="8" w:color="CCEEFF"/>
            </w:tcBorders>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w w:val="91"/>
              </w:rPr>
              <w:t>13,974,887</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3"/>
              </w:rPr>
              <w:t>(13,974,887)</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2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600" w:type="dxa"/>
            <w:vAlign w:val="bottom"/>
            <w:tcBorders>
              <w:top w:val="single" w:sz="8" w:color="auto"/>
            </w:tcBorders>
            <w:gridSpan w:val="4"/>
          </w:tcPr>
          <w:p>
            <w:pPr>
              <w:ind w:left="180"/>
              <w:spacing w:after="0" w:line="169" w:lineRule="exact"/>
              <w:rPr>
                <w:sz w:val="20"/>
                <w:szCs w:val="20"/>
                <w:color w:val="auto"/>
              </w:rPr>
            </w:pPr>
            <w:r>
              <w:rPr>
                <w:rFonts w:ascii="Arial" w:cs="Arial" w:eastAsia="Arial" w:hAnsi="Arial"/>
                <w:sz w:val="19"/>
                <w:szCs w:val="19"/>
                <w:b w:val="1"/>
                <w:bCs w:val="1"/>
                <w:color w:val="auto"/>
                <w:vertAlign w:val="subscript"/>
              </w:rPr>
              <w:t>LLC</w:t>
            </w:r>
            <w:r>
              <w:rPr>
                <w:rFonts w:ascii="Arial" w:cs="Arial" w:eastAsia="Arial" w:hAnsi="Arial"/>
                <w:sz w:val="10"/>
                <w:szCs w:val="10"/>
                <w:b w:val="1"/>
                <w:bCs w:val="1"/>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2"/>
        </w:trPr>
        <w:tc>
          <w:tcPr>
            <w:tcW w:w="1820" w:type="dxa"/>
            <w:vAlign w:val="bottom"/>
            <w:tcBorders>
              <w:right w:val="single" w:sz="8" w:color="CCEEFF"/>
            </w:tcBorders>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1,001,650</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1,050,905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2,052,555</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182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8"/>
              </w:rPr>
              <w:t>159,016</w:t>
            </w: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760" w:type="dxa"/>
            <w:vAlign w:val="bottom"/>
          </w:tcPr>
          <w:p>
            <w:pPr>
              <w:jc w:val="right"/>
              <w:ind w:right="29"/>
              <w:spacing w:after="0" w:line="142" w:lineRule="exact"/>
              <w:rPr>
                <w:sz w:val="20"/>
                <w:szCs w:val="20"/>
                <w:color w:val="auto"/>
              </w:rPr>
            </w:pPr>
            <w:r>
              <w:rPr>
                <w:rFonts w:ascii="Arial" w:cs="Arial" w:eastAsia="Arial" w:hAnsi="Arial"/>
                <w:sz w:val="14"/>
                <w:szCs w:val="14"/>
                <w:b w:val="1"/>
                <w:bCs w:val="1"/>
                <w:color w:val="auto"/>
                <w:w w:val="91"/>
              </w:rPr>
              <w:t>66,075,585</w:t>
            </w: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(15,269,175)</w:t>
            </w: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
              <w:spacing w:after="0" w:line="142"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5,209,757</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(13,571,477)</w:t>
            </w: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42,444,690</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99" w:hanging="272"/>
        <w:spacing w:after="0" w:line="264"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300" w:right="639" w:hanging="272"/>
        <w:spacing w:after="0" w:line="257"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 as amended.</w:t>
      </w:r>
    </w:p>
    <w:p>
      <w:pPr>
        <w:spacing w:after="0" w:line="80"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300" w:right="699" w:hanging="272"/>
        <w:spacing w:after="0" w:line="273" w:lineRule="auto"/>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GSV Capital Corp.’s ownership percentage in PayNearMe, Inc. and Fullbridge, Inc. decreased to below 5% and, as such, PayNearMe, Inc. and Fullbridge, Inc. are no longer classified as “affiliate investments” as of December 31, 2016. As such, the Company has reflected a “transfer out” of the “Affiliate Investment” category above as of December 31, 2016 to indicate that the investment in PayNearMe, Inc. and Fullbridge, Inc., while still held as of December 31, 2016, does not meet the criteria of an affiliate investment as defined in the Investment Company Act of 1940, as amended. Schedule 12-14 – Schedule of Investments in and Advances to Affiliates as of December 31, 2015</w:t>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Schedule of Investments in and Advances to Affiliates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2139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Transfer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1"/>
              </w:rPr>
              <w:t>from Control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or Dividends</w:t>
            </w:r>
          </w:p>
        </w:tc>
        <w:tc>
          <w:tcPr>
            <w:tcW w:w="6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204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Credited in</w:t>
            </w:r>
          </w:p>
        </w:tc>
        <w:tc>
          <w:tcPr>
            <w:tcW w:w="6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To Affiliate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and 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96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Sales</w:t>
            </w:r>
          </w:p>
        </w:tc>
        <w:tc>
          <w:tcPr>
            <w:tcW w:w="60" w:type="dxa"/>
            <w:vAlign w:val="bottom"/>
          </w:tcPr>
          <w:p>
            <w:pPr>
              <w:spacing w:after="0"/>
              <w:rPr>
                <w:sz w:val="13"/>
                <w:szCs w:val="13"/>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60" w:type="dxa"/>
            <w:vAlign w:val="bottom"/>
            <w:tcBorders>
              <w:bottom w:val="single" w:sz="8" w:color="auto"/>
            </w:tcBorders>
          </w:tcPr>
          <w:p>
            <w:pPr>
              <w:spacing w:after="0"/>
              <w:rPr>
                <w:sz w:val="13"/>
                <w:szCs w:val="13"/>
                <w:color w:val="auto"/>
              </w:rPr>
            </w:pPr>
          </w:p>
        </w:tc>
      </w:tr>
      <w:tr>
        <w:trPr>
          <w:trHeight w:val="129"/>
        </w:trPr>
        <w:tc>
          <w:tcPr>
            <w:tcW w:w="204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2040" w:type="dxa"/>
            <w:vAlign w:val="bottom"/>
            <w:gridSpan w:val="11"/>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629,309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(629,309)</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491,252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(491,252)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204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202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1/9/2017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204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4,338,830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260,888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4,599,718</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4,347,608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4,633,228</w:t>
            </w:r>
          </w:p>
        </w:tc>
      </w:tr>
      <w:tr>
        <w:trPr>
          <w:trHeight w:val="149"/>
        </w:trPr>
        <w:tc>
          <w:tcPr>
            <w:tcW w:w="204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391,592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518,000</w:t>
            </w:r>
          </w:p>
        </w:tc>
      </w:tr>
      <w:tr>
        <w:trPr>
          <w:trHeight w:val="135"/>
        </w:trPr>
        <w:tc>
          <w:tcPr>
            <w:tcW w:w="204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58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1,460,557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3,499,999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4,960,565</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1,503,832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229,572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204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265,980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4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204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D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9"/>
          </w:tcPr>
          <w:p>
            <w:pPr>
              <w:ind w:left="40"/>
              <w:spacing w:after="0" w:line="149" w:lineRule="exact"/>
              <w:rPr>
                <w:sz w:val="20"/>
                <w:szCs w:val="20"/>
                <w:color w:val="auto"/>
              </w:rPr>
            </w:pPr>
            <w:r>
              <w:rPr>
                <w:rFonts w:ascii="Arial" w:cs="Arial" w:eastAsia="Arial" w:hAnsi="Arial"/>
                <w:sz w:val="14"/>
                <w:szCs w:val="14"/>
                <w:color w:val="auto"/>
                <w:w w:val="98"/>
              </w:rPr>
              <w:t>$1.33 Strike Price, Expiration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020" w:type="dxa"/>
            <w:vAlign w:val="bottom"/>
            <w:gridSpan w:val="10"/>
          </w:tcPr>
          <w:p>
            <w:pPr>
              <w:ind w:left="180"/>
              <w:spacing w:after="0"/>
              <w:rPr>
                <w:sz w:val="20"/>
                <w:szCs w:val="20"/>
                <w:color w:val="auto"/>
              </w:rPr>
            </w:pPr>
            <w:r>
              <w:rPr>
                <w:rFonts w:ascii="Arial" w:cs="Arial" w:eastAsia="Arial" w:hAnsi="Arial"/>
                <w:sz w:val="14"/>
                <w:szCs w:val="14"/>
                <w:color w:val="auto"/>
              </w:rPr>
              <w:t>Date 10/6/2019</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r>
      <w:tr>
        <w:trPr>
          <w:trHeight w:val="130"/>
        </w:trPr>
        <w:tc>
          <w:tcPr>
            <w:tcW w:w="204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C –</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$1.33 Strike Price, Expiration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Date 4/9/2019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r>
      <w:tr>
        <w:trPr>
          <w:trHeight w:val="135"/>
        </w:trPr>
        <w:tc>
          <w:tcPr>
            <w:tcW w:w="204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SPBRX, INC. (f/k/a GSV</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540" w:type="dxa"/>
            <w:vAlign w:val="bottom"/>
            <w:tcBorders>
              <w:top w:val="single" w:sz="8" w:color="auto"/>
            </w:tcBorders>
            <w:gridSpan w:val="6"/>
          </w:tcPr>
          <w:p>
            <w:pPr>
              <w:ind w:left="180"/>
              <w:spacing w:after="0" w:line="129" w:lineRule="exact"/>
              <w:rPr>
                <w:sz w:val="20"/>
                <w:szCs w:val="20"/>
                <w:color w:val="auto"/>
              </w:rPr>
            </w:pPr>
            <w:r>
              <w:rPr>
                <w:rFonts w:ascii="Arial" w:cs="Arial" w:eastAsia="Arial" w:hAnsi="Arial"/>
                <w:sz w:val="14"/>
                <w:szCs w:val="14"/>
                <w:b w:val="1"/>
                <w:bCs w:val="1"/>
                <w:color w:val="auto"/>
                <w:w w:val="86"/>
              </w:rPr>
              <w:t>Sustainability Partners,</w:t>
            </w:r>
          </w:p>
        </w:tc>
        <w:tc>
          <w:tcPr>
            <w:tcW w:w="48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Inc.)</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4,850,000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2,300,156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(900,156)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6,250,000</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18,819,335</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(1,120,561)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5,800,155</w:t>
            </w:r>
          </w:p>
        </w:tc>
        <w:tc>
          <w:tcPr>
            <w:tcW w:w="2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(627,139)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22,871,790</w:t>
            </w:r>
          </w:p>
        </w:tc>
      </w:tr>
      <w:tr>
        <w:trPr>
          <w:trHeight w:val="129"/>
        </w:trPr>
        <w:tc>
          <w:tcPr>
            <w:tcW w:w="204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629,309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(437,316)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191,993</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491,252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(357,594)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133,978</w:t>
            </w:r>
          </w:p>
        </w:tc>
      </w:tr>
      <w:tr>
        <w:trPr>
          <w:trHeight w:val="130"/>
        </w:trPr>
        <w:tc>
          <w:tcPr>
            <w:tcW w:w="204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202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1/9/2017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204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04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204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204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2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04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1,705,006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293,558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(842,389)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1,156,175</w:t>
            </w:r>
          </w:p>
        </w:tc>
      </w:tr>
      <w:tr>
        <w:trPr>
          <w:trHeight w:val="130"/>
        </w:trPr>
        <w:tc>
          <w:tcPr>
            <w:tcW w:w="204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Term Loan, 12%,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110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09/30/2015***</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288,114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(292,798)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40"/>
        </w:trPr>
        <w:tc>
          <w:tcPr>
            <w:tcW w:w="2040" w:type="dxa"/>
            <w:vAlign w:val="bottom"/>
            <w:gridSpan w:val="11"/>
          </w:tcPr>
          <w:p>
            <w:pPr>
              <w:ind w:left="20"/>
              <w:spacing w:after="0" w:line="140" w:lineRule="exact"/>
              <w:rPr>
                <w:sz w:val="20"/>
                <w:szCs w:val="20"/>
                <w:color w:val="auto"/>
              </w:rPr>
            </w:pPr>
            <w:r>
              <w:rPr>
                <w:rFonts w:ascii="Arial" w:cs="Arial" w:eastAsia="Arial" w:hAnsi="Arial"/>
                <w:sz w:val="14"/>
                <w:szCs w:val="14"/>
                <w:color w:val="auto"/>
              </w:rPr>
              <w:t>Term Loan, 12%,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8"/>
        </w:trPr>
        <w:tc>
          <w:tcPr>
            <w:tcW w:w="1340" w:type="dxa"/>
            <w:vAlign w:val="bottom"/>
            <w:gridSpan w:val="6"/>
          </w:tcPr>
          <w:p>
            <w:pPr>
              <w:ind w:left="200"/>
              <w:spacing w:after="0" w:line="198" w:lineRule="exact"/>
              <w:rPr>
                <w:sz w:val="20"/>
                <w:szCs w:val="20"/>
                <w:color w:val="auto"/>
              </w:rPr>
            </w:pPr>
            <w:r>
              <w:rPr>
                <w:rFonts w:ascii="Arial" w:cs="Arial" w:eastAsia="Arial" w:hAnsi="Arial"/>
                <w:sz w:val="14"/>
                <w:szCs w:val="14"/>
                <w:color w:val="auto"/>
              </w:rPr>
              <w:t>11/18/2016***</w:t>
            </w:r>
            <w:r>
              <w:rPr>
                <w:rFonts w:ascii="Arial" w:cs="Arial" w:eastAsia="Arial" w:hAnsi="Arial"/>
                <w:sz w:val="22"/>
                <w:szCs w:val="22"/>
                <w:color w:val="auto"/>
                <w:vertAlign w:val="superscript"/>
              </w:rPr>
              <w:t>(7)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r>
      <w:tr>
        <w:trPr>
          <w:trHeight w:val="130"/>
        </w:trPr>
        <w:tc>
          <w:tcPr>
            <w:tcW w:w="204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202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 Expiration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Date 11/21/2017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55,000</w:t>
            </w:r>
          </w:p>
        </w:tc>
      </w:tr>
      <w:tr>
        <w:trPr>
          <w:trHeight w:val="130"/>
        </w:trPr>
        <w:tc>
          <w:tcPr>
            <w:tcW w:w="204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$1.17 Strike Price, Expiration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2020" w:type="dxa"/>
            <w:vAlign w:val="bottom"/>
            <w:gridSpan w:val="10"/>
          </w:tcPr>
          <w:p>
            <w:pPr>
              <w:ind w:left="180"/>
              <w:spacing w:after="0"/>
              <w:rPr>
                <w:sz w:val="20"/>
                <w:szCs w:val="20"/>
                <w:color w:val="auto"/>
              </w:rPr>
            </w:pPr>
            <w:r>
              <w:rPr>
                <w:rFonts w:ascii="Arial" w:cs="Arial" w:eastAsia="Arial" w:hAnsi="Arial"/>
                <w:sz w:val="14"/>
                <w:szCs w:val="14"/>
                <w:color w:val="auto"/>
              </w:rPr>
              <w:t>Date 8/29/2021</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58,019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(43,954)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-2169795</wp:posOffset>
            </wp:positionV>
            <wp:extent cx="5213985"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2" w:name="page133"/>
    <w:bookmarkEnd w:id="13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color w:val="auto"/>
        </w:rPr>
        <w:t>Schedule of Investments in and Advances to Affiliates as of December 31, 2015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9"/>
              <w:spacing w:after="0"/>
              <w:rPr>
                <w:sz w:val="20"/>
                <w:szCs w:val="20"/>
                <w:color w:val="auto"/>
              </w:rPr>
            </w:pPr>
            <w:r>
              <w:rPr>
                <w:rFonts w:ascii="Arial" w:cs="Arial" w:eastAsia="Arial" w:hAnsi="Arial"/>
                <w:sz w:val="13"/>
                <w:szCs w:val="13"/>
                <w:b w:val="1"/>
                <w:bCs w:val="1"/>
                <w:color w:val="auto"/>
                <w:w w:val="92"/>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6"/>
              </w:rPr>
              <w:t>from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6"/>
              </w:rPr>
              <w:t>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88"/>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and 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960" w:type="dxa"/>
            <w:vAlign w:val="bottom"/>
            <w:gridSpan w:val="9"/>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Purchases</w:t>
            </w: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96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warrants,</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$1.17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6"/>
              </w:rPr>
              <w:t>$1.17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Date 6/26/2021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(9,648)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3,088</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$1.17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Date 11/18/2022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96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4"/>
              </w:rPr>
              <w:t>Senior Subordinated Convertible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8"/>
        </w:trPr>
        <w:tc>
          <w:tcPr>
            <w:tcW w:w="20" w:type="dxa"/>
            <w:vAlign w:val="bottom"/>
            <w:shd w:val="clear" w:color="auto" w:fill="CCEEFF"/>
          </w:tcPr>
          <w:p>
            <w:pPr>
              <w:spacing w:after="0"/>
              <w:rPr>
                <w:sz w:val="13"/>
                <w:szCs w:val="13"/>
                <w:color w:val="auto"/>
              </w:rPr>
            </w:pPr>
          </w:p>
        </w:tc>
        <w:tc>
          <w:tcPr>
            <w:tcW w:w="1940" w:type="dxa"/>
            <w:vAlign w:val="bottom"/>
            <w:gridSpan w:val="8"/>
            <w:shd w:val="clear" w:color="auto" w:fill="CCEEFF"/>
          </w:tcPr>
          <w:p>
            <w:pPr>
              <w:ind w:left="180"/>
              <w:spacing w:after="0" w:line="159" w:lineRule="exact"/>
              <w:rPr>
                <w:sz w:val="20"/>
                <w:szCs w:val="20"/>
                <w:color w:val="auto"/>
              </w:rPr>
            </w:pPr>
            <w:r>
              <w:rPr>
                <w:rFonts w:ascii="Arial" w:cs="Arial" w:eastAsia="Arial" w:hAnsi="Arial"/>
                <w:sz w:val="14"/>
                <w:szCs w:val="14"/>
                <w:color w:val="auto"/>
              </w:rPr>
              <w:t>Promissory Note 8% Due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1540" w:type="dxa"/>
            <w:vAlign w:val="bottom"/>
            <w:gridSpan w:val="7"/>
            <w:shd w:val="clear" w:color="auto" w:fill="CCEEFF"/>
          </w:tcPr>
          <w:p>
            <w:pPr>
              <w:ind w:left="200"/>
              <w:spacing w:after="0" w:line="198" w:lineRule="exact"/>
              <w:rPr>
                <w:sz w:val="20"/>
                <w:szCs w:val="20"/>
                <w:color w:val="auto"/>
              </w:rPr>
            </w:pPr>
            <w:r>
              <w:rPr>
                <w:rFonts w:ascii="Arial" w:cs="Arial" w:eastAsia="Arial" w:hAnsi="Arial"/>
                <w:sz w:val="14"/>
                <w:szCs w:val="14"/>
                <w:color w:val="auto"/>
              </w:rPr>
              <w:t>11/26/2018***</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2,292,582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(333,455)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1,959,127</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59,795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6"/>
              </w:rPr>
              <w:t>$4.59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Date 2/25/2018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10,142</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Cricket Media (f/k/a ePals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(4)(6)</w:t>
            </w: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331,126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w w:val="90"/>
              </w:rPr>
              <w:t>(331,126)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960" w:type="dxa"/>
            <w:vAlign w:val="bottom"/>
            <w:gridSpan w:val="9"/>
          </w:tcPr>
          <w:p>
            <w:pPr>
              <w:ind w:left="20"/>
              <w:spacing w:after="0" w:line="123" w:lineRule="exact"/>
              <w:rPr>
                <w:sz w:val="20"/>
                <w:szCs w:val="20"/>
                <w:color w:val="auto"/>
              </w:rPr>
            </w:pPr>
            <w:r>
              <w:rPr>
                <w:rFonts w:ascii="Arial" w:cs="Arial" w:eastAsia="Arial" w:hAnsi="Arial"/>
                <w:sz w:val="14"/>
                <w:szCs w:val="14"/>
                <w:color w:val="auto"/>
                <w:w w:val="94"/>
              </w:rPr>
              <w:t>Convertible Promissory Note 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Due 12/30/2016***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10,019,825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96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505,328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19,539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524,867</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500,960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9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10% Due 3/2/2016***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142,645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1,014,395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6,464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1,020,859</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Date 2/18/2019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Date 4/3/2019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4,121</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Date 3/2/2020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Date 5/16/2019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1,923</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Date 3/22/2020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r>
    </w:tbl>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Schedule of Investments in and Advances to Affiliates as of December 31, 2015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Transfer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Fair Value at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5"/>
              </w:rPr>
              <w:t>Interest, Fees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1"/>
              </w:rPr>
              <w:t>from Control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or Dividends</w:t>
            </w:r>
          </w:p>
        </w:tc>
        <w:tc>
          <w:tcPr>
            <w:tcW w:w="6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Credited in</w:t>
            </w:r>
          </w:p>
        </w:tc>
        <w:tc>
          <w:tcPr>
            <w:tcW w:w="6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To Affiliate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and Unrealized</w:t>
            </w:r>
          </w:p>
        </w:tc>
        <w:tc>
          <w:tcPr>
            <w:tcW w:w="8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4"/>
              </w:rPr>
              <w:t xml:space="preserve">2015 </w:t>
            </w:r>
            <w:r>
              <w:rPr>
                <w:rFonts w:ascii="Arial" w:cs="Arial" w:eastAsia="Arial" w:hAnsi="Arial"/>
                <w:sz w:val="14"/>
                <w:szCs w:val="14"/>
                <w:b w:val="1"/>
                <w:bCs w:val="1"/>
                <w:color w:val="auto"/>
                <w:w w:val="94"/>
              </w:rPr>
              <w:t>Control</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Sales</w:t>
            </w:r>
          </w:p>
        </w:tc>
        <w:tc>
          <w:tcPr>
            <w:tcW w:w="60" w:type="dxa"/>
            <w:vAlign w:val="bottom"/>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4"/>
                <w:szCs w:val="14"/>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23"/>
        </w:trPr>
        <w:tc>
          <w:tcPr>
            <w:tcW w:w="196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Date 10/10/2018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0"/>
        </w:trPr>
        <w:tc>
          <w:tcPr>
            <w:tcW w:w="196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10"/>
          </w:tcPr>
          <w:p>
            <w:pPr>
              <w:ind w:left="180"/>
              <w:spacing w:after="0" w:line="149" w:lineRule="exact"/>
              <w:rPr>
                <w:sz w:val="20"/>
                <w:szCs w:val="20"/>
                <w:color w:val="auto"/>
              </w:rPr>
            </w:pPr>
            <w:r>
              <w:rPr>
                <w:rFonts w:ascii="Arial" w:cs="Arial" w:eastAsia="Arial" w:hAnsi="Arial"/>
                <w:sz w:val="14"/>
                <w:szCs w:val="14"/>
                <w:color w:val="auto"/>
                <w:w w:val="96"/>
              </w:rPr>
              <w:t>$0.91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10"/>
          </w:tcPr>
          <w:p>
            <w:pPr>
              <w:ind w:left="180"/>
              <w:spacing w:after="0"/>
              <w:rPr>
                <w:sz w:val="20"/>
                <w:szCs w:val="20"/>
                <w:color w:val="auto"/>
              </w:rPr>
            </w:pPr>
            <w:r>
              <w:rPr>
                <w:rFonts w:ascii="Arial" w:cs="Arial" w:eastAsia="Arial" w:hAnsi="Arial"/>
                <w:sz w:val="14"/>
                <w:szCs w:val="14"/>
                <w:color w:val="auto"/>
              </w:rPr>
              <w:t>Date 12/11/2018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5"/>
        </w:trPr>
        <w:tc>
          <w:tcPr>
            <w:tcW w:w="196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60" w:type="dxa"/>
            <w:vAlign w:val="bottom"/>
            <w:gridSpan w:val="11"/>
          </w:tcPr>
          <w:p>
            <w:pPr>
              <w:ind w:left="20"/>
              <w:spacing w:after="0" w:line="129" w:lineRule="exact"/>
              <w:rPr>
                <w:sz w:val="20"/>
                <w:szCs w:val="20"/>
                <w:color w:val="auto"/>
              </w:rPr>
            </w:pPr>
            <w:r>
              <w:rPr>
                <w:rFonts w:ascii="Arial" w:cs="Arial" w:eastAsia="Arial" w:hAnsi="Arial"/>
                <w:sz w:val="14"/>
                <w:szCs w:val="14"/>
                <w:b w:val="1"/>
                <w:bCs w:val="1"/>
                <w:color w:val="auto"/>
              </w:rPr>
              <w:t>Learning (Holdings) Ltd.**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3,995,221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(3,660,394)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(334,827)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Orchestra One,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gridSpan w:val="10"/>
          </w:tcPr>
          <w:p>
            <w:pPr>
              <w:ind w:left="180"/>
              <w:spacing w:after="0" w:line="129" w:lineRule="exact"/>
              <w:rPr>
                <w:sz w:val="20"/>
                <w:szCs w:val="20"/>
                <w:color w:val="auto"/>
              </w:rPr>
            </w:pPr>
            <w:r>
              <w:rPr>
                <w:rFonts w:ascii="Arial" w:cs="Arial" w:eastAsia="Arial" w:hAnsi="Arial"/>
                <w:sz w:val="14"/>
                <w:szCs w:val="14"/>
                <w:b w:val="1"/>
                <w:bCs w:val="1"/>
                <w:color w:val="auto"/>
              </w:rPr>
              <w:t>(f/k/a Learnist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gridSpan w:val="11"/>
            <w:shd w:val="clear" w:color="auto" w:fill="CCEEFF"/>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5,379,310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(5,374,946)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2,319,014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(2,319,014)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1,610,296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(1,610,296)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(1,450,000)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96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1,999,998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1,999,998</w:t>
            </w:r>
          </w:p>
        </w:tc>
        <w:tc>
          <w:tcPr>
            <w:tcW w:w="0" w:type="dxa"/>
            <w:vAlign w:val="bottom"/>
          </w:tcPr>
          <w:p>
            <w:pPr>
              <w:spacing w:after="0"/>
              <w:rPr>
                <w:sz w:val="1"/>
                <w:szCs w:val="1"/>
                <w:color w:val="auto"/>
              </w:rPr>
            </w:pP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249,691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249,691</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4,999,999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(309,821)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4,690,178</w:t>
            </w:r>
          </w:p>
        </w:tc>
        <w:tc>
          <w:tcPr>
            <w:tcW w:w="0" w:type="dxa"/>
            <w:vAlign w:val="bottom"/>
          </w:tcPr>
          <w:p>
            <w:pPr>
              <w:spacing w:after="0"/>
              <w:rPr>
                <w:sz w:val="1"/>
                <w:szCs w:val="1"/>
                <w:color w:val="auto"/>
              </w:rPr>
            </w:pP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4,165,091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(258,087)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3,907,004</w:t>
            </w:r>
          </w:p>
        </w:tc>
        <w:tc>
          <w:tcPr>
            <w:tcW w:w="0" w:type="dxa"/>
            <w:vAlign w:val="bottom"/>
          </w:tcPr>
          <w:p>
            <w:pPr>
              <w:spacing w:after="0"/>
              <w:rPr>
                <w:sz w:val="1"/>
                <w:szCs w:val="1"/>
                <w:color w:val="auto"/>
              </w:rPr>
            </w:pP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1,573,000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1,531,812</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9,982,064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3,999,998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(7,175)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13,974,887</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192,586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(189,506)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0" w:type="dxa"/>
            <w:vAlign w:val="bottom"/>
            <w:tcBorders>
              <w:top w:val="single" w:sz="8" w:color="auto"/>
            </w:tcBorders>
            <w:gridSpan w:val="9"/>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(12,373)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14,023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1,001,650</w:t>
            </w:r>
          </w:p>
        </w:tc>
        <w:tc>
          <w:tcPr>
            <w:tcW w:w="0" w:type="dxa"/>
            <w:vAlign w:val="bottom"/>
          </w:tcPr>
          <w:p>
            <w:pPr>
              <w:spacing w:after="0"/>
              <w:rPr>
                <w:sz w:val="1"/>
                <w:szCs w:val="1"/>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Totus Solutions,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96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Note 6%,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Date, 4/1/2016***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(3,074)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78,425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128,902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(128,902)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214,420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70,172,313</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789,435</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7,918,591</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(4,020,565)</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(8,784,189)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66,075,585</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280" w:type="dxa"/>
            <w:vAlign w:val="bottom"/>
            <w:tcBorders>
              <w:top w:val="single" w:sz="8" w:color="CCEEFF"/>
              <w:bottom w:val="single" w:sz="8" w:color="auto"/>
            </w:tcBorders>
          </w:tcPr>
          <w:p>
            <w:pPr>
              <w:spacing w:after="0"/>
              <w:rPr>
                <w:sz w:val="22"/>
                <w:szCs w:val="22"/>
                <w:color w:val="auto"/>
              </w:rPr>
            </w:pPr>
          </w:p>
        </w:tc>
        <w:tc>
          <w:tcPr>
            <w:tcW w:w="52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GSV Capital Corp.’s investment in StormWind, LLC is held through its wholly owned subsidiary GSVC SW Holdings, Inc.</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280" w:right="519" w:hanging="272"/>
        <w:spacing w:after="0" w:line="264"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right="759" w:hanging="272"/>
        <w:spacing w:after="0" w:line="277"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99" w:hanging="272"/>
        <w:spacing w:after="0" w:line="257"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December 31, 2015, GSV Capital Corp. valued Cricket Media based on its December 31, 2015 closing price. GSV Capital Corp.’s Chief Executive Officer, Michael Moe, previously served on the board of directors for Cricket Media, which subjected GSV Capital Corp. to insider trading restrictions under Canadian securities law. Mr. Moe resigned from his position as a director of Cricket Media in May 2016.</w:t>
      </w:r>
    </w:p>
    <w:p>
      <w:pPr>
        <w:spacing w:after="0" w:line="80" w:lineRule="exact"/>
        <w:rPr>
          <w:rFonts w:ascii="Arial" w:cs="Arial" w:eastAsia="Arial" w:hAnsi="Arial"/>
          <w:sz w:val="18"/>
          <w:szCs w:val="18"/>
          <w:color w:val="auto"/>
        </w:rPr>
      </w:pPr>
    </w:p>
    <w:p>
      <w:pPr>
        <w:ind w:left="280" w:right="799" w:hanging="272"/>
        <w:spacing w:after="0" w:line="264"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73" w:lineRule="exact"/>
        <w:rPr>
          <w:rFonts w:ascii="Arial" w:cs="Arial" w:eastAsia="Arial" w:hAnsi="Arial"/>
          <w:sz w:val="18"/>
          <w:szCs w:val="18"/>
          <w:color w:val="auto"/>
        </w:rPr>
      </w:pPr>
    </w:p>
    <w:p>
      <w:pPr>
        <w:ind w:left="280" w:right="599" w:hanging="272"/>
        <w:spacing w:after="0" w:line="273" w:lineRule="auto"/>
        <w:tabs>
          <w:tab w:leader="none" w:pos="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Subsequent to the filing of its annual report on Form 10-K for the fiscal year ended December 31, 2015, GSV Capital Corp. identified that its investment in Cricket Media was inappropriately included as an affiliate as of December 31, 2015 in the accompanying Schedule of Investments in and Advances to Affiliates. Therefore, the Schedule of Investments in and Advances to Affiliates included in this annual report has been corrected to remove all Cricket Media balances related to the year ended December 31, 2015, including the total fair value of $67,296. Management does not consider these amounts to be material to its previously issued Schedule of Investments in and Advances to Affiliates.</w:t>
      </w:r>
    </w:p>
    <w:p>
      <w:pPr>
        <w:spacing w:after="0" w:line="70" w:lineRule="exact"/>
        <w:rPr>
          <w:rFonts w:ascii="Arial" w:cs="Arial" w:eastAsia="Arial" w:hAnsi="Arial"/>
          <w:sz w:val="17"/>
          <w:szCs w:val="17"/>
          <w:color w:val="auto"/>
        </w:rPr>
      </w:pPr>
    </w:p>
    <w:p>
      <w:pPr>
        <w:ind w:left="280" w:right="619" w:hanging="272"/>
        <w:spacing w:after="0" w:line="286" w:lineRule="auto"/>
        <w:tabs>
          <w:tab w:leader="none" w:pos="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Subsequent to the filing of GSV Capital Corp.’s annual report on Form 10-K for the fiscal year ended December 31, 2015, certain typographical formatting matters were identified where Schedule of Investments in and Advances to Affiliates activities were formatted in the incorrect columns. Such formatting matters have been corrected in this presentation.</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5" w:name="page136"/>
    <w:bookmarkEnd w:id="13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b w:val="1"/>
                <w:bCs w:val="1"/>
                <w:color w:val="auto"/>
              </w:rPr>
              <w:t>GSV CAPITAL CORP.</w:t>
            </w:r>
          </w:p>
        </w:tc>
      </w:tr>
      <w:tr>
        <w:trPr>
          <w:trHeight w:val="378"/>
        </w:trPr>
        <w:tc>
          <w:tcPr>
            <w:tcW w:w="23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16, 2017</w:t>
            </w:r>
          </w:p>
        </w:tc>
        <w:tc>
          <w:tcPr>
            <w:tcW w:w="5880" w:type="dxa"/>
            <w:vAlign w:val="bottom"/>
            <w:gridSpan w:val="2"/>
          </w:tcPr>
          <w:p>
            <w:pPr>
              <w:ind w:left="16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1"/>
        </w:trPr>
        <w:tc>
          <w:tcPr>
            <w:tcW w:w="2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8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T. Moe</w:t>
            </w:r>
          </w:p>
        </w:tc>
      </w:tr>
      <w:tr>
        <w:trPr>
          <w:trHeight w:val="220"/>
        </w:trPr>
        <w:tc>
          <w:tcPr>
            <w:tcW w:w="2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w:t>
            </w:r>
          </w:p>
        </w:tc>
      </w:tr>
      <w:tr>
        <w:trPr>
          <w:trHeight w:val="230"/>
        </w:trPr>
        <w:tc>
          <w:tcPr>
            <w:tcW w:w="2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880" w:type="dxa"/>
            <w:vAlign w:val="bottom"/>
          </w:tcPr>
          <w:p>
            <w:pPr>
              <w:ind w:left="300"/>
              <w:spacing w:after="0"/>
              <w:rPr>
                <w:sz w:val="20"/>
                <w:szCs w:val="20"/>
                <w:color w:val="auto"/>
              </w:rPr>
            </w:pPr>
            <w:r>
              <w:rPr>
                <w:rFonts w:ascii="Arial" w:cs="Arial" w:eastAsia="Arial" w:hAnsi="Arial"/>
                <w:sz w:val="18"/>
                <w:szCs w:val="18"/>
                <w:color w:val="auto"/>
              </w:rPr>
              <w:t>Chairman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-633730</wp:posOffset>
            </wp:positionV>
            <wp:extent cx="51885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4"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Michael T. Moe</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Michael T. Moe</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and Chairman of the Board of Directors</w:t>
            </w: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William Tanona</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William Tanona</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Treasurer and Secretary</w:t>
            </w: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Mark D. Klein</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Mark D. Klein</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Leonard A. Potter</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Leonard A. Potter</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Mark W. Flynn</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Mark W. Flynn</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Ronald M. Lott</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Ronald M. Lott</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Catherine J. Friedman</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Catherine J. Friedman</w:t>
            </w:r>
          </w:p>
        </w:tc>
        <w:tc>
          <w:tcPr>
            <w:tcW w:w="126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Date: March 16, 2017</w:t>
            </w:r>
          </w:p>
        </w:tc>
        <w:tc>
          <w:tcPr>
            <w:tcW w:w="6700" w:type="dxa"/>
            <w:vAlign w:val="bottom"/>
            <w:gridSpan w:val="3"/>
          </w:tcPr>
          <w:p>
            <w:pPr>
              <w:ind w:left="1200"/>
              <w:spacing w:after="0"/>
              <w:rPr>
                <w:sz w:val="20"/>
                <w:szCs w:val="20"/>
                <w:color w:val="auto"/>
              </w:rPr>
            </w:pPr>
            <w:r>
              <w:rPr>
                <w:rFonts w:ascii="Arial" w:cs="Arial" w:eastAsia="Arial" w:hAnsi="Arial"/>
                <w:sz w:val="18"/>
                <w:szCs w:val="18"/>
                <w:color w:val="auto"/>
              </w:rPr>
              <w:t>By: /s/ Bradford C. Koenig</w:t>
            </w:r>
          </w:p>
        </w:tc>
      </w:tr>
      <w:tr>
        <w:trPr>
          <w:trHeight w:val="195"/>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Bradford C. Koenig</w:t>
            </w:r>
          </w:p>
        </w:tc>
        <w:tc>
          <w:tcPr>
            <w:tcW w:w="1260" w:type="dxa"/>
            <w:vAlign w:val="bottom"/>
          </w:tcPr>
          <w:p>
            <w:pPr>
              <w:spacing w:after="0"/>
              <w:rPr>
                <w:sz w:val="16"/>
                <w:szCs w:val="16"/>
                <w:color w:val="auto"/>
              </w:rPr>
            </w:pPr>
          </w:p>
        </w:tc>
      </w:tr>
      <w:tr>
        <w:trPr>
          <w:trHeight w:val="230"/>
        </w:trPr>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770"/>
        </w:trPr>
        <w:tc>
          <w:tcPr>
            <w:tcW w:w="2900" w:type="dxa"/>
            <w:vAlign w:val="bottom"/>
          </w:tcPr>
          <w:p>
            <w:pPr>
              <w:spacing w:after="0"/>
              <w:rPr>
                <w:sz w:val="24"/>
                <w:szCs w:val="24"/>
                <w:color w:val="auto"/>
              </w:rPr>
            </w:pPr>
          </w:p>
        </w:tc>
        <w:tc>
          <w:tcPr>
            <w:tcW w:w="5440" w:type="dxa"/>
            <w:vAlign w:val="bottom"/>
            <w:gridSpan w:val="2"/>
          </w:tcPr>
          <w:p>
            <w:pPr>
              <w:ind w:left="1760"/>
              <w:spacing w:after="0"/>
              <w:rPr>
                <w:sz w:val="20"/>
                <w:szCs w:val="20"/>
                <w:color w:val="auto"/>
              </w:rPr>
            </w:pPr>
            <w:r>
              <w:rPr>
                <w:rFonts w:ascii="Arial" w:cs="Arial" w:eastAsia="Arial" w:hAnsi="Arial"/>
                <w:sz w:val="18"/>
                <w:szCs w:val="18"/>
                <w:color w:val="auto"/>
              </w:rPr>
              <w:t>133</w:t>
            </w:r>
          </w:p>
        </w:tc>
        <w:tc>
          <w:tcPr>
            <w:tcW w:w="1260" w:type="dxa"/>
            <w:vAlign w:val="bottom"/>
          </w:tcPr>
          <w:p>
            <w:pPr>
              <w:spacing w:after="0"/>
              <w:rPr>
                <w:sz w:val="24"/>
                <w:szCs w:val="24"/>
                <w:color w:val="auto"/>
              </w:rPr>
            </w:pPr>
          </w:p>
        </w:tc>
      </w:tr>
      <w:tr>
        <w:trPr>
          <w:trHeight w:val="162"/>
        </w:trPr>
        <w:tc>
          <w:tcPr>
            <w:tcW w:w="29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3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29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6" w:name="page137"/>
    <w:bookmarkEnd w:id="136"/>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Executive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37" w:name="page138"/>
    <w:bookmarkEnd w:id="137"/>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39"/>
        <w:spacing w:after="0" w:line="289" w:lineRule="auto"/>
        <w:rPr>
          <w:sz w:val="20"/>
          <w:szCs w:val="20"/>
          <w:color w:val="auto"/>
        </w:rPr>
      </w:pPr>
      <w:r>
        <w:rPr>
          <w:rFonts w:ascii="Arial" w:cs="Arial" w:eastAsia="Arial" w:hAnsi="Arial"/>
          <w:sz w:val="17"/>
          <w:szCs w:val="17"/>
          <w:b w:val="1"/>
          <w:bCs w:val="1"/>
          <w:color w:val="auto"/>
        </w:rPr>
        <w:t>Certification of Chief Financial Officer of GSV Capital Corp. pursuant to Rule 13a-14(a) under the Exchange Act, as adopted pursuant to Section 302 of the Sarbanes-Oxley Act of 2002</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38" w:name="page139"/>
    <w:bookmarkEnd w:id="138"/>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55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2016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39" w:name="page140"/>
    <w:bookmarkEnd w:id="139"/>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2016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lvl w:ilvl="1">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57E4CCAF"/>
    <w:multiLevelType w:val="hybridMultilevel"/>
    <w:lvl w:ilvl="0">
      <w:lvlJc w:val="left"/>
      <w:lvlText w:val="%1."/>
      <w:numFmt w:val="decimal"/>
      <w:start w:val="3"/>
    </w:lvl>
  </w:abstractNum>
  <w:abstractNum w:abstractNumId="15">
    <w:nsid w:val="7A6D8D3C"/>
    <w:multiLevelType w:val="hybridMultilevel"/>
    <w:lvl w:ilvl="0">
      <w:lvlJc w:val="left"/>
      <w:lvlText w:val="(%1)"/>
      <w:numFmt w:val="lowerRoman"/>
      <w:start w:val="4"/>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lvl w:ilvl="1">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3"/>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2"/>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9"/>
    </w:lvl>
  </w:abstractNum>
  <w:abstractNum w:abstractNumId="50">
    <w:nsid w:val="77AE35EB"/>
    <w:multiLevelType w:val="hybridMultilevel"/>
    <w:lvl w:ilvl="0">
      <w:lvlJc w:val="left"/>
      <w:lvlText w:val="(%1)"/>
      <w:numFmt w:val="decimal"/>
      <w:start w:val="16"/>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6"/>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2"/>
    </w:lvl>
  </w:abstractNum>
  <w:abstractNum w:abstractNumId="62">
    <w:nsid w:val="6590700B"/>
    <w:multiLevelType w:val="hybridMultilevel"/>
    <w:lvl w:ilvl="0">
      <w:lvlJc w:val="left"/>
      <w:lvlText w:val="(%1)"/>
      <w:numFmt w:val="lowerLetter"/>
      <w:start w:val="1"/>
    </w:lvl>
    <w:lvl w:ilvl="1">
      <w:lvlJc w:val="left"/>
      <w:lvlText w:val="(%2)"/>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2"/>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2019-12-29T07:55:59Z</dcterms:created>
  <dcterms:modified xsi:type="dcterms:W3CDTF">2019-12-29T07:55:59Z</dcterms:modified>
</cp:coreProperties>
</file>