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234950</wp:posOffset>
            </wp:positionH>
            <wp:positionV relativeFrom="page">
              <wp:posOffset>706120</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page">
              <wp:posOffset>234950</wp:posOffset>
            </wp:positionH>
            <wp:positionV relativeFrom="page">
              <wp:posOffset>732155</wp:posOffset>
            </wp:positionV>
            <wp:extent cx="60718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jc w:val="center"/>
        <w:ind w:right="5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194310</wp:posOffset>
            </wp:positionV>
            <wp:extent cx="1543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ind w:left="410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200660</wp:posOffset>
            </wp:positionV>
            <wp:extent cx="1543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354965</wp:posOffset>
            </wp:positionV>
            <wp:extent cx="4081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1120" w:hanging="685"/>
        <w:spacing w:after="0"/>
        <w:tabs>
          <w:tab w:leader="none" w:pos="11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w:t>
      </w:r>
    </w:p>
    <w:p>
      <w:pPr>
        <w:spacing w:after="0" w:line="9" w:lineRule="exact"/>
        <w:rPr>
          <w:rFonts w:ascii="Arial" w:cs="Arial" w:eastAsia="Arial" w:hAnsi="Arial"/>
          <w:sz w:val="18"/>
          <w:szCs w:val="18"/>
          <w:b w:val="1"/>
          <w:bCs w:val="1"/>
          <w:color w:val="auto"/>
        </w:rPr>
      </w:pPr>
    </w:p>
    <w:p>
      <w:pPr>
        <w:ind w:left="1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4081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151" w:lineRule="exact"/>
        <w:rPr>
          <w:sz w:val="24"/>
          <w:szCs w:val="24"/>
          <w:color w:val="auto"/>
        </w:rPr>
      </w:pPr>
    </w:p>
    <w:p>
      <w:pPr>
        <w:ind w:left="1120" w:hanging="685"/>
        <w:spacing w:after="0"/>
        <w:tabs>
          <w:tab w:leader="none" w:pos="11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w:t>
      </w:r>
    </w:p>
    <w:p>
      <w:pPr>
        <w:spacing w:after="0" w:line="27" w:lineRule="exact"/>
        <w:rPr>
          <w:rFonts w:ascii="Arial" w:cs="Arial" w:eastAsia="Arial" w:hAnsi="Arial"/>
          <w:sz w:val="18"/>
          <w:szCs w:val="18"/>
          <w:b w:val="1"/>
          <w:bCs w:val="1"/>
          <w:color w:val="auto"/>
        </w:rPr>
      </w:pPr>
    </w:p>
    <w:p>
      <w:pPr>
        <w:ind w:left="1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99"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206375</wp:posOffset>
            </wp:positionV>
            <wp:extent cx="1543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tbl>
      <w:tblPr>
        <w:tblLayout w:type="fixed"/>
        <w:tblInd w:w="1080" w:type="dxa"/>
        <w:tblCellMar>
          <w:top w:w="0" w:type="dxa"/>
          <w:left w:w="0" w:type="dxa"/>
          <w:bottom w:w="0" w:type="dxa"/>
          <w:right w:w="0" w:type="dxa"/>
        </w:tblCellMar>
      </w:tblPr>
      <w:tr>
        <w:trPr>
          <w:trHeight w:val="421"/>
        </w:trPr>
        <w:tc>
          <w:tcPr>
            <w:tcW w:w="2320" w:type="dxa"/>
            <w:vAlign w:val="bottom"/>
          </w:tcPr>
          <w:p>
            <w:pPr>
              <w:spacing w:after="0"/>
              <w:rPr>
                <w:sz w:val="24"/>
                <w:szCs w:val="24"/>
                <w:color w:val="auto"/>
              </w:rPr>
            </w:pPr>
          </w:p>
        </w:tc>
        <w:tc>
          <w:tcPr>
            <w:tcW w:w="4480" w:type="dxa"/>
            <w:vAlign w:val="bottom"/>
            <w:gridSpan w:val="3"/>
          </w:tcPr>
          <w:p>
            <w:pPr>
              <w:jc w:val="center"/>
              <w:ind w:right="1668"/>
              <w:spacing w:after="0"/>
              <w:rPr>
                <w:sz w:val="20"/>
                <w:szCs w:val="20"/>
                <w:color w:val="auto"/>
              </w:rPr>
            </w:pPr>
            <w:r>
              <w:rPr>
                <w:rFonts w:ascii="Arial" w:cs="Arial" w:eastAsia="Arial" w:hAnsi="Arial"/>
                <w:sz w:val="32"/>
                <w:szCs w:val="32"/>
                <w:b w:val="1"/>
                <w:bCs w:val="1"/>
                <w:color w:val="auto"/>
                <w:w w:val="96"/>
              </w:rPr>
              <w:t>GSV Capital Corp.</w:t>
            </w:r>
          </w:p>
        </w:tc>
      </w:tr>
      <w:tr>
        <w:trPr>
          <w:trHeight w:val="257"/>
        </w:trPr>
        <w:tc>
          <w:tcPr>
            <w:tcW w:w="6800" w:type="dxa"/>
            <w:vAlign w:val="bottom"/>
            <w:gridSpan w:val="4"/>
          </w:tcPr>
          <w:p>
            <w:pPr>
              <w:ind w:left="214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303"/>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900" w:type="dxa"/>
            <w:vAlign w:val="bottom"/>
          </w:tcPr>
          <w:p>
            <w:pPr>
              <w:spacing w:after="0"/>
              <w:rPr>
                <w:sz w:val="24"/>
                <w:szCs w:val="24"/>
                <w:color w:val="auto"/>
              </w:rPr>
            </w:pPr>
          </w:p>
        </w:tc>
      </w:tr>
      <w:tr>
        <w:trPr>
          <w:trHeight w:val="481"/>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4480" w:type="dxa"/>
            <w:vAlign w:val="bottom"/>
            <w:gridSpan w:val="3"/>
          </w:tcPr>
          <w:p>
            <w:pPr>
              <w:jc w:val="right"/>
              <w:ind w:right="528"/>
              <w:spacing w:after="0"/>
              <w:rPr>
                <w:sz w:val="20"/>
                <w:szCs w:val="20"/>
                <w:color w:val="auto"/>
              </w:rPr>
            </w:pPr>
            <w:r>
              <w:rPr>
                <w:rFonts w:ascii="Arial" w:cs="Arial" w:eastAsia="Arial" w:hAnsi="Arial"/>
                <w:sz w:val="18"/>
                <w:szCs w:val="18"/>
                <w:b w:val="1"/>
                <w:bCs w:val="1"/>
                <w:color w:val="auto"/>
              </w:rPr>
              <w:t>27-4443543</w:t>
            </w:r>
          </w:p>
        </w:tc>
      </w:tr>
      <w:tr>
        <w:trPr>
          <w:trHeight w:val="182"/>
        </w:trPr>
        <w:tc>
          <w:tcPr>
            <w:tcW w:w="2320" w:type="dxa"/>
            <w:vAlign w:val="bottom"/>
          </w:tcPr>
          <w:p>
            <w:pPr>
              <w:jc w:val="center"/>
              <w:spacing w:after="0"/>
              <w:rPr>
                <w:sz w:val="20"/>
                <w:szCs w:val="20"/>
                <w:color w:val="auto"/>
              </w:rPr>
            </w:pPr>
            <w:r>
              <w:rPr>
                <w:rFonts w:ascii="Arial" w:cs="Arial" w:eastAsia="Arial" w:hAnsi="Arial"/>
                <w:sz w:val="14"/>
                <w:szCs w:val="14"/>
                <w:color w:val="auto"/>
                <w:w w:val="95"/>
              </w:rPr>
              <w:t>(State of incorporation)</w:t>
            </w:r>
          </w:p>
        </w:tc>
        <w:tc>
          <w:tcPr>
            <w:tcW w:w="160" w:type="dxa"/>
            <w:vAlign w:val="bottom"/>
          </w:tcPr>
          <w:p>
            <w:pPr>
              <w:spacing w:after="0"/>
              <w:rPr>
                <w:sz w:val="15"/>
                <w:szCs w:val="15"/>
                <w:color w:val="auto"/>
              </w:rPr>
            </w:pPr>
          </w:p>
        </w:tc>
        <w:tc>
          <w:tcPr>
            <w:tcW w:w="4320" w:type="dxa"/>
            <w:vAlign w:val="bottom"/>
            <w:gridSpan w:val="2"/>
          </w:tcPr>
          <w:p>
            <w:pPr>
              <w:jc w:val="center"/>
              <w:ind w:left="2168"/>
              <w:spacing w:after="0"/>
              <w:rPr>
                <w:sz w:val="20"/>
                <w:szCs w:val="20"/>
                <w:color w:val="auto"/>
              </w:rPr>
            </w:pPr>
            <w:r>
              <w:rPr>
                <w:rFonts w:ascii="Arial" w:cs="Arial" w:eastAsia="Arial" w:hAnsi="Arial"/>
                <w:sz w:val="14"/>
                <w:szCs w:val="14"/>
                <w:color w:val="auto"/>
                <w:w w:val="96"/>
              </w:rPr>
              <w:t>(I.R.S. Employer Identification No.)</w:t>
            </w:r>
          </w:p>
        </w:tc>
      </w:tr>
      <w:tr>
        <w:trPr>
          <w:trHeight w:val="277"/>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8"/>
              </w:rPr>
              <w:t>2925 Woodside Road</w:t>
            </w: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0"/>
              </w:rPr>
              <w:t>Woodside, CA</w:t>
            </w:r>
          </w:p>
        </w:tc>
        <w:tc>
          <w:tcPr>
            <w:tcW w:w="4480" w:type="dxa"/>
            <w:vAlign w:val="bottom"/>
            <w:gridSpan w:val="3"/>
          </w:tcPr>
          <w:p>
            <w:pPr>
              <w:jc w:val="right"/>
              <w:ind w:right="748"/>
              <w:spacing w:after="0"/>
              <w:rPr>
                <w:sz w:val="20"/>
                <w:szCs w:val="20"/>
                <w:color w:val="auto"/>
              </w:rPr>
            </w:pPr>
            <w:r>
              <w:rPr>
                <w:rFonts w:ascii="Arial" w:cs="Arial" w:eastAsia="Arial" w:hAnsi="Arial"/>
                <w:sz w:val="18"/>
                <w:szCs w:val="18"/>
                <w:b w:val="1"/>
                <w:bCs w:val="1"/>
                <w:color w:val="auto"/>
              </w:rPr>
              <w:t>94062</w:t>
            </w:r>
          </w:p>
        </w:tc>
      </w:tr>
      <w:tr>
        <w:trPr>
          <w:trHeight w:val="182"/>
        </w:trPr>
        <w:tc>
          <w:tcPr>
            <w:tcW w:w="232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1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900" w:type="dxa"/>
            <w:vAlign w:val="bottom"/>
          </w:tcPr>
          <w:p>
            <w:pPr>
              <w:jc w:val="center"/>
              <w:ind w:right="108"/>
              <w:spacing w:after="0"/>
              <w:rPr>
                <w:sz w:val="20"/>
                <w:szCs w:val="20"/>
                <w:color w:val="auto"/>
              </w:rPr>
            </w:pPr>
            <w:r>
              <w:rPr>
                <w:rFonts w:ascii="Arial" w:cs="Arial" w:eastAsia="Arial" w:hAnsi="Arial"/>
                <w:sz w:val="14"/>
                <w:szCs w:val="14"/>
                <w:color w:val="auto"/>
                <w:w w:val="96"/>
              </w:rPr>
              <w:t>(Zip Code)</w:t>
            </w:r>
          </w:p>
        </w:tc>
      </w:tr>
      <w:tr>
        <w:trPr>
          <w:trHeight w:val="417"/>
        </w:trPr>
        <w:tc>
          <w:tcPr>
            <w:tcW w:w="2320" w:type="dxa"/>
            <w:vAlign w:val="bottom"/>
          </w:tcPr>
          <w:p>
            <w:pPr>
              <w:spacing w:after="0"/>
              <w:rPr>
                <w:sz w:val="24"/>
                <w:szCs w:val="24"/>
                <w:color w:val="auto"/>
              </w:rPr>
            </w:pPr>
          </w:p>
        </w:tc>
        <w:tc>
          <w:tcPr>
            <w:tcW w:w="2580" w:type="dxa"/>
            <w:vAlign w:val="bottom"/>
            <w:gridSpan w:val="2"/>
          </w:tcPr>
          <w:p>
            <w:pPr>
              <w:jc w:val="right"/>
              <w:ind w:right="568"/>
              <w:spacing w:after="0"/>
              <w:rPr>
                <w:sz w:val="20"/>
                <w:szCs w:val="20"/>
                <w:color w:val="auto"/>
              </w:rPr>
            </w:pPr>
            <w:r>
              <w:rPr>
                <w:rFonts w:ascii="Arial" w:cs="Arial" w:eastAsia="Arial" w:hAnsi="Arial"/>
                <w:sz w:val="18"/>
                <w:szCs w:val="18"/>
                <w:b w:val="1"/>
                <w:bCs w:val="1"/>
                <w:color w:val="auto"/>
              </w:rPr>
              <w:t>(650) 235-4769</w:t>
            </w:r>
          </w:p>
        </w:tc>
        <w:tc>
          <w:tcPr>
            <w:tcW w:w="19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-985520</wp:posOffset>
            </wp:positionV>
            <wp:extent cx="574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461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-694055</wp:posOffset>
            </wp:positionV>
            <wp:extent cx="5746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83" w:lineRule="exact"/>
        <w:rPr>
          <w:sz w:val="24"/>
          <w:szCs w:val="24"/>
          <w:color w:val="auto"/>
        </w:rPr>
      </w:pPr>
    </w:p>
    <w:p>
      <w:pPr>
        <w:ind w:left="328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201295</wp:posOffset>
            </wp:positionV>
            <wp:extent cx="1543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x No o</w:t>
      </w:r>
    </w:p>
    <w:p>
      <w:pPr>
        <w:spacing w:after="0" w:line="73" w:lineRule="exact"/>
        <w:rPr>
          <w:sz w:val="24"/>
          <w:szCs w:val="24"/>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39" w:lineRule="exact"/>
        <w:rPr>
          <w:sz w:val="24"/>
          <w:szCs w:val="24"/>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52825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126" w:lineRule="exact"/>
        <w:rPr>
          <w:sz w:val="24"/>
          <w:szCs w:val="24"/>
          <w:color w:val="auto"/>
        </w:rPr>
      </w:pPr>
    </w:p>
    <w:p>
      <w:pPr>
        <w:sectPr>
          <w:pgSz w:w="11900" w:h="16838" w:orient="portrait"/>
          <w:cols w:equalWidth="0" w:num="2">
            <w:col w:w="5320" w:space="720"/>
            <w:col w:w="4039"/>
          </w:cols>
          <w:pgMar w:left="380" w:top="1440" w:right="1440" w:bottom="1440" w:gutter="0" w:footer="0" w:header="0"/>
          <w:type w:val="continuous"/>
        </w:sectPr>
      </w:pPr>
    </w:p>
    <w:p>
      <w:pPr>
        <w:ind w:left="320" w:right="779"/>
        <w:spacing w:after="0" w:line="483"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Act).Yes o No x The number of shares of the issuer’s Common Stock, $0.01 par value, outstanding as of August 10, 2015 was 19,320,100.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666750</wp:posOffset>
            </wp:positionV>
            <wp:extent cx="6114415"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-83185</wp:posOffset>
            </wp:positionV>
            <wp:extent cx="6071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-57150</wp:posOffset>
            </wp:positionV>
            <wp:extent cx="6071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type w:val="continuous"/>
        </w:sectPr>
      </w:pPr>
    </w:p>
    <w:bookmarkStart w:id="1" w:name="page2"/>
    <w:bookmarkEnd w:id="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GSV CAPITAL CORP.</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PAGE</w:t>
            </w:r>
          </w:p>
        </w:tc>
      </w:tr>
      <w:tr>
        <w:trPr>
          <w:trHeight w:val="210"/>
        </w:trPr>
        <w:tc>
          <w:tcPr>
            <w:tcW w:w="7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6900" w:type="dxa"/>
            <w:vAlign w:val="bottom"/>
            <w:gridSpan w:val="33"/>
            <w:shd w:val="clear" w:color="auto" w:fill="CCEEFF"/>
          </w:tcPr>
          <w:p>
            <w:pPr>
              <w:ind w:left="140"/>
              <w:spacing w:after="0"/>
              <w:rPr>
                <w:sz w:val="20"/>
                <w:szCs w:val="20"/>
                <w:color w:val="auto"/>
              </w:rPr>
            </w:pPr>
            <w:r>
              <w:rPr>
                <w:rFonts w:ascii="Arial" w:cs="Arial" w:eastAsia="Arial" w:hAnsi="Arial"/>
                <w:sz w:val="18"/>
                <w:szCs w:val="18"/>
                <w:b w:val="1"/>
                <w:bCs w:val="1"/>
                <w:color w:val="auto"/>
              </w:rPr>
              <w:t>FINANCIAL INFORMATION</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780" w:type="dxa"/>
            <w:vAlign w:val="bottom"/>
            <w:gridSpan w:val="3"/>
          </w:tcPr>
          <w:p>
            <w:pPr>
              <w:ind w:left="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6900" w:type="dxa"/>
            <w:vAlign w:val="bottom"/>
            <w:gridSpan w:val="33"/>
          </w:tcPr>
          <w:p>
            <w:pPr>
              <w:ind w:left="14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60" w:type="dxa"/>
            <w:vAlign w:val="bottom"/>
            <w:tcBorders>
              <w:bottom w:val="single" w:sz="8" w:color="0000EE"/>
            </w:tcBorders>
            <w:gridSpan w:val="26"/>
            <w:shd w:val="clear" w:color="auto" w:fill="CCEEFF"/>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Assets and Liabilities as of June 30, 2015</w:t>
              </w:r>
            </w:hyperlink>
          </w:p>
        </w:tc>
        <w:tc>
          <w:tcPr>
            <w:tcW w:w="900" w:type="dxa"/>
            <w:vAlign w:val="bottom"/>
            <w:tcBorders>
              <w:bottom w:val="single" w:sz="8" w:color="CCEEFF"/>
            </w:tcBorders>
            <w:gridSpan w:val="6"/>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580" w:type="dxa"/>
            <w:vAlign w:val="bottom"/>
            <w:gridSpan w:val="31"/>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and December 31, 2014</w:t>
              </w:r>
            </w:hyperlink>
          </w:p>
        </w:tc>
        <w:tc>
          <w:tcPr>
            <w:tcW w:w="540" w:type="dxa"/>
            <w:vAlign w:val="bottom"/>
            <w:gridSpan w:val="4"/>
            <w:shd w:val="clear" w:color="auto" w:fill="CCEEFF"/>
          </w:tcPr>
          <w:p>
            <w:pPr>
              <w:jc w:val="right"/>
              <w:ind w:right="10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760" w:type="dxa"/>
            <w:vAlign w:val="bottom"/>
            <w:gridSpan w:val="32"/>
          </w:tcPr>
          <w:p>
            <w:pPr>
              <w:spacing w:after="0" w:line="17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Operations for the three and six months ended June</w:t>
              </w:r>
            </w:hyperlink>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38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30, 2015 and 2014 (unaudited)</w:t>
              </w:r>
            </w:hyperlink>
          </w:p>
        </w:tc>
        <w:tc>
          <w:tcPr>
            <w:tcW w:w="200" w:type="dxa"/>
            <w:vAlign w:val="bottom"/>
            <w:gridSpan w:val="2"/>
          </w:tcPr>
          <w:p>
            <w:pPr>
              <w:spacing w:after="0"/>
              <w:rPr>
                <w:sz w:val="17"/>
                <w:szCs w:val="17"/>
                <w:color w:val="auto"/>
              </w:rPr>
            </w:pPr>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320" w:type="dxa"/>
            <w:vAlign w:val="bottom"/>
            <w:tcBorders>
              <w:bottom w:val="single" w:sz="8" w:color="0000EE"/>
            </w:tcBorders>
            <w:gridSpan w:val="29"/>
            <w:shd w:val="clear" w:color="auto" w:fill="CCEEFF"/>
          </w:tcPr>
          <w:p>
            <w:pPr>
              <w:spacing w:after="0" w:line="17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Changes in Net Assets for the six months ended</w:t>
              </w:r>
            </w:hyperlink>
          </w:p>
        </w:tc>
        <w:tc>
          <w:tcPr>
            <w:tcW w:w="440" w:type="dxa"/>
            <w:vAlign w:val="bottom"/>
            <w:tcBorders>
              <w:bottom w:val="single" w:sz="8" w:color="CCEEFF"/>
            </w:tcBorders>
            <w:gridSpan w:val="3"/>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580" w:type="dxa"/>
            <w:vAlign w:val="bottom"/>
            <w:gridSpan w:val="31"/>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June 30, 2015 and 2014 (unaudited)</w:t>
              </w:r>
            </w:hyperlink>
          </w:p>
        </w:tc>
        <w:tc>
          <w:tcPr>
            <w:tcW w:w="540" w:type="dxa"/>
            <w:vAlign w:val="bottom"/>
            <w:gridSpan w:val="4"/>
            <w:shd w:val="clear" w:color="auto" w:fill="CCEEFF"/>
          </w:tcPr>
          <w:p>
            <w:pPr>
              <w:jc w:val="right"/>
              <w:ind w:right="10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760" w:type="dxa"/>
            <w:vAlign w:val="bottom"/>
            <w:gridSpan w:val="32"/>
          </w:tcPr>
          <w:p>
            <w:pPr>
              <w:spacing w:after="0" w:line="17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Condensed Consolidated Statements of Cash Flows for the six months ended June 30, 2015</w:t>
              </w:r>
            </w:hyperlink>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40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and 2014 (unaudited)</w:t>
              </w:r>
            </w:hyperlink>
          </w:p>
        </w:tc>
        <w:tc>
          <w:tcPr>
            <w:tcW w:w="180" w:type="dxa"/>
            <w:vAlign w:val="bottom"/>
          </w:tcPr>
          <w:p>
            <w:pPr>
              <w:spacing w:after="0"/>
              <w:rPr>
                <w:sz w:val="17"/>
                <w:szCs w:val="17"/>
                <w:color w:val="auto"/>
              </w:rPr>
            </w:pPr>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920" w:type="dxa"/>
            <w:vAlign w:val="bottom"/>
            <w:tcBorders>
              <w:bottom w:val="single" w:sz="8" w:color="0000EE"/>
            </w:tcBorders>
            <w:gridSpan w:val="27"/>
            <w:shd w:val="clear" w:color="auto" w:fill="CCEEFF"/>
          </w:tcPr>
          <w:p>
            <w:pPr>
              <w:spacing w:after="0" w:line="17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Condensed Consolidated Schedule of Investments as of June 30, 2015 (unaudited)</w:t>
              </w:r>
            </w:hyperlink>
          </w:p>
        </w:tc>
        <w:tc>
          <w:tcPr>
            <w:tcW w:w="840" w:type="dxa"/>
            <w:vAlign w:val="bottom"/>
            <w:tcBorders>
              <w:bottom w:val="single" w:sz="8" w:color="CCEEFF"/>
            </w:tcBorders>
            <w:gridSpan w:val="5"/>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6</w:t>
              </w:r>
            </w:hyperlink>
          </w:p>
        </w:tc>
        <w:tc>
          <w:tcPr>
            <w:tcW w:w="100" w:type="dxa"/>
            <w:vAlign w:val="bottom"/>
            <w:tcBorders>
              <w:bottom w:val="single" w:sz="8" w:color="CCEEFF"/>
            </w:tcBorders>
            <w:shd w:val="clear" w:color="auto" w:fill="CCEEFF"/>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760" w:type="dxa"/>
            <w:vAlign w:val="bottom"/>
            <w:gridSpan w:val="32"/>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Condensed Consolidated Schedule of Investments as of December 31, 2014</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760" w:type="dxa"/>
            <w:vAlign w:val="bottom"/>
            <w:gridSpan w:val="32"/>
            <w:shd w:val="clear" w:color="auto" w:fill="CCEEFF"/>
          </w:tcPr>
          <w:p>
            <w:pPr>
              <w:spacing w:after="0" w:line="17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Notes to the Condensed Consolidated Financial Statements as of June 30, 2015 (unaudited)</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380" w:type="dxa"/>
            <w:vAlign w:val="bottom"/>
            <w:gridSpan w:val="29"/>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Note 1 — Nature of Operations and Significant Accounting Policies</w:t>
              </w:r>
            </w:hyperlink>
          </w:p>
        </w:tc>
        <w:tc>
          <w:tcPr>
            <w:tcW w:w="200" w:type="dxa"/>
            <w:vAlign w:val="bottom"/>
            <w:gridSpan w:val="2"/>
          </w:tcPr>
          <w:p>
            <w:pPr>
              <w:spacing w:after="0"/>
              <w:rPr>
                <w:sz w:val="15"/>
                <w:szCs w:val="15"/>
                <w:color w:val="auto"/>
              </w:rPr>
            </w:pPr>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580" w:type="dxa"/>
            <w:vAlign w:val="bottom"/>
            <w:gridSpan w:val="31"/>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Note 2 — Related-Party Arrangements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gridSpan w:val="17"/>
          </w:tcPr>
          <w:p>
            <w:pPr>
              <w:spacing w:after="0" w:line="176" w:lineRule="exact"/>
              <w:rPr>
                <w:rFonts w:ascii="Arial" w:cs="Arial" w:eastAsia="Arial" w:hAnsi="Arial"/>
                <w:sz w:val="18"/>
                <w:szCs w:val="18"/>
                <w:color w:val="0000EE"/>
                <w:w w:val="97"/>
              </w:rPr>
            </w:pPr>
            <w:hyperlink w:anchor="page32">
              <w:r>
                <w:rPr>
                  <w:rFonts w:ascii="Arial" w:cs="Arial" w:eastAsia="Arial" w:hAnsi="Arial"/>
                  <w:sz w:val="18"/>
                  <w:szCs w:val="18"/>
                  <w:color w:val="0000EE"/>
                  <w:w w:val="97"/>
                </w:rPr>
                <w:t>Note 3 — Investments at Fair Value</w:t>
              </w:r>
            </w:hyperlink>
          </w:p>
        </w:tc>
        <w:tc>
          <w:tcPr>
            <w:tcW w:w="3780" w:type="dxa"/>
            <w:vAlign w:val="bottom"/>
            <w:gridSpan w:val="14"/>
          </w:tcPr>
          <w:p>
            <w:pPr>
              <w:spacing w:after="0"/>
              <w:rPr>
                <w:sz w:val="15"/>
                <w:szCs w:val="15"/>
                <w:color w:val="auto"/>
              </w:rPr>
            </w:pPr>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580" w:type="dxa"/>
            <w:vAlign w:val="bottom"/>
            <w:gridSpan w:val="31"/>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Note 4 — Equity Offerings and Related Expenses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Borders>
              <w:bottom w:val="single" w:sz="8" w:color="0000EE"/>
            </w:tcBorders>
            <w:gridSpan w:val="27"/>
          </w:tcPr>
          <w:p>
            <w:pPr>
              <w:spacing w:after="0" w:line="17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Note 5 — Net Increase (Decrease) in Net Assets Per Common Share — Basic and</w:t>
              </w:r>
            </w:hyperlink>
          </w:p>
        </w:tc>
        <w:tc>
          <w:tcPr>
            <w:tcW w:w="660" w:type="dxa"/>
            <w:vAlign w:val="bottom"/>
            <w:gridSpan w:val="4"/>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580" w:type="dxa"/>
            <w:vAlign w:val="bottom"/>
            <w:gridSpan w:val="31"/>
          </w:tcPr>
          <w:p>
            <w:pPr>
              <w:ind w:left="180"/>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Diluted</w:t>
              </w:r>
            </w:hyperlink>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580" w:type="dxa"/>
            <w:vAlign w:val="bottom"/>
            <w:gridSpan w:val="31"/>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Note 6 — Commitments and Contingencies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40" w:type="dxa"/>
            <w:vAlign w:val="bottom"/>
            <w:gridSpan w:val="18"/>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Note 7 — Financial Highlights</w:t>
              </w:r>
            </w:hyperlink>
          </w:p>
        </w:tc>
        <w:tc>
          <w:tcPr>
            <w:tcW w:w="3440" w:type="dxa"/>
            <w:vAlign w:val="bottom"/>
            <w:gridSpan w:val="13"/>
          </w:tcPr>
          <w:p>
            <w:pPr>
              <w:spacing w:after="0"/>
              <w:rPr>
                <w:sz w:val="15"/>
                <w:szCs w:val="15"/>
                <w:color w:val="auto"/>
              </w:rPr>
            </w:pPr>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580" w:type="dxa"/>
            <w:vAlign w:val="bottom"/>
            <w:gridSpan w:val="31"/>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Note 8 — Income Tax</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80" w:type="dxa"/>
            <w:vAlign w:val="bottom"/>
            <w:gridSpan w:val="31"/>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Note 9 — Long Term Liabilities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580" w:type="dxa"/>
            <w:vAlign w:val="bottom"/>
            <w:gridSpan w:val="31"/>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Note 10 — Subsequent Events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42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gridSpan w:val="3"/>
          </w:tcPr>
          <w:p>
            <w:pPr>
              <w:ind w:left="2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2.</w:t>
              </w:r>
            </w:hyperlink>
          </w:p>
        </w:tc>
        <w:tc>
          <w:tcPr>
            <w:tcW w:w="6900" w:type="dxa"/>
            <w:vAlign w:val="bottom"/>
            <w:gridSpan w:val="33"/>
          </w:tcPr>
          <w:p>
            <w:pPr>
              <w:ind w:left="14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Management’s Discussion and Analysis of Financial Condition and Results of</w:t>
              </w:r>
            </w:hyperlink>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900" w:type="dxa"/>
            <w:vAlign w:val="bottom"/>
            <w:gridSpan w:val="33"/>
          </w:tcPr>
          <w:p>
            <w:pPr>
              <w:ind w:left="140"/>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Operations</w:t>
              </w:r>
            </w:hyperlink>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580" w:type="dxa"/>
            <w:vAlign w:val="bottom"/>
            <w:gridSpan w:val="31"/>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Overview</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80" w:type="dxa"/>
            <w:vAlign w:val="bottom"/>
            <w:gridSpan w:val="31"/>
          </w:tcPr>
          <w:p>
            <w:pPr>
              <w:ind w:left="18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Investments — (Portfolio Activity)</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tcBorders>
              <w:right w:val="single" w:sz="8" w:color="CCEEFF"/>
            </w:tcBorders>
            <w:gridSpan w:val="7"/>
            <w:shd w:val="clear" w:color="auto" w:fill="CCEEFF"/>
          </w:tcPr>
          <w:p>
            <w:pPr>
              <w:spacing w:after="0" w:line="17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Results of Operations</w:t>
              </w:r>
            </w:hyperlink>
          </w:p>
        </w:tc>
        <w:tc>
          <w:tcPr>
            <w:tcW w:w="5000" w:type="dxa"/>
            <w:vAlign w:val="bottom"/>
            <w:gridSpan w:val="24"/>
            <w:shd w:val="clear" w:color="auto" w:fill="CCEEFF"/>
          </w:tcPr>
          <w:p>
            <w:pPr>
              <w:spacing w:after="0"/>
              <w:rPr>
                <w:sz w:val="15"/>
                <w:szCs w:val="15"/>
                <w:color w:val="auto"/>
              </w:rPr>
            </w:pPr>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80" w:type="dxa"/>
            <w:vAlign w:val="bottom"/>
            <w:gridSpan w:val="31"/>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Liquidity and Capital Resources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580" w:type="dxa"/>
            <w:vAlign w:val="bottom"/>
            <w:gridSpan w:val="31"/>
            <w:shd w:val="clear" w:color="auto" w:fill="CCEEFF"/>
          </w:tcPr>
          <w:p>
            <w:pPr>
              <w:ind w:left="18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Equity Issuances &amp; Debt Capital Activities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80" w:type="dxa"/>
            <w:vAlign w:val="bottom"/>
            <w:gridSpan w:val="31"/>
          </w:tcPr>
          <w:p>
            <w:pPr>
              <w:ind w:left="18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Contractual Obligations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580" w:type="dxa"/>
            <w:vAlign w:val="bottom"/>
            <w:gridSpan w:val="31"/>
            <w:shd w:val="clear" w:color="auto" w:fill="CCEEFF"/>
          </w:tcPr>
          <w:p>
            <w:pPr>
              <w:ind w:left="18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Off-Balance Sheet Arrangements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80" w:type="dxa"/>
            <w:vAlign w:val="bottom"/>
            <w:gridSpan w:val="31"/>
          </w:tcPr>
          <w:p>
            <w:pPr>
              <w:ind w:left="18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Distribution Policy</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580" w:type="dxa"/>
            <w:vAlign w:val="bottom"/>
            <w:gridSpan w:val="31"/>
            <w:shd w:val="clear" w:color="auto" w:fill="CCEEFF"/>
          </w:tcPr>
          <w:p>
            <w:pPr>
              <w:ind w:left="18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Borrowings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54</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80" w:type="dxa"/>
            <w:vAlign w:val="bottom"/>
            <w:gridSpan w:val="31"/>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Related-Party Transactions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40" w:type="dxa"/>
            <w:vAlign w:val="bottom"/>
            <w:gridSpan w:val="11"/>
            <w:shd w:val="clear" w:color="auto" w:fill="CCEEFF"/>
          </w:tcPr>
          <w:p>
            <w:pPr>
              <w:spacing w:after="0" w:line="176" w:lineRule="exact"/>
              <w:rPr>
                <w:rFonts w:ascii="Arial" w:cs="Arial" w:eastAsia="Arial" w:hAnsi="Arial"/>
                <w:sz w:val="18"/>
                <w:szCs w:val="18"/>
                <w:color w:val="0000EE"/>
                <w:w w:val="93"/>
              </w:rPr>
            </w:pPr>
            <w:hyperlink w:anchor="page60">
              <w:r>
                <w:rPr>
                  <w:rFonts w:ascii="Arial" w:cs="Arial" w:eastAsia="Arial" w:hAnsi="Arial"/>
                  <w:sz w:val="18"/>
                  <w:szCs w:val="18"/>
                  <w:color w:val="0000EE"/>
                  <w:w w:val="93"/>
                </w:rPr>
                <w:t>Critical Accounting Policies</w:t>
              </w:r>
            </w:hyperlink>
          </w:p>
        </w:tc>
        <w:tc>
          <w:tcPr>
            <w:tcW w:w="4540" w:type="dxa"/>
            <w:vAlign w:val="bottom"/>
            <w:gridSpan w:val="20"/>
            <w:shd w:val="clear" w:color="auto" w:fill="CCEEFF"/>
          </w:tcPr>
          <w:p>
            <w:pPr>
              <w:spacing w:after="0"/>
              <w:rPr>
                <w:sz w:val="15"/>
                <w:szCs w:val="15"/>
                <w:color w:val="auto"/>
              </w:rPr>
            </w:pPr>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7"/>
          </w:tcPr>
          <w:p>
            <w:pPr>
              <w:spacing w:after="0" w:line="176" w:lineRule="exact"/>
              <w:rPr>
                <w:rFonts w:ascii="Arial" w:cs="Arial" w:eastAsia="Arial" w:hAnsi="Arial"/>
                <w:sz w:val="18"/>
                <w:szCs w:val="18"/>
                <w:color w:val="0000EE"/>
                <w:w w:val="86"/>
              </w:rPr>
            </w:pPr>
            <w:hyperlink w:anchor="page60">
              <w:r>
                <w:rPr>
                  <w:rFonts w:ascii="Arial" w:cs="Arial" w:eastAsia="Arial" w:hAnsi="Arial"/>
                  <w:sz w:val="18"/>
                  <w:szCs w:val="18"/>
                  <w:color w:val="0000EE"/>
                  <w:w w:val="86"/>
                </w:rPr>
                <w:t>Recent Developments</w:t>
              </w:r>
            </w:hyperlink>
          </w:p>
        </w:tc>
        <w:tc>
          <w:tcPr>
            <w:tcW w:w="460" w:type="dxa"/>
            <w:vAlign w:val="bottom"/>
            <w:gridSpan w:val="4"/>
          </w:tcPr>
          <w:p>
            <w:pPr>
              <w:spacing w:after="0"/>
              <w:rPr>
                <w:sz w:val="15"/>
                <w:szCs w:val="15"/>
                <w:color w:val="auto"/>
              </w:rPr>
            </w:pPr>
          </w:p>
        </w:tc>
        <w:tc>
          <w:tcPr>
            <w:tcW w:w="4540" w:type="dxa"/>
            <w:vAlign w:val="bottom"/>
            <w:gridSpan w:val="20"/>
          </w:tcPr>
          <w:p>
            <w:pPr>
              <w:spacing w:after="0"/>
              <w:rPr>
                <w:sz w:val="15"/>
                <w:szCs w:val="15"/>
                <w:color w:val="auto"/>
              </w:rPr>
            </w:pPr>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7680" w:type="dxa"/>
            <w:vAlign w:val="bottom"/>
            <w:gridSpan w:val="20"/>
          </w:tcPr>
          <w:p>
            <w:pPr>
              <w:ind w:left="20"/>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5"/>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PAGE</w:t>
            </w:r>
          </w:p>
        </w:tc>
      </w:tr>
      <w:tr>
        <w:trPr>
          <w:trHeight w:val="169"/>
        </w:trPr>
        <w:tc>
          <w:tcPr>
            <w:tcW w:w="820" w:type="dxa"/>
            <w:vAlign w:val="bottom"/>
            <w:gridSpan w:val="4"/>
            <w:shd w:val="clear" w:color="auto" w:fill="CCEEFF"/>
          </w:tcPr>
          <w:p>
            <w:pPr>
              <w:ind w:left="20"/>
              <w:spacing w:after="0" w:line="170" w:lineRule="exact"/>
              <w:rPr>
                <w:rFonts w:ascii="Arial" w:cs="Arial" w:eastAsia="Arial" w:hAnsi="Arial"/>
                <w:sz w:val="18"/>
                <w:szCs w:val="18"/>
                <w:color w:val="0000EE"/>
              </w:rPr>
            </w:pPr>
            <w:hyperlink w:anchor="page61">
              <w:r>
                <w:rPr>
                  <w:rFonts w:ascii="Arial" w:cs="Arial" w:eastAsia="Arial" w:hAnsi="Arial"/>
                  <w:sz w:val="18"/>
                  <w:szCs w:val="18"/>
                  <w:color w:val="0000EE"/>
                </w:rPr>
                <w:t>Item 3.</w:t>
              </w:r>
            </w:hyperlink>
          </w:p>
        </w:tc>
        <w:tc>
          <w:tcPr>
            <w:tcW w:w="6860" w:type="dxa"/>
            <w:vAlign w:val="bottom"/>
            <w:gridSpan w:val="16"/>
            <w:shd w:val="clear" w:color="auto" w:fill="CCEEFF"/>
          </w:tcPr>
          <w:p>
            <w:pPr>
              <w:ind w:left="100"/>
              <w:spacing w:after="0" w:line="170" w:lineRule="exact"/>
              <w:rPr>
                <w:rFonts w:ascii="Arial" w:cs="Arial" w:eastAsia="Arial" w:hAnsi="Arial"/>
                <w:sz w:val="18"/>
                <w:szCs w:val="18"/>
                <w:color w:val="0000EE"/>
              </w:rPr>
            </w:pPr>
            <w:hyperlink w:anchor="page61">
              <w:r>
                <w:rPr>
                  <w:rFonts w:ascii="Arial" w:cs="Arial" w:eastAsia="Arial" w:hAnsi="Arial"/>
                  <w:sz w:val="18"/>
                  <w:szCs w:val="18"/>
                  <w:color w:val="0000EE"/>
                </w:rPr>
                <w:t>Quantitative and Qualitative Disclosures About Market Risk</w:t>
              </w:r>
            </w:hyperlink>
          </w:p>
        </w:tc>
        <w:tc>
          <w:tcPr>
            <w:tcW w:w="540" w:type="dxa"/>
            <w:vAlign w:val="bottom"/>
            <w:gridSpan w:val="3"/>
            <w:shd w:val="clear" w:color="auto" w:fill="CCEEFF"/>
          </w:tcPr>
          <w:p>
            <w:pPr>
              <w:jc w:val="right"/>
              <w:ind w:right="100"/>
              <w:spacing w:after="0" w:line="170" w:lineRule="exact"/>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20" w:type="dxa"/>
            <w:vAlign w:val="bottom"/>
            <w:gridSpan w:val="4"/>
          </w:tcPr>
          <w:p>
            <w:pPr>
              <w:ind w:left="2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Item 4.</w:t>
              </w:r>
            </w:hyperlink>
          </w:p>
        </w:tc>
        <w:tc>
          <w:tcPr>
            <w:tcW w:w="6860" w:type="dxa"/>
            <w:vAlign w:val="bottom"/>
            <w:gridSpan w:val="16"/>
          </w:tcPr>
          <w:p>
            <w:pPr>
              <w:ind w:left="10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Controls and Procedures</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2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6860" w:type="dxa"/>
            <w:vAlign w:val="bottom"/>
            <w:gridSpan w:val="16"/>
            <w:shd w:val="clear" w:color="auto" w:fill="CCEEFF"/>
          </w:tcPr>
          <w:p>
            <w:pPr>
              <w:ind w:left="100"/>
              <w:spacing w:after="0"/>
              <w:rPr>
                <w:sz w:val="20"/>
                <w:szCs w:val="20"/>
                <w:color w:val="auto"/>
              </w:rPr>
            </w:pPr>
            <w:r>
              <w:rPr>
                <w:rFonts w:ascii="Arial" w:cs="Arial" w:eastAsia="Arial" w:hAnsi="Arial"/>
                <w:sz w:val="18"/>
                <w:szCs w:val="18"/>
                <w:b w:val="1"/>
                <w:bCs w:val="1"/>
                <w:color w:val="auto"/>
              </w:rPr>
              <w:t>OTHER INFORMATION</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820" w:type="dxa"/>
            <w:vAlign w:val="bottom"/>
            <w:gridSpan w:val="4"/>
          </w:tcPr>
          <w:p>
            <w:pPr>
              <w:ind w:left="2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1.</w:t>
              </w:r>
            </w:hyperlink>
          </w:p>
        </w:tc>
        <w:tc>
          <w:tcPr>
            <w:tcW w:w="6860" w:type="dxa"/>
            <w:vAlign w:val="bottom"/>
            <w:gridSpan w:val="16"/>
          </w:tcPr>
          <w:p>
            <w:pPr>
              <w:ind w:left="10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Legal Proceedings</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2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1A.</w:t>
              </w:r>
            </w:hyperlink>
          </w:p>
        </w:tc>
        <w:tc>
          <w:tcPr>
            <w:tcW w:w="6860" w:type="dxa"/>
            <w:vAlign w:val="bottom"/>
            <w:gridSpan w:val="16"/>
            <w:shd w:val="clear" w:color="auto" w:fill="CCEEFF"/>
          </w:tcPr>
          <w:p>
            <w:pPr>
              <w:ind w:left="10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Risk Factors</w:t>
              </w:r>
            </w:hyperlink>
          </w:p>
        </w:tc>
        <w:tc>
          <w:tcPr>
            <w:tcW w:w="540" w:type="dxa"/>
            <w:vAlign w:val="bottom"/>
            <w:gridSpan w:val="3"/>
            <w:shd w:val="clear" w:color="auto" w:fill="CCEEFF"/>
          </w:tcPr>
          <w:p>
            <w:pPr>
              <w:jc w:val="right"/>
              <w:ind w:right="10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20" w:type="dxa"/>
            <w:vAlign w:val="bottom"/>
            <w:gridSpan w:val="4"/>
          </w:tcPr>
          <w:p>
            <w:pPr>
              <w:ind w:left="2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2.</w:t>
              </w:r>
            </w:hyperlink>
          </w:p>
        </w:tc>
        <w:tc>
          <w:tcPr>
            <w:tcW w:w="6860" w:type="dxa"/>
            <w:vAlign w:val="bottom"/>
            <w:gridSpan w:val="16"/>
          </w:tcPr>
          <w:p>
            <w:pPr>
              <w:ind w:left="10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Unregistered Sales of Equity Securities and Use of Proceeds</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2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3.</w:t>
              </w:r>
            </w:hyperlink>
          </w:p>
        </w:tc>
        <w:tc>
          <w:tcPr>
            <w:tcW w:w="6860" w:type="dxa"/>
            <w:vAlign w:val="bottom"/>
            <w:gridSpan w:val="16"/>
            <w:shd w:val="clear" w:color="auto" w:fill="CCEEFF"/>
          </w:tcPr>
          <w:p>
            <w:pPr>
              <w:ind w:left="10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Defaults Upon Senior Securities</w:t>
              </w:r>
            </w:hyperlink>
          </w:p>
        </w:tc>
        <w:tc>
          <w:tcPr>
            <w:tcW w:w="540" w:type="dxa"/>
            <w:vAlign w:val="bottom"/>
            <w:gridSpan w:val="3"/>
            <w:shd w:val="clear" w:color="auto" w:fill="CCEEFF"/>
          </w:tcPr>
          <w:p>
            <w:pPr>
              <w:jc w:val="right"/>
              <w:ind w:right="10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20" w:type="dxa"/>
            <w:vAlign w:val="bottom"/>
            <w:gridSpan w:val="4"/>
          </w:tcPr>
          <w:p>
            <w:pPr>
              <w:ind w:left="2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4.</w:t>
              </w:r>
            </w:hyperlink>
          </w:p>
        </w:tc>
        <w:tc>
          <w:tcPr>
            <w:tcW w:w="6860" w:type="dxa"/>
            <w:vAlign w:val="bottom"/>
            <w:gridSpan w:val="16"/>
          </w:tcPr>
          <w:p>
            <w:pPr>
              <w:ind w:left="10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Mine Safety Disclosure</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2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5.</w:t>
              </w:r>
            </w:hyperlink>
          </w:p>
        </w:tc>
        <w:tc>
          <w:tcPr>
            <w:tcW w:w="6860" w:type="dxa"/>
            <w:vAlign w:val="bottom"/>
            <w:gridSpan w:val="16"/>
            <w:shd w:val="clear" w:color="auto" w:fill="CCEEFF"/>
          </w:tcPr>
          <w:p>
            <w:pPr>
              <w:ind w:left="10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Other Information</w:t>
              </w:r>
            </w:hyperlink>
          </w:p>
        </w:tc>
        <w:tc>
          <w:tcPr>
            <w:tcW w:w="540" w:type="dxa"/>
            <w:vAlign w:val="bottom"/>
            <w:gridSpan w:val="3"/>
            <w:shd w:val="clear" w:color="auto" w:fill="CCEEFF"/>
          </w:tcPr>
          <w:p>
            <w:pPr>
              <w:jc w:val="right"/>
              <w:ind w:right="10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20" w:type="dxa"/>
            <w:vAlign w:val="bottom"/>
            <w:gridSpan w:val="4"/>
          </w:tcPr>
          <w:p>
            <w:pPr>
              <w:ind w:left="2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6.</w:t>
              </w:r>
            </w:hyperlink>
          </w:p>
        </w:tc>
        <w:tc>
          <w:tcPr>
            <w:tcW w:w="6860" w:type="dxa"/>
            <w:vAlign w:val="bottom"/>
            <w:gridSpan w:val="16"/>
          </w:tcPr>
          <w:p>
            <w:pPr>
              <w:ind w:left="10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Exhibits</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38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Schedules of Investments in and Advances to Affiliates (Schedules 12-14) as of June 30,</w:t>
              </w:r>
            </w:hyperlink>
          </w:p>
        </w:tc>
        <w:tc>
          <w:tcPr>
            <w:tcW w:w="3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760" w:type="dxa"/>
            <w:vAlign w:val="bottom"/>
            <w:gridSpan w:val="15"/>
            <w:shd w:val="clear" w:color="auto" w:fill="CCEEFF"/>
          </w:tcPr>
          <w:p>
            <w:pPr>
              <w:ind w:left="180"/>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2015 (unaudited) and December 31, 2014</w:t>
              </w:r>
            </w:hyperlink>
          </w:p>
        </w:tc>
        <w:tc>
          <w:tcPr>
            <w:tcW w:w="540" w:type="dxa"/>
            <w:vAlign w:val="bottom"/>
            <w:gridSpan w:val="3"/>
            <w:shd w:val="clear" w:color="auto" w:fill="CCEEFF"/>
          </w:tcPr>
          <w:p>
            <w:pPr>
              <w:jc w:val="right"/>
              <w:ind w:right="100"/>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4"/>
          </w:tcPr>
          <w:p>
            <w:pPr>
              <w:spacing w:after="0" w:line="176" w:lineRule="exact"/>
              <w:rPr>
                <w:rFonts w:ascii="Arial" w:cs="Arial" w:eastAsia="Arial" w:hAnsi="Arial"/>
                <w:sz w:val="18"/>
                <w:szCs w:val="18"/>
                <w:color w:val="0000EE"/>
                <w:w w:val="85"/>
              </w:rPr>
            </w:pPr>
            <w:hyperlink w:anchor="page71">
              <w:r>
                <w:rPr>
                  <w:rFonts w:ascii="Arial" w:cs="Arial" w:eastAsia="Arial" w:hAnsi="Arial"/>
                  <w:sz w:val="18"/>
                  <w:szCs w:val="18"/>
                  <w:color w:val="0000EE"/>
                  <w:w w:val="85"/>
                </w:rPr>
                <w:t>Signatures</w:t>
              </w:r>
            </w:hyperlink>
          </w:p>
        </w:tc>
        <w:tc>
          <w:tcPr>
            <w:tcW w:w="6000" w:type="dxa"/>
            <w:vAlign w:val="bottom"/>
            <w:gridSpan w:val="11"/>
          </w:tcPr>
          <w:p>
            <w:pPr>
              <w:spacing w:after="0"/>
              <w:rPr>
                <w:sz w:val="15"/>
                <w:szCs w:val="15"/>
                <w:color w:val="auto"/>
              </w:rPr>
            </w:pPr>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-1980565</wp:posOffset>
            </wp:positionV>
            <wp:extent cx="52139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3" w:name="page4"/>
    <w:bookmarkEnd w:id="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CONDENSED 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9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(Unaudited)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9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Investments at fair value:</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00" w:type="dxa"/>
            <w:vAlign w:val="bottom"/>
            <w:gridSpan w:val="2"/>
          </w:tcPr>
          <w:p>
            <w:pPr>
              <w:ind w:left="180"/>
              <w:spacing w:after="0"/>
              <w:rPr>
                <w:sz w:val="20"/>
                <w:szCs w:val="20"/>
                <w:color w:val="auto"/>
              </w:rPr>
            </w:pPr>
            <w:r>
              <w:rPr>
                <w:rFonts w:ascii="Arial" w:cs="Arial" w:eastAsia="Arial" w:hAnsi="Arial"/>
                <w:sz w:val="16"/>
                <w:szCs w:val="16"/>
                <w:color w:val="auto"/>
              </w:rPr>
              <w:t>Investments in controlled securities (cost of $19,031,912 and $17,933,651</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5900" w:type="dxa"/>
            <w:vAlign w:val="bottom"/>
            <w:gridSpan w:val="2"/>
          </w:tcPr>
          <w:p>
            <w:pPr>
              <w:ind w:left="360"/>
              <w:spacing w:after="0" w:line="254" w:lineRule="exact"/>
              <w:rPr>
                <w:sz w:val="20"/>
                <w:szCs w:val="20"/>
                <w:color w:val="auto"/>
              </w:rPr>
            </w:pPr>
            <w:r>
              <w:rPr>
                <w:rFonts w:ascii="Arial" w:cs="Arial" w:eastAsia="Arial" w:hAnsi="Arial"/>
                <w:sz w:val="16"/>
                <w:szCs w:val="16"/>
                <w:color w:val="auto"/>
              </w:rPr>
              <w:t>respectively)</w:t>
            </w:r>
            <w:r>
              <w:rPr>
                <w:rFonts w:ascii="Arial" w:cs="Arial" w:eastAsia="Arial" w:hAnsi="Arial"/>
                <w:sz w:val="27"/>
                <w:szCs w:val="27"/>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20,666,877</w:t>
            </w:r>
          </w:p>
        </w:tc>
        <w:tc>
          <w:tcPr>
            <w:tcW w:w="10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18,819,335</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5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3"/>
              </w:rPr>
              <w:t>Investments in affiliated securities (cost of $85,207,517 and $80,760,208 respectively)</w:t>
            </w:r>
          </w:p>
        </w:tc>
        <w:tc>
          <w:tcPr>
            <w:tcW w:w="14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75,297,514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70,172,313</w:t>
            </w:r>
          </w:p>
        </w:tc>
        <w:tc>
          <w:tcPr>
            <w:tcW w:w="0" w:type="dxa"/>
            <w:vAlign w:val="bottom"/>
          </w:tcPr>
          <w:p>
            <w:pPr>
              <w:spacing w:after="0"/>
              <w:rPr>
                <w:sz w:val="1"/>
                <w:szCs w:val="1"/>
                <w:color w:val="auto"/>
              </w:rPr>
            </w:pPr>
          </w:p>
        </w:tc>
      </w:tr>
      <w:tr>
        <w:trPr>
          <w:trHeight w:val="200"/>
        </w:trPr>
        <w:tc>
          <w:tcPr>
            <w:tcW w:w="10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(1)</w:t>
            </w:r>
          </w:p>
        </w:tc>
        <w:tc>
          <w:tcPr>
            <w:tcW w:w="4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00" w:type="dxa"/>
            <w:vAlign w:val="bottom"/>
            <w:gridSpan w:val="2"/>
          </w:tcPr>
          <w:p>
            <w:pPr>
              <w:ind w:left="180"/>
              <w:spacing w:after="0"/>
              <w:rPr>
                <w:sz w:val="20"/>
                <w:szCs w:val="20"/>
                <w:color w:val="auto"/>
              </w:rPr>
            </w:pPr>
            <w:r>
              <w:rPr>
                <w:rFonts w:ascii="Arial" w:cs="Arial" w:eastAsia="Arial" w:hAnsi="Arial"/>
                <w:sz w:val="16"/>
                <w:szCs w:val="16"/>
                <w:color w:val="auto"/>
              </w:rPr>
              <w:t>Investments in non-controlled/non-affiliated securities (cost of $194,193,416 and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gridSpan w:val="2"/>
          </w:tcPr>
          <w:p>
            <w:pPr>
              <w:ind w:left="360"/>
              <w:spacing w:after="0"/>
              <w:rPr>
                <w:sz w:val="20"/>
                <w:szCs w:val="20"/>
                <w:color w:val="auto"/>
              </w:rPr>
            </w:pPr>
            <w:r>
              <w:rPr>
                <w:rFonts w:ascii="Arial" w:cs="Arial" w:eastAsia="Arial" w:hAnsi="Arial"/>
                <w:sz w:val="16"/>
                <w:szCs w:val="16"/>
                <w:color w:val="auto"/>
              </w:rPr>
              <w:t>$202,417,830 respectively)</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2"/>
              </w:rPr>
              <w:t>294,378,268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281,992,669</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Investments in treasury bill (cost of $100,001,569 and $100,001,692</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9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respectively)</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100,001,569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100,000,056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00" w:type="dxa"/>
            <w:vAlign w:val="bottom"/>
            <w:gridSpan w:val="2"/>
          </w:tcPr>
          <w:p>
            <w:pPr>
              <w:ind w:left="180"/>
              <w:spacing w:after="0"/>
              <w:rPr>
                <w:sz w:val="20"/>
                <w:szCs w:val="20"/>
                <w:color w:val="auto"/>
              </w:rPr>
            </w:pPr>
            <w:r>
              <w:rPr>
                <w:rFonts w:ascii="Arial" w:cs="Arial" w:eastAsia="Arial" w:hAnsi="Arial"/>
                <w:sz w:val="16"/>
                <w:szCs w:val="16"/>
                <w:color w:val="auto"/>
              </w:rPr>
              <w:t>Investments owned and pledged (amortized cost of $5,485,542 and $7,286,332</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5900" w:type="dxa"/>
            <w:vAlign w:val="bottom"/>
            <w:gridSpan w:val="2"/>
          </w:tcPr>
          <w:p>
            <w:pPr>
              <w:ind w:left="360"/>
              <w:spacing w:after="0" w:line="254" w:lineRule="exact"/>
              <w:rPr>
                <w:sz w:val="20"/>
                <w:szCs w:val="20"/>
                <w:color w:val="auto"/>
              </w:rPr>
            </w:pPr>
            <w:r>
              <w:rPr>
                <w:rFonts w:ascii="Arial" w:cs="Arial" w:eastAsia="Arial" w:hAnsi="Arial"/>
                <w:sz w:val="16"/>
                <w:szCs w:val="16"/>
                <w:color w:val="auto"/>
              </w:rPr>
              <w:t>respectively)</w:t>
            </w:r>
            <w:r>
              <w:rPr>
                <w:rFonts w:ascii="Arial" w:cs="Arial" w:eastAsia="Arial" w:hAnsi="Arial"/>
                <w:sz w:val="27"/>
                <w:szCs w:val="27"/>
                <w:color w:val="auto"/>
                <w:vertAlign w:val="superscript"/>
              </w:rPr>
              <w:t>(2)</w:t>
            </w:r>
          </w:p>
        </w:tc>
        <w:tc>
          <w:tcPr>
            <w:tcW w:w="14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5,498,112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7,298,042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9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Total Investments (cost of $403,919,956 and $408,399,713 respectively)</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495,842,340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478,282,415</w:t>
            </w:r>
          </w:p>
        </w:tc>
        <w:tc>
          <w:tcPr>
            <w:tcW w:w="0" w:type="dxa"/>
            <w:vAlign w:val="bottom"/>
          </w:tcPr>
          <w:p>
            <w:pPr>
              <w:spacing w:after="0"/>
              <w:rPr>
                <w:sz w:val="1"/>
                <w:szCs w:val="1"/>
                <w:color w:val="auto"/>
              </w:rPr>
            </w:pPr>
          </w:p>
        </w:tc>
      </w:tr>
      <w:tr>
        <w:trPr>
          <w:trHeight w:val="203"/>
        </w:trPr>
        <w:tc>
          <w:tcPr>
            <w:tcW w:w="5920" w:type="dxa"/>
            <w:vAlign w:val="bottom"/>
            <w:gridSpan w:val="3"/>
          </w:tcPr>
          <w:p>
            <w:pPr>
              <w:ind w:left="20"/>
              <w:spacing w:after="0"/>
              <w:rPr>
                <w:sz w:val="20"/>
                <w:szCs w:val="20"/>
                <w:color w:val="auto"/>
              </w:rPr>
            </w:pPr>
            <w:r>
              <w:rPr>
                <w:rFonts w:ascii="Arial" w:cs="Arial" w:eastAsia="Arial" w:hAnsi="Arial"/>
                <w:sz w:val="16"/>
                <w:szCs w:val="16"/>
                <w:color w:val="auto"/>
              </w:rPr>
              <w:t>Cash</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8,049,760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3,472,880</w:t>
            </w:r>
          </w:p>
        </w:tc>
        <w:tc>
          <w:tcPr>
            <w:tcW w:w="0" w:type="dxa"/>
            <w:vAlign w:val="bottom"/>
          </w:tcPr>
          <w:p>
            <w:pPr>
              <w:spacing w:after="0"/>
              <w:rPr>
                <w:sz w:val="1"/>
                <w:szCs w:val="1"/>
                <w:color w:val="auto"/>
              </w:rPr>
            </w:pPr>
          </w:p>
        </w:tc>
      </w:tr>
      <w:tr>
        <w:trPr>
          <w:trHeight w:val="203"/>
        </w:trPr>
        <w:tc>
          <w:tcPr>
            <w:tcW w:w="5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48,889</w:t>
            </w:r>
          </w:p>
        </w:tc>
        <w:tc>
          <w:tcPr>
            <w:tcW w:w="0" w:type="dxa"/>
            <w:vAlign w:val="bottom"/>
          </w:tcPr>
          <w:p>
            <w:pPr>
              <w:spacing w:after="0"/>
              <w:rPr>
                <w:sz w:val="1"/>
                <w:szCs w:val="1"/>
                <w:color w:val="auto"/>
              </w:rPr>
            </w:pPr>
          </w:p>
        </w:tc>
      </w:tr>
      <w:tr>
        <w:trPr>
          <w:trHeight w:val="203"/>
        </w:trPr>
        <w:tc>
          <w:tcPr>
            <w:tcW w:w="5920" w:type="dxa"/>
            <w:vAlign w:val="bottom"/>
            <w:gridSpan w:val="3"/>
          </w:tcPr>
          <w:p>
            <w:pPr>
              <w:ind w:left="20"/>
              <w:spacing w:after="0"/>
              <w:rPr>
                <w:sz w:val="20"/>
                <w:szCs w:val="20"/>
                <w:color w:val="auto"/>
              </w:rPr>
            </w:pPr>
            <w:r>
              <w:rPr>
                <w:rFonts w:ascii="Arial" w:cs="Arial" w:eastAsia="Arial" w:hAnsi="Arial"/>
                <w:sz w:val="16"/>
                <w:szCs w:val="16"/>
                <w:color w:val="auto"/>
              </w:rPr>
              <w:t>Due from:</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900" w:type="dxa"/>
            <w:vAlign w:val="bottom"/>
            <w:gridSpan w:val="2"/>
            <w:shd w:val="clear" w:color="auto" w:fill="CCEEFF"/>
          </w:tcPr>
          <w:p>
            <w:pPr>
              <w:ind w:left="180"/>
              <w:spacing w:after="0" w:line="242" w:lineRule="exact"/>
              <w:rPr>
                <w:sz w:val="20"/>
                <w:szCs w:val="20"/>
                <w:color w:val="auto"/>
              </w:rPr>
            </w:pPr>
            <w:r>
              <w:rPr>
                <w:rFonts w:ascii="Arial" w:cs="Arial" w:eastAsia="Arial" w:hAnsi="Arial"/>
                <w:sz w:val="16"/>
                <w:szCs w:val="16"/>
                <w:color w:val="auto"/>
              </w:rPr>
              <w:t>GSV Asset Management</w:t>
            </w:r>
            <w:r>
              <w:rPr>
                <w:rFonts w:ascii="Arial" w:cs="Arial" w:eastAsia="Arial" w:hAnsi="Arial"/>
                <w:sz w:val="27"/>
                <w:szCs w:val="27"/>
                <w:color w:val="auto"/>
                <w:vertAlign w:val="superscript"/>
              </w:rPr>
              <w:t>(1)</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204,825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2"/>
          </w:tcPr>
          <w:p>
            <w:pPr>
              <w:ind w:left="180"/>
              <w:spacing w:after="0" w:line="242" w:lineRule="exact"/>
              <w:rPr>
                <w:sz w:val="20"/>
                <w:szCs w:val="20"/>
                <w:color w:val="auto"/>
              </w:rPr>
            </w:pPr>
            <w:r>
              <w:rPr>
                <w:rFonts w:ascii="Arial" w:cs="Arial" w:eastAsia="Arial" w:hAnsi="Arial"/>
                <w:sz w:val="16"/>
                <w:szCs w:val="16"/>
                <w:color w:val="auto"/>
              </w:rPr>
              <w:t>Portfolio companies</w:t>
            </w:r>
            <w:r>
              <w:rPr>
                <w:rFonts w:ascii="Arial" w:cs="Arial" w:eastAsia="Arial" w:hAnsi="Arial"/>
                <w:sz w:val="27"/>
                <w:szCs w:val="27"/>
                <w:color w:val="auto"/>
                <w:vertAlign w:val="superscript"/>
              </w:rPr>
              <w:t>(1)</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68,371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85,356</w:t>
            </w:r>
          </w:p>
        </w:tc>
        <w:tc>
          <w:tcPr>
            <w:tcW w:w="0" w:type="dxa"/>
            <w:vAlign w:val="bottom"/>
          </w:tcPr>
          <w:p>
            <w:pPr>
              <w:spacing w:after="0"/>
              <w:rPr>
                <w:sz w:val="1"/>
                <w:szCs w:val="1"/>
                <w:color w:val="auto"/>
              </w:rPr>
            </w:pPr>
          </w:p>
        </w:tc>
      </w:tr>
      <w:tr>
        <w:trPr>
          <w:trHeight w:val="203"/>
        </w:trPr>
        <w:tc>
          <w:tcPr>
            <w:tcW w:w="5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and dividends receivable</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119,248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26,671</w:t>
            </w:r>
          </w:p>
        </w:tc>
        <w:tc>
          <w:tcPr>
            <w:tcW w:w="0" w:type="dxa"/>
            <w:vAlign w:val="bottom"/>
          </w:tcPr>
          <w:p>
            <w:pPr>
              <w:spacing w:after="0"/>
              <w:rPr>
                <w:sz w:val="1"/>
                <w:szCs w:val="1"/>
                <w:color w:val="auto"/>
              </w:rPr>
            </w:pPr>
          </w:p>
        </w:tc>
      </w:tr>
      <w:tr>
        <w:trPr>
          <w:trHeight w:val="203"/>
        </w:trPr>
        <w:tc>
          <w:tcPr>
            <w:tcW w:w="5920" w:type="dxa"/>
            <w:vAlign w:val="bottom"/>
            <w:gridSpan w:val="3"/>
          </w:tcPr>
          <w:p>
            <w:pPr>
              <w:ind w:left="20"/>
              <w:spacing w:after="0"/>
              <w:rPr>
                <w:sz w:val="20"/>
                <w:szCs w:val="20"/>
                <w:color w:val="auto"/>
              </w:rPr>
            </w:pPr>
            <w:r>
              <w:rPr>
                <w:rFonts w:ascii="Arial" w:cs="Arial" w:eastAsia="Arial" w:hAnsi="Arial"/>
                <w:sz w:val="16"/>
                <w:szCs w:val="16"/>
                <w:color w:val="auto"/>
              </w:rPr>
              <w:t>Prepaid expenses and other assets</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63,982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596,926</w:t>
            </w:r>
          </w:p>
        </w:tc>
        <w:tc>
          <w:tcPr>
            <w:tcW w:w="0" w:type="dxa"/>
            <w:vAlign w:val="bottom"/>
          </w:tcPr>
          <w:p>
            <w:pPr>
              <w:spacing w:after="0"/>
              <w:rPr>
                <w:sz w:val="1"/>
                <w:szCs w:val="1"/>
                <w:color w:val="auto"/>
              </w:rPr>
            </w:pPr>
          </w:p>
        </w:tc>
      </w:tr>
      <w:tr>
        <w:trPr>
          <w:trHeight w:val="203"/>
        </w:trPr>
        <w:tc>
          <w:tcPr>
            <w:tcW w:w="5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Deferred financing costs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2,514,558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2,928,134</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9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2"/>
          </w:tcPr>
          <w:p>
            <w:pPr>
              <w:ind w:left="36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2"/>
              </w:rPr>
              <w:t>506,700,564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485,646,096</w:t>
            </w:r>
          </w:p>
        </w:tc>
        <w:tc>
          <w:tcPr>
            <w:tcW w:w="0" w:type="dxa"/>
            <w:vAlign w:val="bottom"/>
          </w:tcPr>
          <w:p>
            <w:pPr>
              <w:spacing w:after="0"/>
              <w:rPr>
                <w:sz w:val="1"/>
                <w:szCs w:val="1"/>
                <w:color w:val="auto"/>
              </w:rPr>
            </w:pPr>
          </w:p>
        </w:tc>
      </w:tr>
      <w:tr>
        <w:trPr>
          <w:trHeight w:val="196"/>
        </w:trPr>
        <w:tc>
          <w:tcPr>
            <w:tcW w:w="59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gridSpan w:val="3"/>
          </w:tcPr>
          <w:p>
            <w:pPr>
              <w:ind w:left="20"/>
              <w:spacing w:after="0"/>
              <w:rPr>
                <w:sz w:val="20"/>
                <w:szCs w:val="20"/>
                <w:color w:val="auto"/>
              </w:rPr>
            </w:pPr>
            <w:r>
              <w:rPr>
                <w:rFonts w:ascii="Arial" w:cs="Arial" w:eastAsia="Arial" w:hAnsi="Arial"/>
                <w:sz w:val="16"/>
                <w:szCs w:val="16"/>
                <w:color w:val="auto"/>
              </w:rPr>
              <w:t>Due to:</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900" w:type="dxa"/>
            <w:vAlign w:val="bottom"/>
            <w:gridSpan w:val="2"/>
            <w:shd w:val="clear" w:color="auto" w:fill="CCEEFF"/>
          </w:tcPr>
          <w:p>
            <w:pPr>
              <w:ind w:left="180"/>
              <w:spacing w:after="0" w:line="242" w:lineRule="exact"/>
              <w:rPr>
                <w:sz w:val="20"/>
                <w:szCs w:val="20"/>
                <w:color w:val="auto"/>
              </w:rPr>
            </w:pPr>
            <w:r>
              <w:rPr>
                <w:rFonts w:ascii="Arial" w:cs="Arial" w:eastAsia="Arial" w:hAnsi="Arial"/>
                <w:sz w:val="16"/>
                <w:szCs w:val="16"/>
                <w:color w:val="auto"/>
              </w:rPr>
              <w:t>GSV Asset Management</w:t>
            </w:r>
            <w:r>
              <w:rPr>
                <w:rFonts w:ascii="Arial" w:cs="Arial" w:eastAsia="Arial" w:hAnsi="Arial"/>
                <w:sz w:val="27"/>
                <w:szCs w:val="27"/>
                <w:color w:val="auto"/>
                <w:vertAlign w:val="superscript"/>
              </w:rPr>
              <w:t>(1)</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29,325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23,396</w:t>
            </w:r>
          </w:p>
        </w:tc>
        <w:tc>
          <w:tcPr>
            <w:tcW w:w="0" w:type="dxa"/>
            <w:vAlign w:val="bottom"/>
          </w:tcPr>
          <w:p>
            <w:pPr>
              <w:spacing w:after="0"/>
              <w:rPr>
                <w:sz w:val="1"/>
                <w:szCs w:val="1"/>
                <w:color w:val="auto"/>
              </w:rPr>
            </w:pPr>
          </w:p>
        </w:tc>
      </w:tr>
      <w:tr>
        <w:trPr>
          <w:trHeight w:val="203"/>
        </w:trPr>
        <w:tc>
          <w:tcPr>
            <w:tcW w:w="5920" w:type="dxa"/>
            <w:vAlign w:val="bottom"/>
            <w:gridSpan w:val="3"/>
          </w:tcPr>
          <w:p>
            <w:pPr>
              <w:ind w:left="20"/>
              <w:spacing w:after="0"/>
              <w:rPr>
                <w:sz w:val="20"/>
                <w:szCs w:val="20"/>
                <w:color w:val="auto"/>
              </w:rPr>
            </w:pPr>
            <w:r>
              <w:rPr>
                <w:rFonts w:ascii="Arial" w:cs="Arial" w:eastAsia="Arial" w:hAnsi="Arial"/>
                <w:sz w:val="16"/>
                <w:szCs w:val="16"/>
                <w:color w:val="auto"/>
              </w:rPr>
              <w:t>Accounts payable and accrued expenses</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62,169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292,950</w:t>
            </w:r>
          </w:p>
        </w:tc>
        <w:tc>
          <w:tcPr>
            <w:tcW w:w="0" w:type="dxa"/>
            <w:vAlign w:val="bottom"/>
          </w:tcPr>
          <w:p>
            <w:pPr>
              <w:spacing w:after="0"/>
              <w:rPr>
                <w:sz w:val="1"/>
                <w:szCs w:val="1"/>
                <w:color w:val="auto"/>
              </w:rPr>
            </w:pPr>
          </w:p>
        </w:tc>
      </w:tr>
      <w:tr>
        <w:trPr>
          <w:trHeight w:val="243"/>
        </w:trPr>
        <w:tc>
          <w:tcPr>
            <w:tcW w:w="592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Accrued incentive fees</w:t>
            </w:r>
            <w:r>
              <w:rPr>
                <w:rFonts w:ascii="Arial" w:cs="Arial" w:eastAsia="Arial" w:hAnsi="Arial"/>
                <w:sz w:val="27"/>
                <w:szCs w:val="27"/>
                <w:color w:val="auto"/>
                <w:vertAlign w:val="superscript"/>
              </w:rPr>
              <w:t>(1)</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23,914,966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14,137,899</w:t>
            </w:r>
          </w:p>
        </w:tc>
        <w:tc>
          <w:tcPr>
            <w:tcW w:w="0" w:type="dxa"/>
            <w:vAlign w:val="bottom"/>
          </w:tcPr>
          <w:p>
            <w:pPr>
              <w:spacing w:after="0"/>
              <w:rPr>
                <w:sz w:val="1"/>
                <w:szCs w:val="1"/>
                <w:color w:val="auto"/>
              </w:rPr>
            </w:pPr>
          </w:p>
        </w:tc>
      </w:tr>
      <w:tr>
        <w:trPr>
          <w:trHeight w:val="243"/>
        </w:trPr>
        <w:tc>
          <w:tcPr>
            <w:tcW w:w="592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Accrued management fees</w:t>
            </w:r>
            <w:r>
              <w:rPr>
                <w:rFonts w:ascii="Arial" w:cs="Arial" w:eastAsia="Arial" w:hAnsi="Arial"/>
                <w:sz w:val="27"/>
                <w:szCs w:val="27"/>
                <w:color w:val="auto"/>
                <w:vertAlign w:val="superscript"/>
              </w:rPr>
              <w:t>(1)</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670,128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641,276</w:t>
            </w:r>
          </w:p>
        </w:tc>
        <w:tc>
          <w:tcPr>
            <w:tcW w:w="0" w:type="dxa"/>
            <w:vAlign w:val="bottom"/>
          </w:tcPr>
          <w:p>
            <w:pPr>
              <w:spacing w:after="0"/>
              <w:rPr>
                <w:sz w:val="1"/>
                <w:szCs w:val="1"/>
                <w:color w:val="auto"/>
              </w:rPr>
            </w:pPr>
          </w:p>
        </w:tc>
      </w:tr>
      <w:tr>
        <w:trPr>
          <w:trHeight w:val="203"/>
        </w:trPr>
        <w:tc>
          <w:tcPr>
            <w:tcW w:w="5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Accrued interest payable</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1,056,563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1,139,458</w:t>
            </w:r>
          </w:p>
        </w:tc>
        <w:tc>
          <w:tcPr>
            <w:tcW w:w="0" w:type="dxa"/>
            <w:vAlign w:val="bottom"/>
          </w:tcPr>
          <w:p>
            <w:pPr>
              <w:spacing w:after="0"/>
              <w:rPr>
                <w:sz w:val="1"/>
                <w:szCs w:val="1"/>
                <w:color w:val="auto"/>
              </w:rPr>
            </w:pPr>
          </w:p>
        </w:tc>
      </w:tr>
      <w:tr>
        <w:trPr>
          <w:trHeight w:val="203"/>
        </w:trPr>
        <w:tc>
          <w:tcPr>
            <w:tcW w:w="5920" w:type="dxa"/>
            <w:vAlign w:val="bottom"/>
            <w:gridSpan w:val="3"/>
          </w:tcPr>
          <w:p>
            <w:pPr>
              <w:ind w:left="20"/>
              <w:spacing w:after="0"/>
              <w:rPr>
                <w:sz w:val="20"/>
                <w:szCs w:val="20"/>
                <w:color w:val="auto"/>
              </w:rPr>
            </w:pPr>
            <w:r>
              <w:rPr>
                <w:rFonts w:ascii="Arial" w:cs="Arial" w:eastAsia="Arial" w:hAnsi="Arial"/>
                <w:sz w:val="16"/>
                <w:szCs w:val="16"/>
                <w:color w:val="auto"/>
              </w:rPr>
              <w:t>Payable for securities purchased</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89,501,569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90,001,692</w:t>
            </w:r>
          </w:p>
        </w:tc>
        <w:tc>
          <w:tcPr>
            <w:tcW w:w="0" w:type="dxa"/>
            <w:vAlign w:val="bottom"/>
          </w:tcPr>
          <w:p>
            <w:pPr>
              <w:spacing w:after="0"/>
              <w:rPr>
                <w:sz w:val="1"/>
                <w:szCs w:val="1"/>
                <w:color w:val="auto"/>
              </w:rPr>
            </w:pPr>
          </w:p>
        </w:tc>
      </w:tr>
      <w:tr>
        <w:trPr>
          <w:trHeight w:val="203"/>
        </w:trPr>
        <w:tc>
          <w:tcPr>
            <w:tcW w:w="5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Current taxes payable</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134,733</w:t>
            </w:r>
          </w:p>
        </w:tc>
        <w:tc>
          <w:tcPr>
            <w:tcW w:w="0" w:type="dxa"/>
            <w:vAlign w:val="bottom"/>
          </w:tcPr>
          <w:p>
            <w:pPr>
              <w:spacing w:after="0"/>
              <w:rPr>
                <w:sz w:val="1"/>
                <w:szCs w:val="1"/>
                <w:color w:val="auto"/>
              </w:rPr>
            </w:pPr>
          </w:p>
        </w:tc>
      </w:tr>
      <w:tr>
        <w:trPr>
          <w:trHeight w:val="203"/>
        </w:trPr>
        <w:tc>
          <w:tcPr>
            <w:tcW w:w="5920" w:type="dxa"/>
            <w:vAlign w:val="bottom"/>
            <w:gridSpan w:val="3"/>
          </w:tcPr>
          <w:p>
            <w:pPr>
              <w:ind w:left="20"/>
              <w:spacing w:after="0"/>
              <w:rPr>
                <w:sz w:val="20"/>
                <w:szCs w:val="20"/>
                <w:color w:val="auto"/>
              </w:rPr>
            </w:pPr>
            <w:r>
              <w:rPr>
                <w:rFonts w:ascii="Arial" w:cs="Arial" w:eastAsia="Arial" w:hAnsi="Arial"/>
                <w:sz w:val="16"/>
                <w:szCs w:val="16"/>
                <w:color w:val="auto"/>
              </w:rPr>
              <w:t>Deferred tax liability</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19,153,303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6,907,666</w:t>
            </w:r>
          </w:p>
        </w:tc>
        <w:tc>
          <w:tcPr>
            <w:tcW w:w="0" w:type="dxa"/>
            <w:vAlign w:val="bottom"/>
          </w:tcPr>
          <w:p>
            <w:pPr>
              <w:spacing w:after="0"/>
              <w:rPr>
                <w:sz w:val="1"/>
                <w:szCs w:val="1"/>
                <w:color w:val="auto"/>
              </w:rPr>
            </w:pPr>
          </w:p>
        </w:tc>
      </w:tr>
      <w:tr>
        <w:trPr>
          <w:trHeight w:val="203"/>
        </w:trPr>
        <w:tc>
          <w:tcPr>
            <w:tcW w:w="5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Line of credit payable</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18,000,000</w:t>
            </w:r>
          </w:p>
        </w:tc>
        <w:tc>
          <w:tcPr>
            <w:tcW w:w="0" w:type="dxa"/>
            <w:vAlign w:val="bottom"/>
          </w:tcPr>
          <w:p>
            <w:pPr>
              <w:spacing w:after="0"/>
              <w:rPr>
                <w:sz w:val="1"/>
                <w:szCs w:val="1"/>
                <w:color w:val="auto"/>
              </w:rPr>
            </w:pPr>
          </w:p>
        </w:tc>
      </w:tr>
      <w:tr>
        <w:trPr>
          <w:trHeight w:val="203"/>
        </w:trPr>
        <w:tc>
          <w:tcPr>
            <w:tcW w:w="5920" w:type="dxa"/>
            <w:vAlign w:val="bottom"/>
            <w:gridSpan w:val="3"/>
          </w:tcPr>
          <w:p>
            <w:pPr>
              <w:ind w:left="20"/>
              <w:spacing w:after="0"/>
              <w:rPr>
                <w:sz w:val="20"/>
                <w:szCs w:val="20"/>
                <w:color w:val="auto"/>
              </w:rPr>
            </w:pPr>
            <w:r>
              <w:rPr>
                <w:rFonts w:ascii="Arial" w:cs="Arial" w:eastAsia="Arial" w:hAnsi="Arial"/>
                <w:sz w:val="16"/>
                <w:szCs w:val="16"/>
                <w:color w:val="auto"/>
              </w:rPr>
              <w:t>Convertible Senior Notes embedded derivative liability</w:t>
            </w:r>
          </w:p>
        </w:tc>
        <w:tc>
          <w:tcPr>
            <w:tcW w:w="1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3"/>
        </w:trPr>
        <w:tc>
          <w:tcPr>
            <w:tcW w:w="5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Convertible Senior Notes payable 5.25% due September 15, 2018</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68,528,012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68,462,353</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9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2"/>
          </w:tcPr>
          <w:p>
            <w:pPr>
              <w:ind w:left="360"/>
              <w:spacing w:after="0"/>
              <w:rPr>
                <w:sz w:val="20"/>
                <w:szCs w:val="20"/>
                <w:color w:val="auto"/>
              </w:rPr>
            </w:pPr>
            <w:r>
              <w:rPr>
                <w:rFonts w:ascii="Arial" w:cs="Arial" w:eastAsia="Arial" w:hAnsi="Arial"/>
                <w:sz w:val="16"/>
                <w:szCs w:val="16"/>
                <w:b w:val="1"/>
                <w:bCs w:val="1"/>
                <w:color w:val="auto"/>
              </w:rPr>
              <w:t>Total Liabilities</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2"/>
              </w:rPr>
              <w:t>203,050,768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199,742,423</w:t>
            </w:r>
          </w:p>
        </w:tc>
        <w:tc>
          <w:tcPr>
            <w:tcW w:w="0" w:type="dxa"/>
            <w:vAlign w:val="bottom"/>
          </w:tcPr>
          <w:p>
            <w:pPr>
              <w:spacing w:after="0"/>
              <w:rPr>
                <w:sz w:val="1"/>
                <w:szCs w:val="1"/>
                <w:color w:val="auto"/>
              </w:rPr>
            </w:pPr>
          </w:p>
        </w:tc>
      </w:tr>
      <w:tr>
        <w:trPr>
          <w:trHeight w:val="196"/>
        </w:trPr>
        <w:tc>
          <w:tcPr>
            <w:tcW w:w="59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 (Note 6)</w:t>
            </w: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gridSpan w:val="3"/>
          </w:tcPr>
          <w:p>
            <w:pPr>
              <w:ind w:left="20"/>
              <w:spacing w:after="0"/>
              <w:rPr>
                <w:sz w:val="20"/>
                <w:szCs w:val="20"/>
                <w:color w:val="auto"/>
              </w:rPr>
            </w:pPr>
            <w:r>
              <w:rPr>
                <w:rFonts w:ascii="Arial" w:cs="Arial" w:eastAsia="Arial" w:hAnsi="Arial"/>
                <w:sz w:val="16"/>
                <w:szCs w:val="16"/>
                <w:b w:val="1"/>
                <w:bCs w:val="1"/>
                <w:color w:val="auto"/>
              </w:rPr>
              <w:t>Net Assets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w w:val="92"/>
              </w:rPr>
              <w:t>303,649,796</w:t>
            </w:r>
          </w:p>
        </w:tc>
        <w:tc>
          <w:tcPr>
            <w:tcW w:w="1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285,903,673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9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NET ASSETS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920" w:type="dxa"/>
            <w:vAlign w:val="bottom"/>
            <w:gridSpan w:val="3"/>
          </w:tcPr>
          <w:p>
            <w:pPr>
              <w:ind w:left="20"/>
              <w:spacing w:after="0"/>
              <w:rPr>
                <w:sz w:val="20"/>
                <w:szCs w:val="20"/>
                <w:color w:val="auto"/>
              </w:rPr>
            </w:pPr>
            <w:r>
              <w:rPr>
                <w:rFonts w:ascii="Arial" w:cs="Arial" w:eastAsia="Arial" w:hAnsi="Arial"/>
                <w:sz w:val="16"/>
                <w:szCs w:val="16"/>
                <w:color w:val="auto"/>
                <w:w w:val="95"/>
              </w:rPr>
              <w:t>Common stock, par value $0.01 per share (100,000,000 authorized; 19,320,100 issued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gridSpan w:val="2"/>
          </w:tcPr>
          <w:p>
            <w:pPr>
              <w:ind w:left="180"/>
              <w:spacing w:after="0"/>
              <w:rPr>
                <w:sz w:val="20"/>
                <w:szCs w:val="20"/>
                <w:color w:val="auto"/>
              </w:rPr>
            </w:pPr>
            <w:r>
              <w:rPr>
                <w:rFonts w:ascii="Arial" w:cs="Arial" w:eastAsia="Arial" w:hAnsi="Arial"/>
                <w:sz w:val="16"/>
                <w:szCs w:val="16"/>
                <w:color w:val="auto"/>
              </w:rPr>
              <w:t>and outstanding)</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193,201</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193,201</w:t>
            </w:r>
          </w:p>
        </w:tc>
        <w:tc>
          <w:tcPr>
            <w:tcW w:w="0" w:type="dxa"/>
            <w:vAlign w:val="bottom"/>
          </w:tcPr>
          <w:p>
            <w:pPr>
              <w:spacing w:after="0"/>
              <w:rPr>
                <w:sz w:val="1"/>
                <w:szCs w:val="1"/>
                <w:color w:val="auto"/>
              </w:rPr>
            </w:pPr>
          </w:p>
        </w:tc>
      </w:tr>
      <w:tr>
        <w:trPr>
          <w:trHeight w:val="206"/>
        </w:trPr>
        <w:tc>
          <w:tcPr>
            <w:tcW w:w="5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Paid-in capital in excess of par</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275,837,514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275,837,514</w:t>
            </w:r>
          </w:p>
        </w:tc>
        <w:tc>
          <w:tcPr>
            <w:tcW w:w="0" w:type="dxa"/>
            <w:vAlign w:val="bottom"/>
          </w:tcPr>
          <w:p>
            <w:pPr>
              <w:spacing w:after="0"/>
              <w:rPr>
                <w:sz w:val="1"/>
                <w:szCs w:val="1"/>
                <w:color w:val="auto"/>
              </w:rPr>
            </w:pPr>
          </w:p>
        </w:tc>
      </w:tr>
      <w:tr>
        <w:trPr>
          <w:trHeight w:val="203"/>
        </w:trPr>
        <w:tc>
          <w:tcPr>
            <w:tcW w:w="5920" w:type="dxa"/>
            <w:vAlign w:val="bottom"/>
            <w:gridSpan w:val="3"/>
          </w:tcPr>
          <w:p>
            <w:pPr>
              <w:ind w:left="20"/>
              <w:spacing w:after="0"/>
              <w:rPr>
                <w:sz w:val="20"/>
                <w:szCs w:val="20"/>
                <w:color w:val="auto"/>
              </w:rPr>
            </w:pPr>
            <w:r>
              <w:rPr>
                <w:rFonts w:ascii="Arial" w:cs="Arial" w:eastAsia="Arial" w:hAnsi="Arial"/>
                <w:sz w:val="16"/>
                <w:szCs w:val="16"/>
                <w:color w:val="auto"/>
              </w:rPr>
              <w:t>Accumulated net investment loss</w:t>
            </w:r>
          </w:p>
        </w:tc>
        <w:tc>
          <w:tcPr>
            <w:tcW w:w="14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(43,157,161)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(31,972,292)</w:t>
            </w:r>
          </w:p>
        </w:tc>
        <w:tc>
          <w:tcPr>
            <w:tcW w:w="0" w:type="dxa"/>
            <w:vAlign w:val="bottom"/>
          </w:tcPr>
          <w:p>
            <w:pPr>
              <w:spacing w:after="0"/>
              <w:rPr>
                <w:sz w:val="1"/>
                <w:szCs w:val="1"/>
                <w:color w:val="auto"/>
              </w:rPr>
            </w:pPr>
          </w:p>
        </w:tc>
      </w:tr>
      <w:tr>
        <w:trPr>
          <w:trHeight w:val="203"/>
        </w:trPr>
        <w:tc>
          <w:tcPr>
            <w:tcW w:w="5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Accumulated net realized gain on investments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16,386,895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496,782</w:t>
            </w:r>
          </w:p>
        </w:tc>
        <w:tc>
          <w:tcPr>
            <w:tcW w:w="0" w:type="dxa"/>
            <w:vAlign w:val="bottom"/>
          </w:tcPr>
          <w:p>
            <w:pPr>
              <w:spacing w:after="0"/>
              <w:rPr>
                <w:sz w:val="1"/>
                <w:szCs w:val="1"/>
                <w:color w:val="auto"/>
              </w:rPr>
            </w:pPr>
          </w:p>
        </w:tc>
      </w:tr>
      <w:tr>
        <w:trPr>
          <w:trHeight w:val="203"/>
        </w:trPr>
        <w:tc>
          <w:tcPr>
            <w:tcW w:w="5920" w:type="dxa"/>
            <w:vAlign w:val="bottom"/>
            <w:gridSpan w:val="3"/>
          </w:tcPr>
          <w:p>
            <w:pPr>
              <w:ind w:left="20"/>
              <w:spacing w:after="0"/>
              <w:rPr>
                <w:sz w:val="20"/>
                <w:szCs w:val="20"/>
                <w:color w:val="auto"/>
              </w:rPr>
            </w:pPr>
            <w:r>
              <w:rPr>
                <w:rFonts w:ascii="Arial" w:cs="Arial" w:eastAsia="Arial" w:hAnsi="Arial"/>
                <w:sz w:val="16"/>
                <w:szCs w:val="16"/>
                <w:color w:val="auto"/>
              </w:rPr>
              <w:t>Accumulated net unrealized appreciation on investments</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54,389,347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41,348,468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900" w:type="dxa"/>
            <w:vAlign w:val="bottom"/>
            <w:gridSpan w:val="2"/>
            <w:shd w:val="clear" w:color="auto" w:fill="CCEEFF"/>
          </w:tcPr>
          <w:p>
            <w:pPr>
              <w:ind w:left="360"/>
              <w:spacing w:after="0"/>
              <w:rPr>
                <w:sz w:val="20"/>
                <w:szCs w:val="20"/>
                <w:color w:val="auto"/>
              </w:rPr>
            </w:pPr>
            <w:r>
              <w:rPr>
                <w:rFonts w:ascii="Arial" w:cs="Arial" w:eastAsia="Arial" w:hAnsi="Arial"/>
                <w:sz w:val="16"/>
                <w:szCs w:val="16"/>
                <w:b w:val="1"/>
                <w:bCs w:val="1"/>
                <w:color w:val="auto"/>
              </w:rPr>
              <w:t>Net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303,649,796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285,903,673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2"/>
          </w:tcPr>
          <w:p>
            <w:pPr>
              <w:ind w:left="360"/>
              <w:spacing w:after="0"/>
              <w:rPr>
                <w:sz w:val="20"/>
                <w:szCs w:val="20"/>
                <w:color w:val="auto"/>
              </w:rPr>
            </w:pPr>
            <w:r>
              <w:rPr>
                <w:rFonts w:ascii="Arial" w:cs="Arial" w:eastAsia="Arial" w:hAnsi="Arial"/>
                <w:sz w:val="16"/>
                <w:szCs w:val="16"/>
                <w:b w:val="1"/>
                <w:bCs w:val="1"/>
                <w:color w:val="auto"/>
              </w:rPr>
              <w:t>Net Asset Value Per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15.72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14.80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-3747135</wp:posOffset>
            </wp:positionV>
            <wp:extent cx="521398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-1851660</wp:posOffset>
            </wp:positionV>
            <wp:extent cx="521398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-376555</wp:posOffset>
            </wp:positionV>
            <wp:extent cx="5213985"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3985" cy="197485"/>
                    </a:xfrm>
                    <a:prstGeom prst="rect">
                      <a:avLst/>
                    </a:prstGeom>
                    <a:noFill/>
                  </pic:spPr>
                </pic:pic>
              </a:graphicData>
            </a:graphic>
          </wp:anchor>
        </w:drawing>
      </w:r>
    </w:p>
    <w:p>
      <w:pPr>
        <w:spacing w:after="0" w:line="240" w:lineRule="exact"/>
        <w:rPr>
          <w:sz w:val="20"/>
          <w:szCs w:val="20"/>
          <w:color w:val="auto"/>
        </w:rPr>
      </w:pPr>
    </w:p>
    <w:p>
      <w:pPr>
        <w:ind w:left="300" w:hanging="272"/>
        <w:spacing w:after="0"/>
        <w:tabs>
          <w:tab w:leader="none" w:pos="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This balance is a related-party transaction. Refer to Note 2 to the Condensed Consolidated Financial Statements for more detail.</w:t>
      </w:r>
    </w:p>
    <w:p>
      <w:pPr>
        <w:spacing w:after="0" w:line="113" w:lineRule="exact"/>
        <w:rPr>
          <w:rFonts w:ascii="Arial" w:cs="Arial" w:eastAsia="Arial" w:hAnsi="Arial"/>
          <w:sz w:val="16"/>
          <w:szCs w:val="16"/>
          <w:color w:val="auto"/>
        </w:rPr>
      </w:pPr>
    </w:p>
    <w:p>
      <w:pPr>
        <w:jc w:val="both"/>
        <w:ind w:left="300" w:right="519" w:hanging="272"/>
        <w:spacing w:after="0" w:line="274" w:lineRule="auto"/>
        <w:tabs>
          <w:tab w:leader="none" w:pos="300" w:val="left"/>
        </w:tabs>
        <w:numPr>
          <w:ilvl w:val="0"/>
          <w:numId w:val="3"/>
        </w:numPr>
        <w:rPr>
          <w:rFonts w:ascii="Arial" w:cs="Arial" w:eastAsia="Arial" w:hAnsi="Arial"/>
          <w:sz w:val="15"/>
          <w:szCs w:val="15"/>
          <w:color w:val="auto"/>
        </w:rPr>
      </w:pPr>
      <w:r>
        <w:rPr>
          <w:rFonts w:ascii="Arial" w:cs="Arial" w:eastAsia="Arial" w:hAnsi="Arial"/>
          <w:sz w:val="15"/>
          <w:szCs w:val="15"/>
          <w:color w:val="auto"/>
        </w:rPr>
        <w:t>Refer to “Note 9 — Long Term Liabilities.” In accordance with the terms of the Company’s Convertible Senior Notes payable, the Company deposited $10,867,500 in an escrow account with the Trustee. These funds were used to purchase U.S. Treasury Strips with an original cost of $10,845,236. As of June 30, 2015, three of the government securities purchased had matured and the proceeds were used by the trustee in accordance with the terms of the escrow agreement. At June 30, 2015, the remaining government securities are shown on the Condensed Consolidated Statements of Assets and Liabilities as “Investments owned and Pledged” with an amortized cost of $5,485,542.</w:t>
      </w:r>
    </w:p>
    <w:p>
      <w:pPr>
        <w:spacing w:after="0" w:line="200" w:lineRule="exact"/>
        <w:rPr>
          <w:sz w:val="20"/>
          <w:szCs w:val="20"/>
          <w:color w:val="auto"/>
        </w:rPr>
      </w:pPr>
    </w:p>
    <w:p>
      <w:pPr>
        <w:spacing w:after="0" w:line="296"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356" w:gutter="0" w:footer="0" w:header="0"/>
        </w:sectPr>
      </w:pPr>
    </w:p>
    <w:bookmarkStart w:id="4" w:name="page5"/>
    <w:bookmarkEnd w:id="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3"/>
        </w:trPr>
        <w:tc>
          <w:tcPr>
            <w:tcW w:w="39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INVESTMENT INCOME</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9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940" w:type="dxa"/>
            <w:vAlign w:val="bottom"/>
            <w:gridSpan w:val="3"/>
            <w:shd w:val="clear" w:color="auto" w:fill="CCEEFF"/>
          </w:tcPr>
          <w:p>
            <w:pPr>
              <w:ind w:left="20"/>
              <w:spacing w:after="0" w:line="246" w:lineRule="exact"/>
              <w:rPr>
                <w:sz w:val="20"/>
                <w:szCs w:val="20"/>
                <w:color w:val="auto"/>
              </w:rPr>
            </w:pPr>
            <w:r>
              <w:rPr>
                <w:rFonts w:ascii="Arial" w:cs="Arial" w:eastAsia="Arial" w:hAnsi="Arial"/>
                <w:sz w:val="16"/>
                <w:szCs w:val="16"/>
                <w:color w:val="auto"/>
              </w:rPr>
              <w:t>Interest income from controlled securities</w:t>
            </w:r>
            <w:r>
              <w:rPr>
                <w:rFonts w:ascii="Arial" w:cs="Arial" w:eastAsia="Arial" w:hAnsi="Arial"/>
                <w:sz w:val="27"/>
                <w:szCs w:val="27"/>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667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5,733</w:t>
            </w:r>
          </w:p>
        </w:tc>
        <w:tc>
          <w:tcPr>
            <w:tcW w:w="0" w:type="dxa"/>
            <w:vAlign w:val="bottom"/>
          </w:tcPr>
          <w:p>
            <w:pPr>
              <w:spacing w:after="0"/>
              <w:rPr>
                <w:sz w:val="1"/>
                <w:szCs w:val="1"/>
                <w:color w:val="auto"/>
              </w:rPr>
            </w:pPr>
          </w:p>
        </w:tc>
      </w:tr>
      <w:tr>
        <w:trPr>
          <w:trHeight w:val="243"/>
        </w:trPr>
        <w:tc>
          <w:tcPr>
            <w:tcW w:w="394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Interest income from affiliated securities</w:t>
            </w:r>
            <w:r>
              <w:rPr>
                <w:rFonts w:ascii="Arial" w:cs="Arial" w:eastAsia="Arial" w:hAnsi="Arial"/>
                <w:sz w:val="27"/>
                <w:szCs w:val="27"/>
                <w:color w:val="auto"/>
                <w:vertAlign w:val="superscript"/>
              </w:rPr>
              <w:t>(1)</w:t>
            </w:r>
          </w:p>
        </w:tc>
        <w:tc>
          <w:tcPr>
            <w:tcW w:w="12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69,165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68,591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120,396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103,453</w:t>
            </w:r>
          </w:p>
        </w:tc>
        <w:tc>
          <w:tcPr>
            <w:tcW w:w="0" w:type="dxa"/>
            <w:vAlign w:val="bottom"/>
          </w:tcPr>
          <w:p>
            <w:pPr>
              <w:spacing w:after="0"/>
              <w:rPr>
                <w:sz w:val="1"/>
                <w:szCs w:val="1"/>
                <w:color w:val="auto"/>
              </w:rPr>
            </w:pPr>
          </w:p>
        </w:tc>
      </w:tr>
      <w:tr>
        <w:trPr>
          <w:trHeight w:val="193"/>
        </w:trPr>
        <w:tc>
          <w:tcPr>
            <w:tcW w:w="39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income from non-controlled/non-affiliated</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securities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27,775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15,738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27,775</w:t>
            </w:r>
          </w:p>
        </w:tc>
        <w:tc>
          <w:tcPr>
            <w:tcW w:w="0" w:type="dxa"/>
            <w:vAlign w:val="bottom"/>
          </w:tcPr>
          <w:p>
            <w:pPr>
              <w:spacing w:after="0"/>
              <w:rPr>
                <w:sz w:val="1"/>
                <w:szCs w:val="1"/>
                <w:color w:val="auto"/>
              </w:rPr>
            </w:pPr>
          </w:p>
        </w:tc>
      </w:tr>
      <w:tr>
        <w:trPr>
          <w:trHeight w:val="193"/>
        </w:trPr>
        <w:tc>
          <w:tcPr>
            <w:tcW w:w="3940" w:type="dxa"/>
            <w:vAlign w:val="bottom"/>
            <w:gridSpan w:val="3"/>
          </w:tcPr>
          <w:p>
            <w:pPr>
              <w:ind w:left="20"/>
              <w:spacing w:after="0"/>
              <w:rPr>
                <w:sz w:val="20"/>
                <w:szCs w:val="20"/>
                <w:color w:val="auto"/>
              </w:rPr>
            </w:pPr>
            <w:r>
              <w:rPr>
                <w:rFonts w:ascii="Arial" w:cs="Arial" w:eastAsia="Arial" w:hAnsi="Arial"/>
                <w:sz w:val="16"/>
                <w:szCs w:val="16"/>
                <w:color w:val="auto"/>
              </w:rPr>
              <w:t>Dividend income from non-controlled/non-affiliated</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gridSpan w:val="2"/>
          </w:tcPr>
          <w:p>
            <w:pPr>
              <w:ind w:left="180"/>
              <w:spacing w:after="0"/>
              <w:rPr>
                <w:sz w:val="20"/>
                <w:szCs w:val="20"/>
                <w:color w:val="auto"/>
              </w:rPr>
            </w:pPr>
            <w:r>
              <w:rPr>
                <w:rFonts w:ascii="Arial" w:cs="Arial" w:eastAsia="Arial" w:hAnsi="Arial"/>
                <w:sz w:val="16"/>
                <w:szCs w:val="16"/>
                <w:color w:val="auto"/>
              </w:rPr>
              <w:t>securities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46,781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46,781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920" w:type="dxa"/>
            <w:vAlign w:val="bottom"/>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Investment Income</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123,891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97,033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182,915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137,848</w:t>
            </w:r>
          </w:p>
        </w:tc>
        <w:tc>
          <w:tcPr>
            <w:tcW w:w="0" w:type="dxa"/>
            <w:vAlign w:val="bottom"/>
          </w:tcPr>
          <w:p>
            <w:pPr>
              <w:spacing w:after="0"/>
              <w:rPr>
                <w:sz w:val="1"/>
                <w:szCs w:val="1"/>
                <w:color w:val="auto"/>
              </w:rPr>
            </w:pPr>
          </w:p>
        </w:tc>
      </w:tr>
      <w:tr>
        <w:trPr>
          <w:trHeight w:val="196"/>
        </w:trPr>
        <w:tc>
          <w:tcPr>
            <w:tcW w:w="3940" w:type="dxa"/>
            <w:vAlign w:val="bottom"/>
            <w:tcBorders>
              <w:top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4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Management fees</w:t>
            </w:r>
            <w:r>
              <w:rPr>
                <w:rFonts w:ascii="Arial" w:cs="Arial" w:eastAsia="Arial" w:hAnsi="Arial"/>
                <w:sz w:val="27"/>
                <w:szCs w:val="27"/>
                <w:color w:val="auto"/>
                <w:vertAlign w:val="superscript"/>
              </w:rPr>
              <w:t>(1)</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2,010,385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1,933,663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3,931,513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3,689,859</w:t>
            </w:r>
          </w:p>
        </w:tc>
        <w:tc>
          <w:tcPr>
            <w:tcW w:w="0" w:type="dxa"/>
            <w:vAlign w:val="bottom"/>
          </w:tcPr>
          <w:p>
            <w:pPr>
              <w:spacing w:after="0"/>
              <w:rPr>
                <w:sz w:val="1"/>
                <w:szCs w:val="1"/>
                <w:color w:val="auto"/>
              </w:rPr>
            </w:pPr>
          </w:p>
        </w:tc>
      </w:tr>
      <w:tr>
        <w:trPr>
          <w:trHeight w:val="243"/>
        </w:trPr>
        <w:tc>
          <w:tcPr>
            <w:tcW w:w="394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Incentive fees</w:t>
            </w:r>
            <w:r>
              <w:rPr>
                <w:rFonts w:ascii="Arial" w:cs="Arial" w:eastAsia="Arial" w:hAnsi="Arial"/>
                <w:sz w:val="27"/>
                <w:szCs w:val="27"/>
                <w:color w:val="auto"/>
                <w:vertAlign w:val="superscript"/>
              </w:rPr>
              <w:t>(1)</w:t>
            </w:r>
          </w:p>
        </w:tc>
        <w:tc>
          <w:tcPr>
            <w:tcW w:w="12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1,565,339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844,633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9,777,067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1,814,285</w:t>
            </w:r>
          </w:p>
        </w:tc>
        <w:tc>
          <w:tcPr>
            <w:tcW w:w="0" w:type="dxa"/>
            <w:vAlign w:val="bottom"/>
          </w:tcPr>
          <w:p>
            <w:pPr>
              <w:spacing w:after="0"/>
              <w:rPr>
                <w:sz w:val="1"/>
                <w:szCs w:val="1"/>
                <w:color w:val="auto"/>
              </w:rPr>
            </w:pPr>
          </w:p>
        </w:tc>
      </w:tr>
      <w:tr>
        <w:trPr>
          <w:trHeight w:val="243"/>
        </w:trPr>
        <w:tc>
          <w:tcPr>
            <w:tcW w:w="394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Costs incurred under administration agreement</w:t>
            </w:r>
            <w:r>
              <w:rPr>
                <w:rFonts w:ascii="Arial" w:cs="Arial" w:eastAsia="Arial" w:hAnsi="Arial"/>
                <w:sz w:val="27"/>
                <w:szCs w:val="27"/>
                <w:color w:val="auto"/>
                <w:vertAlign w:val="superscript"/>
              </w:rPr>
              <w:t>(1)</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785,036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929,701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1,587,432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1,838,233</w:t>
            </w:r>
          </w:p>
        </w:tc>
        <w:tc>
          <w:tcPr>
            <w:tcW w:w="0" w:type="dxa"/>
            <w:vAlign w:val="bottom"/>
          </w:tcPr>
          <w:p>
            <w:pPr>
              <w:spacing w:after="0"/>
              <w:rPr>
                <w:sz w:val="1"/>
                <w:szCs w:val="1"/>
                <w:color w:val="auto"/>
              </w:rPr>
            </w:pPr>
          </w:p>
        </w:tc>
      </w:tr>
      <w:tr>
        <w:trPr>
          <w:trHeight w:val="203"/>
        </w:trPr>
        <w:tc>
          <w:tcPr>
            <w:tcW w:w="3940" w:type="dxa"/>
            <w:vAlign w:val="bottom"/>
            <w:gridSpan w:val="3"/>
          </w:tcPr>
          <w:p>
            <w:pPr>
              <w:ind w:left="20"/>
              <w:spacing w:after="0"/>
              <w:rPr>
                <w:sz w:val="20"/>
                <w:szCs w:val="20"/>
                <w:color w:val="auto"/>
              </w:rPr>
            </w:pPr>
            <w:r>
              <w:rPr>
                <w:rFonts w:ascii="Arial" w:cs="Arial" w:eastAsia="Arial" w:hAnsi="Arial"/>
                <w:sz w:val="16"/>
                <w:szCs w:val="16"/>
                <w:color w:val="auto"/>
              </w:rPr>
              <w:t>Directors’ fees</w:t>
            </w:r>
          </w:p>
        </w:tc>
        <w:tc>
          <w:tcPr>
            <w:tcW w:w="1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107,500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65,000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192,806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130,000</w:t>
            </w:r>
          </w:p>
        </w:tc>
        <w:tc>
          <w:tcPr>
            <w:tcW w:w="0" w:type="dxa"/>
            <w:vAlign w:val="bottom"/>
          </w:tcPr>
          <w:p>
            <w:pPr>
              <w:spacing w:after="0"/>
              <w:rPr>
                <w:sz w:val="1"/>
                <w:szCs w:val="1"/>
                <w:color w:val="auto"/>
              </w:rPr>
            </w:pPr>
          </w:p>
        </w:tc>
      </w:tr>
      <w:tr>
        <w:trPr>
          <w:trHeight w:val="203"/>
        </w:trPr>
        <w:tc>
          <w:tcPr>
            <w:tcW w:w="39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Professional fees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394,228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402,555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735,972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859,094</w:t>
            </w:r>
          </w:p>
        </w:tc>
        <w:tc>
          <w:tcPr>
            <w:tcW w:w="0" w:type="dxa"/>
            <w:vAlign w:val="bottom"/>
          </w:tcPr>
          <w:p>
            <w:pPr>
              <w:spacing w:after="0"/>
              <w:rPr>
                <w:sz w:val="1"/>
                <w:szCs w:val="1"/>
                <w:color w:val="auto"/>
              </w:rPr>
            </w:pPr>
          </w:p>
        </w:tc>
      </w:tr>
      <w:tr>
        <w:trPr>
          <w:trHeight w:val="203"/>
        </w:trPr>
        <w:tc>
          <w:tcPr>
            <w:tcW w:w="3940" w:type="dxa"/>
            <w:vAlign w:val="bottom"/>
            <w:gridSpan w:val="3"/>
          </w:tcPr>
          <w:p>
            <w:pPr>
              <w:ind w:left="20"/>
              <w:spacing w:after="0"/>
              <w:rPr>
                <w:sz w:val="20"/>
                <w:szCs w:val="20"/>
                <w:color w:val="auto"/>
              </w:rPr>
            </w:pPr>
            <w:r>
              <w:rPr>
                <w:rFonts w:ascii="Arial" w:cs="Arial" w:eastAsia="Arial" w:hAnsi="Arial"/>
                <w:sz w:val="16"/>
                <w:szCs w:val="16"/>
                <w:color w:val="auto"/>
              </w:rPr>
              <w:t>Interest and credit facility expense</w:t>
            </w:r>
          </w:p>
        </w:tc>
        <w:tc>
          <w:tcPr>
            <w:tcW w:w="1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1,228,783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1,533,971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2,597,586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2,713,696</w:t>
            </w:r>
          </w:p>
        </w:tc>
        <w:tc>
          <w:tcPr>
            <w:tcW w:w="0" w:type="dxa"/>
            <w:vAlign w:val="bottom"/>
          </w:tcPr>
          <w:p>
            <w:pPr>
              <w:spacing w:after="0"/>
              <w:rPr>
                <w:sz w:val="1"/>
                <w:szCs w:val="1"/>
                <w:color w:val="auto"/>
              </w:rPr>
            </w:pPr>
          </w:p>
        </w:tc>
      </w:tr>
      <w:tr>
        <w:trPr>
          <w:trHeight w:val="203"/>
        </w:trPr>
        <w:tc>
          <w:tcPr>
            <w:tcW w:w="39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143,153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186,028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264,478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318,927</w:t>
            </w:r>
          </w:p>
        </w:tc>
        <w:tc>
          <w:tcPr>
            <w:tcW w:w="0" w:type="dxa"/>
            <w:vAlign w:val="bottom"/>
          </w:tcPr>
          <w:p>
            <w:pPr>
              <w:spacing w:after="0"/>
              <w:rPr>
                <w:sz w:val="1"/>
                <w:szCs w:val="1"/>
                <w:color w:val="auto"/>
              </w:rPr>
            </w:pPr>
          </w:p>
        </w:tc>
      </w:tr>
      <w:tr>
        <w:trPr>
          <w:trHeight w:val="193"/>
        </w:trPr>
        <w:tc>
          <w:tcPr>
            <w:tcW w:w="3940" w:type="dxa"/>
            <w:vAlign w:val="bottom"/>
            <w:gridSpan w:val="3"/>
          </w:tcPr>
          <w:p>
            <w:pPr>
              <w:ind w:left="20"/>
              <w:spacing w:after="0"/>
              <w:rPr>
                <w:sz w:val="20"/>
                <w:szCs w:val="20"/>
                <w:color w:val="auto"/>
              </w:rPr>
            </w:pPr>
            <w:r>
              <w:rPr>
                <w:rFonts w:ascii="Arial" w:cs="Arial" w:eastAsia="Arial" w:hAnsi="Arial"/>
                <w:sz w:val="16"/>
                <w:szCs w:val="16"/>
                <w:color w:val="auto"/>
              </w:rPr>
              <w:t>Gain on fair value adjustment for embedded</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gridSpan w:val="2"/>
          </w:tcPr>
          <w:p>
            <w:pPr>
              <w:ind w:left="180"/>
              <w:spacing w:after="0"/>
              <w:rPr>
                <w:sz w:val="20"/>
                <w:szCs w:val="20"/>
                <w:color w:val="auto"/>
              </w:rPr>
            </w:pPr>
            <w:r>
              <w:rPr>
                <w:rFonts w:ascii="Arial" w:cs="Arial" w:eastAsia="Arial" w:hAnsi="Arial"/>
                <w:sz w:val="16"/>
                <w:szCs w:val="16"/>
                <w:color w:val="auto"/>
              </w:rPr>
              <w:t>derivative</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(640,000)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9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 Operating Expenses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6,233,424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5,875,551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19,085,854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10,724,094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180"/>
              <w:spacing w:after="0"/>
              <w:rPr>
                <w:sz w:val="20"/>
                <w:szCs w:val="20"/>
                <w:color w:val="auto"/>
              </w:rPr>
            </w:pPr>
            <w:r>
              <w:rPr>
                <w:rFonts w:ascii="Arial" w:cs="Arial" w:eastAsia="Arial" w:hAnsi="Arial"/>
                <w:sz w:val="16"/>
                <w:szCs w:val="16"/>
                <w:color w:val="auto"/>
              </w:rPr>
              <w:t>Benefit for taxes on net investment loss</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2,494,459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2,359,369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7,718,070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4,372,283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92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Net Investment Loss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(3,615,074)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(3,419,149)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2"/>
              </w:rPr>
              <w:t>(11,184,869)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(6,213,963)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180"/>
              <w:spacing w:after="0"/>
              <w:rPr>
                <w:sz w:val="20"/>
                <w:szCs w:val="20"/>
                <w:color w:val="auto"/>
              </w:rPr>
            </w:pPr>
            <w:r>
              <w:rPr>
                <w:rFonts w:ascii="Arial" w:cs="Arial" w:eastAsia="Arial" w:hAnsi="Arial"/>
                <w:sz w:val="16"/>
                <w:szCs w:val="16"/>
                <w:b w:val="1"/>
                <w:bCs w:val="1"/>
                <w:color w:val="auto"/>
              </w:rPr>
              <w:t>Net Realized Gain (Loss):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9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From affiliated securities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10,419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180"/>
              <w:spacing w:after="0"/>
              <w:rPr>
                <w:sz w:val="20"/>
                <w:szCs w:val="20"/>
                <w:color w:val="auto"/>
              </w:rPr>
            </w:pPr>
            <w:r>
              <w:rPr>
                <w:rFonts w:ascii="Arial" w:cs="Arial" w:eastAsia="Arial" w:hAnsi="Arial"/>
                <w:sz w:val="16"/>
                <w:szCs w:val="16"/>
                <w:color w:val="auto"/>
              </w:rPr>
              <w:t>From non-controlled/non-affiliated securities</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13,636,614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(7,249,566)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26,855,017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671,760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92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Net Realized Gain (Loss) on investments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13,636,614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(7,249,566)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26,855,017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682,179</w:t>
            </w:r>
          </w:p>
        </w:tc>
        <w:tc>
          <w:tcPr>
            <w:tcW w:w="0" w:type="dxa"/>
            <w:vAlign w:val="bottom"/>
          </w:tcPr>
          <w:p>
            <w:pPr>
              <w:spacing w:after="0"/>
              <w:rPr>
                <w:sz w:val="1"/>
                <w:szCs w:val="1"/>
                <w:color w:val="auto"/>
              </w:rPr>
            </w:pPr>
          </w:p>
        </w:tc>
      </w:tr>
      <w:tr>
        <w:trPr>
          <w:trHeight w:val="182"/>
        </w:trPr>
        <w:tc>
          <w:tcPr>
            <w:tcW w:w="20" w:type="dxa"/>
            <w:vAlign w:val="bottom"/>
            <w:tcBorders>
              <w:top w:val="single" w:sz="8" w:color="CCEEFF"/>
            </w:tcBorders>
          </w:tcPr>
          <w:p>
            <w:pPr>
              <w:spacing w:after="0"/>
              <w:rPr>
                <w:sz w:val="15"/>
                <w:szCs w:val="15"/>
                <w:color w:val="auto"/>
              </w:rPr>
            </w:pPr>
          </w:p>
        </w:tc>
        <w:tc>
          <w:tcPr>
            <w:tcW w:w="3920" w:type="dxa"/>
            <w:vAlign w:val="bottom"/>
            <w:tcBorders>
              <w:top w:val="single" w:sz="8" w:color="CCEEFF"/>
            </w:tcBorders>
            <w:gridSpan w:val="2"/>
          </w:tcPr>
          <w:p>
            <w:pPr>
              <w:ind w:left="180"/>
              <w:spacing w:after="0" w:line="182" w:lineRule="exact"/>
              <w:rPr>
                <w:sz w:val="20"/>
                <w:szCs w:val="20"/>
                <w:color w:val="auto"/>
              </w:rPr>
            </w:pPr>
            <w:r>
              <w:rPr>
                <w:rFonts w:ascii="Arial" w:cs="Arial" w:eastAsia="Arial" w:hAnsi="Arial"/>
                <w:sz w:val="16"/>
                <w:szCs w:val="16"/>
                <w:b w:val="1"/>
                <w:bCs w:val="1"/>
                <w:color w:val="auto"/>
                <w:w w:val="92"/>
              </w:rPr>
              <w:t>(Provision)/Benefit for taxes on realized gains/losses</w:t>
            </w: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20" w:type="dxa"/>
            <w:vAlign w:val="bottom"/>
            <w:gridSpan w:val="2"/>
          </w:tcPr>
          <w:p>
            <w:pPr>
              <w:ind w:left="360"/>
              <w:spacing w:after="0"/>
              <w:rPr>
                <w:sz w:val="20"/>
                <w:szCs w:val="20"/>
                <w:color w:val="auto"/>
              </w:rPr>
            </w:pPr>
            <w:r>
              <w:rPr>
                <w:rFonts w:ascii="Arial" w:cs="Arial" w:eastAsia="Arial" w:hAnsi="Arial"/>
                <w:sz w:val="16"/>
                <w:szCs w:val="16"/>
                <w:b w:val="1"/>
                <w:bCs w:val="1"/>
                <w:color w:val="auto"/>
              </w:rPr>
              <w:t>on investments</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(5,567,830)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2,959,998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w w:val="92"/>
              </w:rPr>
              <w:t>(10,964,904)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(278,533)</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92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Net Change in Unrealized Appreciation</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360"/>
              <w:spacing w:after="0"/>
              <w:rPr>
                <w:sz w:val="20"/>
                <w:szCs w:val="20"/>
                <w:color w:val="auto"/>
              </w:rPr>
            </w:pPr>
            <w:r>
              <w:rPr>
                <w:rFonts w:ascii="Arial" w:cs="Arial" w:eastAsia="Arial" w:hAnsi="Arial"/>
                <w:sz w:val="16"/>
                <w:szCs w:val="16"/>
                <w:b w:val="1"/>
                <w:bCs w:val="1"/>
                <w:color w:val="auto"/>
              </w:rPr>
              <w:t>(Depreciation) on investments: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180"/>
              <w:spacing w:after="0"/>
              <w:rPr>
                <w:sz w:val="20"/>
                <w:szCs w:val="20"/>
                <w:color w:val="auto"/>
              </w:rPr>
            </w:pPr>
            <w:r>
              <w:rPr>
                <w:rFonts w:ascii="Arial" w:cs="Arial" w:eastAsia="Arial" w:hAnsi="Arial"/>
                <w:sz w:val="16"/>
                <w:szCs w:val="16"/>
                <w:color w:val="auto"/>
              </w:rPr>
              <w:t>From controlled securities</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(8,277)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(24,693)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(33,572)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(439,092)</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9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From affiliated securities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(804,967)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(3,566,018)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(657,088)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(3,764,212)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180"/>
              <w:spacing w:after="0"/>
              <w:rPr>
                <w:sz w:val="20"/>
                <w:szCs w:val="20"/>
                <w:color w:val="auto"/>
              </w:rPr>
            </w:pPr>
            <w:r>
              <w:rPr>
                <w:rFonts w:ascii="Arial" w:cs="Arial" w:eastAsia="Arial" w:hAnsi="Arial"/>
                <w:sz w:val="16"/>
                <w:szCs w:val="16"/>
                <w:color w:val="auto"/>
              </w:rPr>
              <w:t>From non-controlled/non-affiliated securities</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(4,931,155)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w w:val="94"/>
              </w:rPr>
              <w:t>15,063,436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22,730,342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12,602,350</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920" w:type="dxa"/>
            <w:vAlign w:val="bottom"/>
            <w:gridSpan w:val="2"/>
            <w:shd w:val="clear" w:color="auto" w:fill="CCEEFF"/>
          </w:tcPr>
          <w:p>
            <w:pPr>
              <w:ind w:left="180"/>
              <w:spacing w:after="0" w:line="182" w:lineRule="exact"/>
              <w:rPr>
                <w:sz w:val="20"/>
                <w:szCs w:val="20"/>
                <w:color w:val="auto"/>
              </w:rPr>
            </w:pPr>
            <w:r>
              <w:rPr>
                <w:rFonts w:ascii="Arial" w:cs="Arial" w:eastAsia="Arial" w:hAnsi="Arial"/>
                <w:sz w:val="16"/>
                <w:szCs w:val="16"/>
                <w:b w:val="1"/>
                <w:bCs w:val="1"/>
                <w:color w:val="auto"/>
              </w:rPr>
              <w:t>Total Change in Unrealized Appreciation</w:t>
            </w: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360"/>
              <w:spacing w:after="0"/>
              <w:rPr>
                <w:sz w:val="20"/>
                <w:szCs w:val="20"/>
                <w:color w:val="auto"/>
              </w:rPr>
            </w:pPr>
            <w:r>
              <w:rPr>
                <w:rFonts w:ascii="Arial" w:cs="Arial" w:eastAsia="Arial" w:hAnsi="Arial"/>
                <w:sz w:val="16"/>
                <w:szCs w:val="16"/>
                <w:b w:val="1"/>
                <w:bCs w:val="1"/>
                <w:color w:val="auto"/>
              </w:rPr>
              <w:t>(Depreciation) on investments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(5,744,399)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4"/>
              </w:rPr>
              <w:t>11,472,725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22,039,682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8,399,046</w:t>
            </w:r>
          </w:p>
        </w:tc>
        <w:tc>
          <w:tcPr>
            <w:tcW w:w="0" w:type="dxa"/>
            <w:vAlign w:val="bottom"/>
          </w:tcPr>
          <w:p>
            <w:pPr>
              <w:spacing w:after="0"/>
              <w:rPr>
                <w:sz w:val="1"/>
                <w:szCs w:val="1"/>
                <w:color w:val="auto"/>
              </w:rPr>
            </w:pPr>
          </w:p>
        </w:tc>
      </w:tr>
      <w:tr>
        <w:trPr>
          <w:trHeight w:val="185"/>
        </w:trPr>
        <w:tc>
          <w:tcPr>
            <w:tcW w:w="20" w:type="dxa"/>
            <w:vAlign w:val="bottom"/>
            <w:tcBorders>
              <w:top w:val="single" w:sz="8" w:color="CCEEFF"/>
            </w:tcBorders>
          </w:tcPr>
          <w:p>
            <w:pPr>
              <w:spacing w:after="0"/>
              <w:rPr>
                <w:sz w:val="16"/>
                <w:szCs w:val="16"/>
                <w:color w:val="auto"/>
              </w:rPr>
            </w:pPr>
          </w:p>
        </w:tc>
        <w:tc>
          <w:tcPr>
            <w:tcW w:w="3920" w:type="dxa"/>
            <w:vAlign w:val="bottom"/>
            <w:tcBorders>
              <w:top w:val="single" w:sz="8" w:color="CCEEFF"/>
            </w:tcBorders>
            <w:gridSpan w:val="2"/>
          </w:tcPr>
          <w:p>
            <w:pPr>
              <w:ind w:left="180"/>
              <w:spacing w:after="0"/>
              <w:rPr>
                <w:sz w:val="20"/>
                <w:szCs w:val="20"/>
                <w:color w:val="auto"/>
              </w:rPr>
            </w:pPr>
            <w:r>
              <w:rPr>
                <w:rFonts w:ascii="Arial" w:cs="Arial" w:eastAsia="Arial" w:hAnsi="Arial"/>
                <w:sz w:val="16"/>
                <w:szCs w:val="16"/>
                <w:b w:val="1"/>
                <w:bCs w:val="1"/>
                <w:color w:val="auto"/>
              </w:rPr>
              <w:t>(Provision)/Benefit for taxes on unrealized</w:t>
            </w: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20" w:type="dxa"/>
            <w:vAlign w:val="bottom"/>
            <w:gridSpan w:val="2"/>
          </w:tcPr>
          <w:p>
            <w:pPr>
              <w:ind w:left="360"/>
              <w:spacing w:after="0"/>
              <w:rPr>
                <w:sz w:val="20"/>
                <w:szCs w:val="20"/>
                <w:color w:val="auto"/>
              </w:rPr>
            </w:pPr>
            <w:r>
              <w:rPr>
                <w:rFonts w:ascii="Arial" w:cs="Arial" w:eastAsia="Arial" w:hAnsi="Arial"/>
                <w:sz w:val="16"/>
                <w:szCs w:val="16"/>
                <w:b w:val="1"/>
                <w:bCs w:val="1"/>
                <w:color w:val="auto"/>
              </w:rPr>
              <w:t>appreciation/depreciation on investments</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2,372,190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(4,684,314)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(8,998,803)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(3,429,331)</w:t>
            </w: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392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w w:val="91"/>
              </w:rPr>
              <w:t>Net Increase (Decrease) in Net Assets Resulting from</w:t>
            </w: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920" w:type="dxa"/>
            <w:vAlign w:val="bottom"/>
            <w:gridSpan w:val="2"/>
            <w:shd w:val="clear" w:color="auto" w:fill="CCEEFF"/>
          </w:tcPr>
          <w:p>
            <w:pPr>
              <w:ind w:left="360"/>
              <w:spacing w:after="0"/>
              <w:rPr>
                <w:sz w:val="20"/>
                <w:szCs w:val="20"/>
                <w:color w:val="auto"/>
              </w:rPr>
            </w:pPr>
            <w:r>
              <w:rPr>
                <w:rFonts w:ascii="Arial" w:cs="Arial" w:eastAsia="Arial" w:hAnsi="Arial"/>
                <w:sz w:val="16"/>
                <w:szCs w:val="16"/>
                <w:b w:val="1"/>
                <w:bCs w:val="1"/>
                <w:color w:val="auto"/>
              </w:rPr>
              <w:t>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1,081,501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(920,306)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17,746,123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(840,602)</w:t>
            </w:r>
          </w:p>
        </w:tc>
        <w:tc>
          <w:tcPr>
            <w:tcW w:w="0" w:type="dxa"/>
            <w:vAlign w:val="bottom"/>
          </w:tcPr>
          <w:p>
            <w:pPr>
              <w:spacing w:after="0"/>
              <w:rPr>
                <w:sz w:val="1"/>
                <w:szCs w:val="1"/>
                <w:color w:val="auto"/>
              </w:rPr>
            </w:pPr>
          </w:p>
        </w:tc>
      </w:tr>
      <w:tr>
        <w:trPr>
          <w:trHeight w:val="182"/>
        </w:trPr>
        <w:tc>
          <w:tcPr>
            <w:tcW w:w="20" w:type="dxa"/>
            <w:vAlign w:val="bottom"/>
            <w:tcBorders>
              <w:top w:val="single" w:sz="8" w:color="CCEEFF"/>
            </w:tcBorders>
          </w:tcPr>
          <w:p>
            <w:pPr>
              <w:spacing w:after="0"/>
              <w:rPr>
                <w:sz w:val="15"/>
                <w:szCs w:val="15"/>
                <w:color w:val="auto"/>
              </w:rPr>
            </w:pPr>
          </w:p>
        </w:tc>
        <w:tc>
          <w:tcPr>
            <w:tcW w:w="3920" w:type="dxa"/>
            <w:vAlign w:val="bottom"/>
            <w:tcBorders>
              <w:top w:val="single" w:sz="8" w:color="CCEEFF"/>
            </w:tcBorders>
            <w:gridSpan w:val="2"/>
          </w:tcPr>
          <w:p>
            <w:pPr>
              <w:ind w:left="180"/>
              <w:spacing w:after="0" w:line="182" w:lineRule="exact"/>
              <w:rPr>
                <w:sz w:val="20"/>
                <w:szCs w:val="20"/>
                <w:color w:val="auto"/>
              </w:rPr>
            </w:pPr>
            <w:r>
              <w:rPr>
                <w:rFonts w:ascii="Arial" w:cs="Arial" w:eastAsia="Arial" w:hAnsi="Arial"/>
                <w:sz w:val="16"/>
                <w:szCs w:val="16"/>
                <w:b w:val="1"/>
                <w:bCs w:val="1"/>
                <w:color w:val="auto"/>
                <w:w w:val="91"/>
              </w:rPr>
              <w:t>Net Increase (Decrease) in Net Assets Resulting from</w:t>
            </w: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20" w:type="dxa"/>
            <w:vAlign w:val="bottom"/>
            <w:gridSpan w:val="2"/>
          </w:tcPr>
          <w:p>
            <w:pPr>
              <w:ind w:left="360"/>
              <w:spacing w:after="0"/>
              <w:rPr>
                <w:sz w:val="20"/>
                <w:szCs w:val="20"/>
                <w:color w:val="auto"/>
              </w:rPr>
            </w:pPr>
            <w:r>
              <w:rPr>
                <w:rFonts w:ascii="Arial" w:cs="Arial" w:eastAsia="Arial" w:hAnsi="Arial"/>
                <w:sz w:val="16"/>
                <w:szCs w:val="16"/>
                <w:b w:val="1"/>
                <w:bCs w:val="1"/>
                <w:color w:val="auto"/>
              </w:rPr>
              <w:t>Operations per Common Share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ind w:left="360"/>
              <w:spacing w:after="0"/>
              <w:rPr>
                <w:sz w:val="20"/>
                <w:szCs w:val="20"/>
                <w:color w:val="auto"/>
              </w:rPr>
            </w:pPr>
            <w:r>
              <w:rPr>
                <w:rFonts w:ascii="Arial" w:cs="Arial" w:eastAsia="Arial" w:hAnsi="Arial"/>
                <w:sz w:val="16"/>
                <w:szCs w:val="16"/>
                <w:b w:val="1"/>
                <w:bCs w:val="1"/>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0.92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gridSpan w:val="2"/>
          </w:tcPr>
          <w:p>
            <w:pPr>
              <w:ind w:left="360"/>
              <w:spacing w:after="0" w:line="236" w:lineRule="exact"/>
              <w:rPr>
                <w:sz w:val="20"/>
                <w:szCs w:val="20"/>
                <w:color w:val="auto"/>
              </w:rPr>
            </w:pPr>
            <w:r>
              <w:rPr>
                <w:rFonts w:ascii="Arial" w:cs="Arial" w:eastAsia="Arial" w:hAnsi="Arial"/>
                <w:sz w:val="16"/>
                <w:szCs w:val="16"/>
                <w:b w:val="1"/>
                <w:bCs w:val="1"/>
                <w:color w:val="auto"/>
              </w:rPr>
              <w:t>Diluted</w:t>
            </w:r>
            <w:r>
              <w:rPr>
                <w:rFonts w:ascii="Arial" w:cs="Arial" w:eastAsia="Arial" w:hAnsi="Arial"/>
                <w:sz w:val="27"/>
                <w:szCs w:val="27"/>
                <w:b w:val="1"/>
                <w:bCs w:val="1"/>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(0.05)</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0.81</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92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Weighted Average Common Shares Outstanding</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360"/>
              <w:spacing w:after="0"/>
              <w:rPr>
                <w:sz w:val="20"/>
                <w:szCs w:val="20"/>
                <w:color w:val="auto"/>
              </w:rPr>
            </w:pPr>
            <w:r>
              <w:rPr>
                <w:rFonts w:ascii="Arial" w:cs="Arial" w:eastAsia="Arial" w:hAnsi="Arial"/>
                <w:sz w:val="16"/>
                <w:szCs w:val="16"/>
                <w:b w:val="1"/>
                <w:bCs w:val="1"/>
                <w:color w:val="auto"/>
              </w:rPr>
              <w:t>Basic</w:t>
            </w:r>
          </w:p>
        </w:tc>
        <w:tc>
          <w:tcPr>
            <w:tcW w:w="1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w w:val="94"/>
              </w:rPr>
              <w:t>19,320,100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w w:val="94"/>
              </w:rPr>
              <w:t>19,320,100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19,320,100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19,320,100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920" w:type="dxa"/>
            <w:vAlign w:val="bottom"/>
            <w:gridSpan w:val="2"/>
            <w:shd w:val="clear" w:color="auto" w:fill="CCEEFF"/>
          </w:tcPr>
          <w:p>
            <w:pPr>
              <w:ind w:left="360"/>
              <w:spacing w:after="0" w:line="236" w:lineRule="exact"/>
              <w:rPr>
                <w:sz w:val="20"/>
                <w:szCs w:val="20"/>
                <w:color w:val="auto"/>
              </w:rPr>
            </w:pPr>
            <w:r>
              <w:rPr>
                <w:rFonts w:ascii="Arial" w:cs="Arial" w:eastAsia="Arial" w:hAnsi="Arial"/>
                <w:sz w:val="16"/>
                <w:szCs w:val="16"/>
                <w:b w:val="1"/>
                <w:bCs w:val="1"/>
                <w:color w:val="auto"/>
              </w:rPr>
              <w:t>Diluted</w:t>
            </w:r>
            <w:r>
              <w:rPr>
                <w:rFonts w:ascii="Arial" w:cs="Arial" w:eastAsia="Arial" w:hAnsi="Arial"/>
                <w:sz w:val="27"/>
                <w:szCs w:val="27"/>
                <w:b w:val="1"/>
                <w:bCs w:val="1"/>
                <w:color w:val="auto"/>
                <w:vertAlign w:val="superscript"/>
              </w:rPr>
              <w:t>(2)</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4"/>
              </w:rPr>
              <w:t>19,320,100</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4"/>
              </w:rPr>
              <w:t>19,320,100</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23,564,228</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19,320,100</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294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-5307965</wp:posOffset>
            </wp:positionV>
            <wp:extent cx="521398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-3009265</wp:posOffset>
            </wp:positionV>
            <wp:extent cx="5213985" cy="266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3985" cy="266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-1834515</wp:posOffset>
            </wp:positionV>
            <wp:extent cx="5213985"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3985" cy="2743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-1303020</wp:posOffset>
            </wp:positionV>
            <wp:extent cx="5213985"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-882650</wp:posOffset>
            </wp:positionV>
            <wp:extent cx="5213985"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3985" cy="2228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balance is a related-party transaction. Refer to Note 2 for more detail.</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Refer to “Note 5 — Net Increase (Decrease) in Net Assets Per Common Share — Basic and Diluted” for further detail.</w:t>
      </w:r>
    </w:p>
    <w:p>
      <w:pPr>
        <w:spacing w:after="0" w:line="200" w:lineRule="exact"/>
        <w:rPr>
          <w:sz w:val="20"/>
          <w:szCs w:val="20"/>
          <w:color w:val="auto"/>
        </w:rPr>
      </w:pPr>
    </w:p>
    <w:p>
      <w:pPr>
        <w:spacing w:after="0" w:line="372"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086" w:gutter="0" w:footer="0" w:header="0"/>
        </w:sectPr>
      </w:pPr>
    </w:p>
    <w:bookmarkStart w:id="5" w:name="page6"/>
    <w:bookmarkEnd w:id="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STATEMENTS OF CHANGES IN NET ASSETS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1968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Six months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Six months</w:t>
            </w:r>
          </w:p>
        </w:tc>
      </w:tr>
      <w:tr>
        <w:trPr>
          <w:trHeight w:val="149"/>
        </w:trPr>
        <w:tc>
          <w:tcPr>
            <w:tcW w:w="574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71"/>
        </w:trPr>
        <w:tc>
          <w:tcPr>
            <w:tcW w:w="5740" w:type="dxa"/>
            <w:vAlign w:val="bottom"/>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2015</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June 30, 2014</w:t>
            </w: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Increase (Decrease) in Net Assets Resulting From Operations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Net Investment Loss</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 (11,184,869)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(6,213,963)</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Gain on Investments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26,855,017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682,179</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Provision for Taxes on realized gain on investments</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(10,964,904)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(278,533)</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Unrealized Appreciation on investments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22,039,682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8,399,046</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Provision for taxes on unrealized appreciation on investments</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(8,998,803)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(3,429,331)</w:t>
            </w:r>
          </w:p>
        </w:tc>
      </w:tr>
      <w:tr>
        <w:trPr>
          <w:trHeight w:val="20"/>
        </w:trPr>
        <w:tc>
          <w:tcPr>
            <w:tcW w:w="57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17,746,123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(840,602)</w:t>
            </w:r>
          </w:p>
        </w:tc>
      </w:tr>
      <w:tr>
        <w:trPr>
          <w:trHeight w:val="20"/>
        </w:trPr>
        <w:tc>
          <w:tcPr>
            <w:tcW w:w="57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Total Increase (Decrease) in Net Assets</w:t>
            </w:r>
          </w:p>
        </w:tc>
        <w:tc>
          <w:tcPr>
            <w:tcW w:w="1000" w:type="dxa"/>
            <w:vAlign w:val="bottom"/>
          </w:tcPr>
          <w:p>
            <w:pPr>
              <w:jc w:val="right"/>
              <w:spacing w:after="0"/>
              <w:rPr>
                <w:sz w:val="20"/>
                <w:szCs w:val="20"/>
                <w:color w:val="auto"/>
              </w:rPr>
            </w:pPr>
            <w:r>
              <w:rPr>
                <w:rFonts w:ascii="Arial" w:cs="Arial" w:eastAsia="Arial" w:hAnsi="Arial"/>
                <w:sz w:val="18"/>
                <w:szCs w:val="18"/>
                <w:color w:val="auto"/>
              </w:rPr>
              <w:t>17,746,123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(840,602)</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at Beginning of Period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285,903,673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287,966,444</w:t>
            </w:r>
          </w:p>
        </w:tc>
      </w:tr>
      <w:tr>
        <w:trPr>
          <w:trHeight w:val="20"/>
        </w:trPr>
        <w:tc>
          <w:tcPr>
            <w:tcW w:w="57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Net Assets at End of Period</w:t>
            </w:r>
          </w:p>
        </w:tc>
        <w:tc>
          <w:tcPr>
            <w:tcW w:w="100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303,649,796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287,125,842</w:t>
            </w:r>
          </w:p>
        </w:tc>
      </w:tr>
      <w:tr>
        <w:trPr>
          <w:trHeight w:val="21"/>
        </w:trPr>
        <w:tc>
          <w:tcPr>
            <w:tcW w:w="5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 Share Activity</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Shares Issued</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Outstanding at Beginning of Period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19,320,100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19,320,100</w:t>
            </w:r>
          </w:p>
        </w:tc>
      </w:tr>
      <w:tr>
        <w:trPr>
          <w:trHeight w:val="20"/>
        </w:trPr>
        <w:tc>
          <w:tcPr>
            <w:tcW w:w="57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Shares Outstanding at End of Period</w:t>
            </w:r>
          </w:p>
        </w:tc>
        <w:tc>
          <w:tcPr>
            <w:tcW w:w="1000" w:type="dxa"/>
            <w:vAlign w:val="bottom"/>
          </w:tcPr>
          <w:p>
            <w:pPr>
              <w:jc w:val="right"/>
              <w:spacing w:after="0"/>
              <w:rPr>
                <w:sz w:val="20"/>
                <w:szCs w:val="20"/>
                <w:color w:val="auto"/>
              </w:rPr>
            </w:pPr>
            <w:r>
              <w:rPr>
                <w:rFonts w:ascii="Arial" w:cs="Arial" w:eastAsia="Arial" w:hAnsi="Arial"/>
                <w:sz w:val="18"/>
                <w:szCs w:val="18"/>
                <w:color w:val="auto"/>
              </w:rPr>
              <w:t>19,320,100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19,320,100</w:t>
            </w:r>
          </w:p>
        </w:tc>
      </w:tr>
      <w:tr>
        <w:trPr>
          <w:trHeight w:val="21"/>
        </w:trPr>
        <w:tc>
          <w:tcPr>
            <w:tcW w:w="5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-1054100</wp:posOffset>
            </wp:positionV>
            <wp:extent cx="521398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-770890</wp:posOffset>
            </wp:positionV>
            <wp:extent cx="5213985"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 w:name="page7"/>
    <w:bookmarkEnd w:id="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Six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Six months</w:t>
            </w:r>
          </w:p>
        </w:tc>
      </w:tr>
      <w:tr>
        <w:trPr>
          <w:trHeight w:val="149"/>
        </w:trPr>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71"/>
        </w:trPr>
        <w:tc>
          <w:tcPr>
            <w:tcW w:w="5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June 30, 2015</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June 30, 2014</w:t>
            </w: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17,746,123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(840,602)</w:t>
            </w:r>
          </w:p>
        </w:tc>
      </w:tr>
      <w:tr>
        <w:trPr>
          <w:trHeight w:val="202"/>
        </w:trPr>
        <w:tc>
          <w:tcPr>
            <w:tcW w:w="57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2"/>
              </w:rPr>
              <w:t>Adjustments to reconcile net increase (decrease) in net assets resulting from</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to net cash provided by (used in) operating activities:</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Net realized gain on investments</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(26,855,017)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(682,179)</w:t>
            </w: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unrealized appreciation on investments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(22,039,682)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(8,399,046)</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Gain on fair value adjustment for embedded derivative</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(640,000)</w:t>
            </w: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12,245,637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(664,418)</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Amortization of discount on senior convertible notes</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65,659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413,576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516,348</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Amortization of fixed income security premiums and discounts</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(37,092)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(27,553)</w:t>
            </w: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restricted cash</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Non-cash dividend income</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(46,781)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investments in:</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00" w:type="dxa"/>
            <w:vAlign w:val="bottom"/>
          </w:tcPr>
          <w:p>
            <w:pPr>
              <w:ind w:left="380"/>
              <w:spacing w:after="0"/>
              <w:rPr>
                <w:sz w:val="20"/>
                <w:szCs w:val="20"/>
                <w:color w:val="auto"/>
              </w:rPr>
            </w:pPr>
            <w:r>
              <w:rPr>
                <w:rFonts w:ascii="Arial" w:cs="Arial" w:eastAsia="Arial" w:hAnsi="Arial"/>
                <w:sz w:val="18"/>
                <w:szCs w:val="18"/>
                <w:color w:val="auto"/>
              </w:rPr>
              <w:t>Portfolio investments</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(10,544,564)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(35,548,349)</w:t>
            </w:r>
          </w:p>
        </w:tc>
      </w:tr>
      <w:tr>
        <w:trPr>
          <w:trHeight w:val="216"/>
        </w:trPr>
        <w:tc>
          <w:tcPr>
            <w:tcW w:w="5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United States treasury bills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(200,014,903)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(160,001,251)</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Proceeds from sales or maturity of investments in:</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Portfolio investments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40,162,114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32,975,438</w:t>
            </w:r>
          </w:p>
        </w:tc>
      </w:tr>
      <w:tr>
        <w:trPr>
          <w:trHeight w:val="216"/>
        </w:trPr>
        <w:tc>
          <w:tcPr>
            <w:tcW w:w="5700" w:type="dxa"/>
            <w:vAlign w:val="bottom"/>
          </w:tcPr>
          <w:p>
            <w:pPr>
              <w:ind w:left="380"/>
              <w:spacing w:after="0"/>
              <w:rPr>
                <w:sz w:val="20"/>
                <w:szCs w:val="20"/>
                <w:color w:val="auto"/>
              </w:rPr>
            </w:pPr>
            <w:r>
              <w:rPr>
                <w:rFonts w:ascii="Arial" w:cs="Arial" w:eastAsia="Arial" w:hAnsi="Arial"/>
                <w:sz w:val="18"/>
                <w:szCs w:val="18"/>
                <w:color w:val="auto"/>
              </w:rPr>
              <w:t>Treasuries strips</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1,816,000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1,790,785</w:t>
            </w:r>
          </w:p>
        </w:tc>
      </w:tr>
      <w:tr>
        <w:trPr>
          <w:trHeight w:val="216"/>
        </w:trPr>
        <w:tc>
          <w:tcPr>
            <w:tcW w:w="5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United States treasury bills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200,000,000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80,000,584</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Change in operating assets and liabilities: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7"/>
        </w:trPr>
        <w:tc>
          <w:tcPr>
            <w:tcW w:w="570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Due from GSV Asset Management</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203,701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(32,367)</w:t>
            </w:r>
          </w:p>
        </w:tc>
      </w:tr>
      <w:tr>
        <w:trPr>
          <w:trHeight w:val="257"/>
        </w:trPr>
        <w:tc>
          <w:tcPr>
            <w:tcW w:w="5700" w:type="dxa"/>
            <w:vAlign w:val="bottom"/>
          </w:tcPr>
          <w:p>
            <w:pPr>
              <w:ind w:left="200"/>
              <w:spacing w:after="0" w:line="256" w:lineRule="exact"/>
              <w:rPr>
                <w:sz w:val="20"/>
                <w:szCs w:val="20"/>
                <w:color w:val="auto"/>
              </w:rPr>
            </w:pPr>
            <w:r>
              <w:rPr>
                <w:rFonts w:ascii="Arial" w:cs="Arial" w:eastAsia="Arial" w:hAnsi="Arial"/>
                <w:sz w:val="18"/>
                <w:szCs w:val="18"/>
                <w:color w:val="auto"/>
              </w:rPr>
              <w:t>Due from portfolio companies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16,985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30,927</w:t>
            </w: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532,944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21,619</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Interest and dividends receivable</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(92,577)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31,576</w:t>
            </w:r>
          </w:p>
        </w:tc>
      </w:tr>
      <w:tr>
        <w:trPr>
          <w:trHeight w:val="257"/>
        </w:trPr>
        <w:tc>
          <w:tcPr>
            <w:tcW w:w="570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Due to GSV Asset Management</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5,929</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(554,331)</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Payable for securities purchased</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(500,123)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72,000,667</w:t>
            </w: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(230,781)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(33,344)</w:t>
            </w:r>
          </w:p>
        </w:tc>
      </w:tr>
      <w:tr>
        <w:trPr>
          <w:trHeight w:val="257"/>
        </w:trPr>
        <w:tc>
          <w:tcPr>
            <w:tcW w:w="5700" w:type="dxa"/>
            <w:vAlign w:val="bottom"/>
          </w:tcPr>
          <w:p>
            <w:pPr>
              <w:ind w:left="200"/>
              <w:spacing w:after="0" w:line="256" w:lineRule="exact"/>
              <w:rPr>
                <w:sz w:val="20"/>
                <w:szCs w:val="20"/>
                <w:color w:val="auto"/>
              </w:rPr>
            </w:pPr>
            <w:r>
              <w:rPr>
                <w:rFonts w:ascii="Arial" w:cs="Arial" w:eastAsia="Arial" w:hAnsi="Arial"/>
                <w:sz w:val="18"/>
                <w:szCs w:val="18"/>
                <w:color w:val="auto"/>
              </w:rPr>
              <w:t>Accrued incentive fees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9,777,067</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1,814,285</w:t>
            </w:r>
          </w:p>
        </w:tc>
      </w:tr>
      <w:tr>
        <w:trPr>
          <w:trHeight w:val="257"/>
        </w:trPr>
        <w:tc>
          <w:tcPr>
            <w:tcW w:w="570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Accrued management fees</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28,852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Accrued interest payable</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(82,895)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131,130</w:t>
            </w:r>
          </w:p>
        </w:tc>
      </w:tr>
      <w:tr>
        <w:trPr>
          <w:trHeight w:val="20"/>
        </w:trPr>
        <w:tc>
          <w:tcPr>
            <w:tcW w:w="5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22,576,880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(18,109,956)</w:t>
            </w:r>
          </w:p>
        </w:tc>
      </w:tr>
      <w:tr>
        <w:trPr>
          <w:trHeight w:val="210"/>
        </w:trPr>
        <w:tc>
          <w:tcPr>
            <w:tcW w:w="57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under credit facility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18,000,000</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Payments under credit facility</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(24,000,000)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(2,858,667)</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(56,300)</w:t>
            </w:r>
          </w:p>
        </w:tc>
      </w:tr>
      <w:tr>
        <w:trPr>
          <w:trHeight w:val="20"/>
        </w:trPr>
        <w:tc>
          <w:tcPr>
            <w:tcW w:w="5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700" w:type="dxa"/>
            <w:vAlign w:val="bottom"/>
          </w:tcPr>
          <w:p>
            <w:pPr>
              <w:ind w:left="38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(18,000,000)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15,085,033</w:t>
            </w:r>
          </w:p>
        </w:tc>
      </w:tr>
      <w:tr>
        <w:trPr>
          <w:trHeight w:val="20"/>
        </w:trPr>
        <w:tc>
          <w:tcPr>
            <w:tcW w:w="5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Increase (Decrease) in Cash Balance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4,576,880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(3,024,923)</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Cash Balance at Beginning of Period</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3,472,880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7,219,203</w:t>
            </w:r>
          </w:p>
        </w:tc>
      </w:tr>
      <w:tr>
        <w:trPr>
          <w:trHeight w:val="20"/>
        </w:trPr>
        <w:tc>
          <w:tcPr>
            <w:tcW w:w="5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Balance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8,049,760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4,194,280</w:t>
            </w:r>
          </w:p>
        </w:tc>
      </w:tr>
      <w:tr>
        <w:trPr>
          <w:trHeight w:val="20"/>
        </w:trPr>
        <w:tc>
          <w:tcPr>
            <w:tcW w:w="5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-1139825</wp:posOffset>
            </wp:positionV>
            <wp:extent cx="521398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-582295</wp:posOffset>
            </wp:positionV>
            <wp:extent cx="521398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 w:name="page8"/>
    <w:bookmarkEnd w:id="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54"/>
              <w:spacing w:after="0"/>
              <w:rPr>
                <w:sz w:val="20"/>
                <w:szCs w:val="20"/>
                <w:color w:val="auto"/>
              </w:rPr>
            </w:pPr>
            <w:r>
              <w:rPr>
                <w:rFonts w:ascii="Arial" w:cs="Arial" w:eastAsia="Arial" w:hAnsi="Arial"/>
                <w:sz w:val="14"/>
                <w:szCs w:val="14"/>
                <w:b w:val="1"/>
                <w:bCs w:val="1"/>
                <w:color w:val="auto"/>
                <w:w w:val="90"/>
              </w:rPr>
              <w:t>Six months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54"/>
              <w:spacing w:after="0"/>
              <w:rPr>
                <w:sz w:val="20"/>
                <w:szCs w:val="20"/>
                <w:color w:val="auto"/>
              </w:rPr>
            </w:pPr>
            <w:r>
              <w:rPr>
                <w:rFonts w:ascii="Arial" w:cs="Arial" w:eastAsia="Arial" w:hAnsi="Arial"/>
                <w:sz w:val="14"/>
                <w:szCs w:val="14"/>
                <w:b w:val="1"/>
                <w:bCs w:val="1"/>
                <w:color w:val="auto"/>
                <w:w w:val="92"/>
              </w:rPr>
              <w:t>Six months</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2"/>
              </w:rPr>
              <w:t>June 30, 2015</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June 30, 2014</w:t>
            </w:r>
          </w:p>
        </w:tc>
      </w:tr>
      <w:tr>
        <w:trPr>
          <w:trHeight w:val="210"/>
        </w:trPr>
        <w:tc>
          <w:tcPr>
            <w:tcW w:w="578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Information:</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780" w:type="dxa"/>
            <w:vAlign w:val="bottom"/>
            <w:gridSpan w:val="4"/>
          </w:tcPr>
          <w:p>
            <w:pPr>
              <w:ind w:left="20"/>
              <w:spacing w:after="0"/>
              <w:rPr>
                <w:sz w:val="20"/>
                <w:szCs w:val="20"/>
                <w:color w:val="auto"/>
              </w:rPr>
            </w:pPr>
            <w:r>
              <w:rPr>
                <w:rFonts w:ascii="Arial" w:cs="Arial" w:eastAsia="Arial" w:hAnsi="Arial"/>
                <w:sz w:val="18"/>
                <w:szCs w:val="18"/>
                <w:color w:val="auto"/>
              </w:rPr>
              <w:t>Interest Paid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2,680,481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2,582,566</w:t>
            </w:r>
          </w:p>
        </w:tc>
      </w:tr>
      <w:tr>
        <w:trPr>
          <w:trHeight w:val="216"/>
        </w:trPr>
        <w:tc>
          <w:tcPr>
            <w:tcW w:w="578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Non-Cash Operating Items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76"/>
        </w:trPr>
        <w:tc>
          <w:tcPr>
            <w:tcW w:w="5780" w:type="dxa"/>
            <w:vAlign w:val="bottom"/>
            <w:gridSpan w:val="4"/>
          </w:tcPr>
          <w:p>
            <w:pPr>
              <w:ind w:left="20"/>
              <w:spacing w:after="0" w:line="176" w:lineRule="exact"/>
              <w:rPr>
                <w:sz w:val="20"/>
                <w:szCs w:val="20"/>
                <w:color w:val="auto"/>
              </w:rPr>
            </w:pPr>
            <w:r>
              <w:rPr>
                <w:rFonts w:ascii="Arial" w:cs="Arial" w:eastAsia="Arial" w:hAnsi="Arial"/>
                <w:sz w:val="18"/>
                <w:szCs w:val="18"/>
                <w:color w:val="auto"/>
              </w:rPr>
              <w:t>Transactions in Portfolio Company Investments</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460" w:type="dxa"/>
            <w:vAlign w:val="bottom"/>
            <w:tcBorders>
              <w:top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6"/>
        </w:trPr>
        <w:tc>
          <w:tcPr>
            <w:tcW w:w="57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Preferred shares converted to common shares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1,273,125</w:t>
            </w:r>
          </w:p>
        </w:tc>
      </w:tr>
      <w:tr>
        <w:trPr>
          <w:trHeight w:val="216"/>
        </w:trPr>
        <w:tc>
          <w:tcPr>
            <w:tcW w:w="5780" w:type="dxa"/>
            <w:vAlign w:val="bottom"/>
            <w:gridSpan w:val="4"/>
          </w:tcPr>
          <w:p>
            <w:pPr>
              <w:ind w:left="20"/>
              <w:spacing w:after="0"/>
              <w:rPr>
                <w:sz w:val="20"/>
                <w:szCs w:val="20"/>
                <w:color w:val="auto"/>
              </w:rPr>
            </w:pPr>
            <w:r>
              <w:rPr>
                <w:rFonts w:ascii="Arial" w:cs="Arial" w:eastAsia="Arial" w:hAnsi="Arial"/>
                <w:sz w:val="18"/>
                <w:szCs w:val="18"/>
                <w:color w:val="auto"/>
              </w:rPr>
              <w:t>Convertible notes converted to preferred shares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3,064,135</w:t>
            </w:r>
          </w:p>
        </w:tc>
      </w:tr>
      <w:tr>
        <w:trPr>
          <w:trHeight w:val="216"/>
        </w:trPr>
        <w:tc>
          <w:tcPr>
            <w:tcW w:w="57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Structured notes converted to convertible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609,683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gridSpan w:val="4"/>
          </w:tcPr>
          <w:p>
            <w:pPr>
              <w:ind w:left="20"/>
              <w:spacing w:after="0"/>
              <w:rPr>
                <w:sz w:val="20"/>
                <w:szCs w:val="20"/>
                <w:color w:val="auto"/>
              </w:rPr>
            </w:pPr>
            <w:r>
              <w:rPr>
                <w:rFonts w:ascii="Arial" w:cs="Arial" w:eastAsia="Arial" w:hAnsi="Arial"/>
                <w:sz w:val="18"/>
                <w:szCs w:val="18"/>
                <w:color w:val="auto"/>
              </w:rPr>
              <w:t>Term loan converted to preferred shares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503,851</w:t>
            </w:r>
          </w:p>
        </w:tc>
      </w:tr>
      <w:tr>
        <w:trPr>
          <w:trHeight w:val="216"/>
        </w:trPr>
        <w:tc>
          <w:tcPr>
            <w:tcW w:w="57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Common shares converted to preferred shares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2,006,077</w:t>
            </w:r>
          </w:p>
        </w:tc>
      </w:tr>
      <w:tr>
        <w:trPr>
          <w:trHeight w:val="216"/>
        </w:trPr>
        <w:tc>
          <w:tcPr>
            <w:tcW w:w="5780" w:type="dxa"/>
            <w:vAlign w:val="bottom"/>
            <w:gridSpan w:val="4"/>
          </w:tcPr>
          <w:p>
            <w:pPr>
              <w:ind w:left="20"/>
              <w:spacing w:after="0"/>
              <w:rPr>
                <w:sz w:val="20"/>
                <w:szCs w:val="20"/>
                <w:color w:val="auto"/>
              </w:rPr>
            </w:pPr>
            <w:r>
              <w:rPr>
                <w:rFonts w:ascii="Arial" w:cs="Arial" w:eastAsia="Arial" w:hAnsi="Arial"/>
                <w:sz w:val="18"/>
                <w:szCs w:val="18"/>
                <w:color w:val="auto"/>
              </w:rPr>
              <w:t>Common membership interest converted to preferred shares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500,000</w:t>
            </w:r>
          </w:p>
        </w:tc>
      </w:tr>
      <w:tr>
        <w:trPr>
          <w:trHeight w:val="216"/>
        </w:trPr>
        <w:tc>
          <w:tcPr>
            <w:tcW w:w="57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Decrease in 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(222,097)</w:t>
            </w:r>
          </w:p>
        </w:tc>
      </w:tr>
      <w:tr>
        <w:trPr>
          <w:trHeight w:val="216"/>
        </w:trPr>
        <w:tc>
          <w:tcPr>
            <w:tcW w:w="5780" w:type="dxa"/>
            <w:vAlign w:val="bottom"/>
            <w:gridSpan w:val="4"/>
          </w:tcPr>
          <w:p>
            <w:pPr>
              <w:ind w:left="20"/>
              <w:spacing w:after="0"/>
              <w:rPr>
                <w:sz w:val="20"/>
                <w:szCs w:val="20"/>
                <w:color w:val="auto"/>
              </w:rPr>
            </w:pPr>
            <w:r>
              <w:rPr>
                <w:rFonts w:ascii="Arial" w:cs="Arial" w:eastAsia="Arial" w:hAnsi="Arial"/>
                <w:sz w:val="18"/>
                <w:szCs w:val="18"/>
                <w:b w:val="1"/>
                <w:bCs w:val="1"/>
                <w:color w:val="auto"/>
              </w:rPr>
              <w:t>Non-Cash Financing Items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7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Increase in deferred offering costs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56,300</w:t>
            </w: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4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This balance is a related-party transaction. Refer to Note 2 for more detail.</w:t>
      </w:r>
    </w:p>
    <w:p>
      <w:pPr>
        <w:spacing w:after="0" w:line="200" w:lineRule="exact"/>
        <w:rPr>
          <w:sz w:val="20"/>
          <w:szCs w:val="20"/>
          <w:color w:val="auto"/>
        </w:rPr>
      </w:pPr>
    </w:p>
    <w:p>
      <w:pPr>
        <w:spacing w:after="0" w:line="349"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 w:name="page9"/>
    <w:bookmarkEnd w:id="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057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4"/>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Shares/Principal</w:t>
            </w:r>
          </w:p>
        </w:tc>
        <w:tc>
          <w:tcPr>
            <w:tcW w:w="8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82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2660" w:type="dxa"/>
            <w:vAlign w:val="bottom"/>
            <w:gridSpan w:val="14"/>
            <w:vMerge w:val="continue"/>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56"/>
        </w:trPr>
        <w:tc>
          <w:tcPr>
            <w:tcW w:w="2660" w:type="dxa"/>
            <w:vAlign w:val="bottom"/>
            <w:tcBorders>
              <w:top w:val="single" w:sz="8" w:color="auto"/>
            </w:tcBorders>
            <w:gridSpan w:val="14"/>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Palantir Technologies, Inc.</w:t>
            </w:r>
          </w:p>
        </w:tc>
        <w:tc>
          <w:tcPr>
            <w:tcW w:w="60" w:type="dxa"/>
            <w:vAlign w:val="bottom"/>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80" w:type="dxa"/>
            <w:vAlign w:val="bottom"/>
            <w:tcBorders>
              <w:top w:val="single" w:sz="8" w:color="auto"/>
              <w:right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Common shares, Class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Palo Alto,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Cyber Security</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5,773,690</w:t>
            </w:r>
          </w:p>
        </w:tc>
        <w:tc>
          <w:tcPr>
            <w:tcW w:w="840" w:type="dxa"/>
            <w:vAlign w:val="bottom"/>
          </w:tcPr>
          <w:p>
            <w:pPr>
              <w:jc w:val="right"/>
              <w:spacing w:after="0"/>
              <w:rPr>
                <w:sz w:val="20"/>
                <w:szCs w:val="20"/>
                <w:color w:val="auto"/>
              </w:rPr>
            </w:pPr>
            <w:r>
              <w:rPr>
                <w:rFonts w:ascii="Arial" w:cs="Arial" w:eastAsia="Arial" w:hAnsi="Arial"/>
                <w:sz w:val="16"/>
                <w:szCs w:val="16"/>
                <w:color w:val="auto"/>
                <w:w w:val="92"/>
              </w:rPr>
              <w:t>$16,191,055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$46,168,644</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15.20%</w:t>
            </w:r>
          </w:p>
        </w:tc>
        <w:tc>
          <w:tcPr>
            <w:tcW w:w="0" w:type="dxa"/>
            <w:vAlign w:val="bottom"/>
          </w:tcPr>
          <w:p>
            <w:pPr>
              <w:spacing w:after="0"/>
              <w:rPr>
                <w:sz w:val="1"/>
                <w:szCs w:val="1"/>
                <w:color w:val="auto"/>
              </w:rPr>
            </w:pPr>
          </w:p>
        </w:tc>
      </w:tr>
      <w:tr>
        <w:trPr>
          <w:trHeight w:val="206"/>
        </w:trPr>
        <w:tc>
          <w:tcPr>
            <w:tcW w:w="2660" w:type="dxa"/>
            <w:vAlign w:val="bottom"/>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G</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326,797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1,008,968</w:t>
            </w:r>
          </w:p>
        </w:tc>
        <w:tc>
          <w:tcPr>
            <w:tcW w:w="12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2,614,376</w:t>
            </w:r>
          </w:p>
        </w:tc>
        <w:tc>
          <w:tcPr>
            <w:tcW w:w="7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0.87%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3"/>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17,200,023</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48,783,020</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16.07%</w:t>
            </w:r>
          </w:p>
        </w:tc>
        <w:tc>
          <w:tcPr>
            <w:tcW w:w="0" w:type="dxa"/>
            <w:vAlign w:val="bottom"/>
          </w:tcPr>
          <w:p>
            <w:pPr>
              <w:spacing w:after="0"/>
              <w:rPr>
                <w:sz w:val="1"/>
                <w:szCs w:val="1"/>
                <w:color w:val="auto"/>
              </w:rPr>
            </w:pPr>
          </w:p>
        </w:tc>
      </w:tr>
      <w:tr>
        <w:trPr>
          <w:trHeight w:val="196"/>
        </w:trPr>
        <w:tc>
          <w:tcPr>
            <w:tcW w:w="2660" w:type="dxa"/>
            <w:vAlign w:val="bottom"/>
            <w:gridSpan w:val="14"/>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2U, Inc. (f/k/a 2tor, Inc.)</w:t>
            </w:r>
            <w:r>
              <w:rPr>
                <w:rFonts w:ascii="Arial" w:cs="Arial" w:eastAsia="Arial" w:hAnsi="Arial"/>
                <w:sz w:val="22"/>
                <w:szCs w:val="22"/>
                <w:b w:val="1"/>
                <w:bCs w:val="1"/>
                <w:color w:val="auto"/>
                <w:vertAlign w:val="superscript"/>
              </w:rPr>
              <w:t>(9)</w:t>
            </w:r>
            <w:r>
              <w:rPr>
                <w:rFonts w:ascii="Arial" w:cs="Arial" w:eastAsia="Arial" w:hAnsi="Arial"/>
                <w:sz w:val="14"/>
                <w:szCs w:val="14"/>
                <w:b w:val="1"/>
                <w:bCs w:val="1"/>
                <w:color w:val="auto"/>
              </w:rPr>
              <w:t>**</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Landover, MD</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1,319,233</w:t>
            </w:r>
          </w:p>
        </w:tc>
        <w:tc>
          <w:tcPr>
            <w:tcW w:w="840" w:type="dxa"/>
            <w:vAlign w:val="bottom"/>
          </w:tcPr>
          <w:p>
            <w:pPr>
              <w:jc w:val="right"/>
              <w:spacing w:after="0"/>
              <w:rPr>
                <w:sz w:val="20"/>
                <w:szCs w:val="20"/>
                <w:color w:val="auto"/>
              </w:rPr>
            </w:pPr>
            <w:r>
              <w:rPr>
                <w:rFonts w:ascii="Arial" w:cs="Arial" w:eastAsia="Arial" w:hAnsi="Arial"/>
                <w:sz w:val="16"/>
                <w:szCs w:val="16"/>
                <w:color w:val="auto"/>
              </w:rPr>
              <w:t>10,032,117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38,219,499</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12.59%</w:t>
            </w:r>
          </w:p>
        </w:tc>
        <w:tc>
          <w:tcPr>
            <w:tcW w:w="0" w:type="dxa"/>
            <w:vAlign w:val="bottom"/>
          </w:tcPr>
          <w:p>
            <w:pPr>
              <w:spacing w:after="0"/>
              <w:rPr>
                <w:sz w:val="1"/>
                <w:szCs w:val="1"/>
                <w:color w:val="auto"/>
              </w:rPr>
            </w:pPr>
          </w:p>
        </w:tc>
      </w:tr>
      <w:tr>
        <w:trPr>
          <w:trHeight w:val="165"/>
        </w:trPr>
        <w:tc>
          <w:tcPr>
            <w:tcW w:w="2660" w:type="dxa"/>
            <w:vAlign w:val="bottom"/>
            <w:gridSpan w:val="14"/>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Dropbox,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Online Storage</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760,000</w:t>
            </w:r>
          </w:p>
        </w:tc>
        <w:tc>
          <w:tcPr>
            <w:tcW w:w="840" w:type="dxa"/>
            <w:vAlign w:val="bottom"/>
          </w:tcPr>
          <w:p>
            <w:pPr>
              <w:jc w:val="right"/>
              <w:spacing w:after="0"/>
              <w:rPr>
                <w:sz w:val="20"/>
                <w:szCs w:val="20"/>
                <w:color w:val="auto"/>
              </w:rPr>
            </w:pPr>
            <w:r>
              <w:rPr>
                <w:rFonts w:ascii="Arial" w:cs="Arial" w:eastAsia="Arial" w:hAnsi="Arial"/>
                <w:sz w:val="16"/>
                <w:szCs w:val="16"/>
                <w:color w:val="auto"/>
              </w:rPr>
              <w:t>8,641,153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17,385,000</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06"/>
        </w:trPr>
        <w:tc>
          <w:tcPr>
            <w:tcW w:w="2660" w:type="dxa"/>
            <w:vAlign w:val="bottom"/>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A-1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552,486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5,015,773</w:t>
            </w:r>
          </w:p>
        </w:tc>
        <w:tc>
          <w:tcPr>
            <w:tcW w:w="12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12,642,479</w:t>
            </w:r>
          </w:p>
        </w:tc>
        <w:tc>
          <w:tcPr>
            <w:tcW w:w="7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3"/>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13,656,926</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30,027,479</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156"/>
        </w:trPr>
        <w:tc>
          <w:tcPr>
            <w:tcW w:w="2660" w:type="dxa"/>
            <w:vAlign w:val="bottom"/>
            <w:gridSpan w:val="14"/>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Twitter,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80" w:type="dxa"/>
            <w:vAlign w:val="bottom"/>
            <w:tcBorders>
              <w:right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Social Communication</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800,600</w:t>
            </w:r>
          </w:p>
        </w:tc>
        <w:tc>
          <w:tcPr>
            <w:tcW w:w="840" w:type="dxa"/>
            <w:vAlign w:val="bottom"/>
          </w:tcPr>
          <w:p>
            <w:pPr>
              <w:jc w:val="right"/>
              <w:spacing w:after="0"/>
              <w:rPr>
                <w:sz w:val="20"/>
                <w:szCs w:val="20"/>
                <w:color w:val="auto"/>
              </w:rPr>
            </w:pPr>
            <w:r>
              <w:rPr>
                <w:rFonts w:ascii="Arial" w:cs="Arial" w:eastAsia="Arial" w:hAnsi="Arial"/>
                <w:sz w:val="16"/>
                <w:szCs w:val="16"/>
                <w:color w:val="auto"/>
              </w:rPr>
              <w:t>14,271,866</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28,997,732</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165"/>
        </w:trPr>
        <w:tc>
          <w:tcPr>
            <w:tcW w:w="2660" w:type="dxa"/>
            <w:vAlign w:val="bottom"/>
            <w:gridSpan w:val="14"/>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Coursera,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Mountain View,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2,961,399</w:t>
            </w:r>
          </w:p>
        </w:tc>
        <w:tc>
          <w:tcPr>
            <w:tcW w:w="840" w:type="dxa"/>
            <w:vAlign w:val="bottom"/>
          </w:tcPr>
          <w:p>
            <w:pPr>
              <w:jc w:val="right"/>
              <w:spacing w:after="0"/>
              <w:rPr>
                <w:sz w:val="20"/>
                <w:szCs w:val="20"/>
                <w:color w:val="auto"/>
              </w:rPr>
            </w:pPr>
            <w:r>
              <w:rPr>
                <w:rFonts w:ascii="Arial" w:cs="Arial" w:eastAsia="Arial" w:hAnsi="Arial"/>
                <w:sz w:val="16"/>
                <w:szCs w:val="16"/>
                <w:color w:val="auto"/>
              </w:rPr>
              <w:t>14,519,519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14,510,855</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165"/>
        </w:trPr>
        <w:tc>
          <w:tcPr>
            <w:tcW w:w="2660" w:type="dxa"/>
            <w:vAlign w:val="bottom"/>
            <w:gridSpan w:val="14"/>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Solexel,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8"/>
              </w:rPr>
              <w:t>Milpitas,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Solar Power</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5,300,158</w:t>
            </w:r>
          </w:p>
        </w:tc>
        <w:tc>
          <w:tcPr>
            <w:tcW w:w="840" w:type="dxa"/>
            <w:vAlign w:val="bottom"/>
          </w:tcPr>
          <w:p>
            <w:pPr>
              <w:jc w:val="right"/>
              <w:spacing w:after="0"/>
              <w:rPr>
                <w:sz w:val="20"/>
                <w:szCs w:val="20"/>
                <w:color w:val="auto"/>
              </w:rPr>
            </w:pPr>
            <w:r>
              <w:rPr>
                <w:rFonts w:ascii="Arial" w:cs="Arial" w:eastAsia="Arial" w:hAnsi="Arial"/>
                <w:sz w:val="16"/>
                <w:szCs w:val="16"/>
                <w:color w:val="auto"/>
              </w:rPr>
              <w:t>11,598,648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11,607,346</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06"/>
        </w:trPr>
        <w:tc>
          <w:tcPr>
            <w:tcW w:w="2660" w:type="dxa"/>
            <w:vAlign w:val="bottom"/>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1,613,413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2,420,631</w:t>
            </w:r>
          </w:p>
        </w:tc>
        <w:tc>
          <w:tcPr>
            <w:tcW w:w="12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2,420,120</w:t>
            </w:r>
          </w:p>
        </w:tc>
        <w:tc>
          <w:tcPr>
            <w:tcW w:w="7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0.80%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3"/>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14,019,279</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14,027,466</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196"/>
        </w:trPr>
        <w:tc>
          <w:tcPr>
            <w:tcW w:w="2660" w:type="dxa"/>
            <w:vAlign w:val="bottom"/>
            <w:gridSpan w:val="14"/>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PayNearMe, Inc.</w:t>
            </w:r>
            <w:r>
              <w:rPr>
                <w:rFonts w:ascii="Arial" w:cs="Arial" w:eastAsia="Arial" w:hAnsi="Arial"/>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Sunnyvale,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Cash Payment Network</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5,480,348</w:t>
            </w:r>
          </w:p>
        </w:tc>
        <w:tc>
          <w:tcPr>
            <w:tcW w:w="840" w:type="dxa"/>
            <w:vAlign w:val="bottom"/>
          </w:tcPr>
          <w:p>
            <w:pPr>
              <w:jc w:val="right"/>
              <w:spacing w:after="0"/>
              <w:rPr>
                <w:sz w:val="20"/>
                <w:szCs w:val="20"/>
                <w:color w:val="auto"/>
              </w:rPr>
            </w:pPr>
            <w:r>
              <w:rPr>
                <w:rFonts w:ascii="Arial" w:cs="Arial" w:eastAsia="Arial" w:hAnsi="Arial"/>
                <w:sz w:val="16"/>
                <w:szCs w:val="16"/>
                <w:color w:val="auto"/>
              </w:rPr>
              <w:t>14,000,398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13,974,887</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165"/>
        </w:trPr>
        <w:tc>
          <w:tcPr>
            <w:tcW w:w="2660" w:type="dxa"/>
            <w:vAlign w:val="bottom"/>
            <w:gridSpan w:val="14"/>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SugarCRM,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Cupertino,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Customer Relationship</w:t>
            </w: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88"/>
              </w:rPr>
              <w:t>Manager</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1,899,799</w:t>
            </w:r>
          </w:p>
        </w:tc>
        <w:tc>
          <w:tcPr>
            <w:tcW w:w="840" w:type="dxa"/>
            <w:vAlign w:val="bottom"/>
          </w:tcPr>
          <w:p>
            <w:pPr>
              <w:jc w:val="right"/>
              <w:spacing w:after="0"/>
              <w:rPr>
                <w:sz w:val="20"/>
                <w:szCs w:val="20"/>
                <w:color w:val="auto"/>
              </w:rPr>
            </w:pPr>
            <w:r>
              <w:rPr>
                <w:rFonts w:ascii="Arial" w:cs="Arial" w:eastAsia="Arial" w:hAnsi="Arial"/>
                <w:sz w:val="16"/>
                <w:szCs w:val="16"/>
                <w:color w:val="auto"/>
              </w:rPr>
              <w:t>6,800,952</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10,087,028</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0.73%</w:t>
            </w:r>
          </w:p>
        </w:tc>
        <w:tc>
          <w:tcPr>
            <w:tcW w:w="0" w:type="dxa"/>
            <w:vAlign w:val="bottom"/>
          </w:tcPr>
          <w:p>
            <w:pPr>
              <w:spacing w:after="0"/>
              <w:rPr>
                <w:sz w:val="1"/>
                <w:szCs w:val="1"/>
                <w:color w:val="auto"/>
              </w:rPr>
            </w:pPr>
          </w:p>
        </w:tc>
      </w:tr>
      <w:tr>
        <w:trPr>
          <w:trHeight w:val="206"/>
        </w:trPr>
        <w:tc>
          <w:tcPr>
            <w:tcW w:w="2660" w:type="dxa"/>
            <w:vAlign w:val="bottom"/>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373,134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1,500,522</w:t>
            </w:r>
          </w:p>
        </w:tc>
        <w:tc>
          <w:tcPr>
            <w:tcW w:w="12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2,204,862</w:t>
            </w:r>
          </w:p>
        </w:tc>
        <w:tc>
          <w:tcPr>
            <w:tcW w:w="7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3"/>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8,301,474</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12,291,890</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156"/>
        </w:trPr>
        <w:tc>
          <w:tcPr>
            <w:tcW w:w="2660" w:type="dxa"/>
            <w:vAlign w:val="bottom"/>
            <w:gridSpan w:val="14"/>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Dataminr,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80" w:type="dxa"/>
            <w:vAlign w:val="bottom"/>
            <w:tcBorders>
              <w:right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New York, NY</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Social Media Analytics</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904,977</w:t>
            </w:r>
          </w:p>
        </w:tc>
        <w:tc>
          <w:tcPr>
            <w:tcW w:w="840" w:type="dxa"/>
            <w:vAlign w:val="bottom"/>
          </w:tcPr>
          <w:p>
            <w:pPr>
              <w:jc w:val="right"/>
              <w:spacing w:after="0"/>
              <w:rPr>
                <w:sz w:val="20"/>
                <w:szCs w:val="20"/>
                <w:color w:val="auto"/>
              </w:rPr>
            </w:pPr>
            <w:r>
              <w:rPr>
                <w:rFonts w:ascii="Arial" w:cs="Arial" w:eastAsia="Arial" w:hAnsi="Arial"/>
                <w:sz w:val="16"/>
                <w:szCs w:val="16"/>
                <w:color w:val="auto"/>
              </w:rPr>
              <w:t>2,063,356</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8,909,182</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06"/>
        </w:trPr>
        <w:tc>
          <w:tcPr>
            <w:tcW w:w="2660" w:type="dxa"/>
            <w:vAlign w:val="bottom"/>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301,369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1,100,909</w:t>
            </w:r>
          </w:p>
        </w:tc>
        <w:tc>
          <w:tcPr>
            <w:tcW w:w="12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2,966,872</w:t>
            </w:r>
          </w:p>
        </w:tc>
        <w:tc>
          <w:tcPr>
            <w:tcW w:w="7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0.98%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3"/>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3,164,265</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11,876,054</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196"/>
        </w:trPr>
        <w:tc>
          <w:tcPr>
            <w:tcW w:w="2660" w:type="dxa"/>
            <w:vAlign w:val="bottom"/>
            <w:gridSpan w:val="14"/>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Avenues Global Holdings, LLC</w:t>
            </w:r>
            <w:r>
              <w:rPr>
                <w:rFonts w:ascii="Arial" w:cs="Arial" w:eastAsia="Arial" w:hAnsi="Arial"/>
                <w:sz w:val="22"/>
                <w:szCs w:val="22"/>
                <w:b w:val="1"/>
                <w:bCs w:val="1"/>
                <w:color w:val="auto"/>
                <w:vertAlign w:val="superscript"/>
              </w:rPr>
              <w:t>(3)</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Preferred shares, Junior Preferred</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New York, NY</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gridSpan w:val="13"/>
          </w:tcPr>
          <w:p>
            <w:pPr>
              <w:ind w:left="180"/>
              <w:spacing w:after="0"/>
              <w:rPr>
                <w:sz w:val="20"/>
                <w:szCs w:val="20"/>
                <w:color w:val="auto"/>
              </w:rPr>
            </w:pPr>
            <w:r>
              <w:rPr>
                <w:rFonts w:ascii="Arial" w:cs="Arial" w:eastAsia="Arial" w:hAnsi="Arial"/>
                <w:sz w:val="16"/>
                <w:szCs w:val="16"/>
                <w:color w:val="auto"/>
              </w:rPr>
              <w:t>Stock</w:t>
            </w: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Globally-focused Private</w:t>
            </w: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School</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10,014,270</w:t>
            </w:r>
          </w:p>
        </w:tc>
        <w:tc>
          <w:tcPr>
            <w:tcW w:w="840" w:type="dxa"/>
            <w:vAlign w:val="bottom"/>
          </w:tcPr>
          <w:p>
            <w:pPr>
              <w:jc w:val="right"/>
              <w:spacing w:after="0"/>
              <w:rPr>
                <w:sz w:val="20"/>
                <w:szCs w:val="20"/>
                <w:color w:val="auto"/>
              </w:rPr>
            </w:pPr>
            <w:r>
              <w:rPr>
                <w:rFonts w:ascii="Arial" w:cs="Arial" w:eastAsia="Arial" w:hAnsi="Arial"/>
                <w:sz w:val="16"/>
                <w:szCs w:val="16"/>
                <w:color w:val="auto"/>
              </w:rPr>
              <w:t>10,151,854</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11,313,275</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165"/>
        </w:trPr>
        <w:tc>
          <w:tcPr>
            <w:tcW w:w="2660" w:type="dxa"/>
            <w:vAlign w:val="bottom"/>
            <w:gridSpan w:val="14"/>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JAMF Holdings,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7"/>
              </w:rPr>
              <w:t>Minneapolis, MN</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Mobile Device</w:t>
            </w: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Management</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73,440</w:t>
            </w:r>
          </w:p>
        </w:tc>
        <w:tc>
          <w:tcPr>
            <w:tcW w:w="840" w:type="dxa"/>
            <w:vAlign w:val="bottom"/>
          </w:tcPr>
          <w:p>
            <w:pPr>
              <w:jc w:val="right"/>
              <w:spacing w:after="0"/>
              <w:rPr>
                <w:sz w:val="20"/>
                <w:szCs w:val="20"/>
                <w:color w:val="auto"/>
              </w:rPr>
            </w:pPr>
            <w:r>
              <w:rPr>
                <w:rFonts w:ascii="Arial" w:cs="Arial" w:eastAsia="Arial" w:hAnsi="Arial"/>
                <w:sz w:val="16"/>
                <w:szCs w:val="16"/>
                <w:color w:val="auto"/>
              </w:rPr>
              <w:t>9,999,928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11,237,917</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165"/>
        </w:trPr>
        <w:tc>
          <w:tcPr>
            <w:tcW w:w="2660" w:type="dxa"/>
            <w:vAlign w:val="bottom"/>
            <w:gridSpan w:val="14"/>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Lyft,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Peer to Peer Ridesharing</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493,490</w:t>
            </w:r>
          </w:p>
        </w:tc>
        <w:tc>
          <w:tcPr>
            <w:tcW w:w="840" w:type="dxa"/>
            <w:vAlign w:val="bottom"/>
          </w:tcPr>
          <w:p>
            <w:pPr>
              <w:jc w:val="right"/>
              <w:spacing w:after="0"/>
              <w:rPr>
                <w:sz w:val="20"/>
                <w:szCs w:val="20"/>
                <w:color w:val="auto"/>
              </w:rPr>
            </w:pPr>
            <w:r>
              <w:rPr>
                <w:rFonts w:ascii="Arial" w:cs="Arial" w:eastAsia="Arial" w:hAnsi="Arial"/>
                <w:sz w:val="16"/>
                <w:szCs w:val="16"/>
                <w:color w:val="auto"/>
              </w:rPr>
              <w:t>5,003,631</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8,662,526</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06"/>
        </w:trPr>
        <w:tc>
          <w:tcPr>
            <w:tcW w:w="2660" w:type="dxa"/>
            <w:vAlign w:val="bottom"/>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128,563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2,503,585</w:t>
            </w:r>
          </w:p>
        </w:tc>
        <w:tc>
          <w:tcPr>
            <w:tcW w:w="12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2,499,985</w:t>
            </w:r>
          </w:p>
        </w:tc>
        <w:tc>
          <w:tcPr>
            <w:tcW w:w="7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0.83%</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3"/>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7,507,216</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11,162,511</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-6225540</wp:posOffset>
            </wp:positionV>
            <wp:extent cx="521398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-5153660</wp:posOffset>
            </wp:positionV>
            <wp:extent cx="521398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-3721100</wp:posOffset>
            </wp:positionV>
            <wp:extent cx="521398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-2520950</wp:posOffset>
            </wp:positionV>
            <wp:extent cx="5213985"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-1860550</wp:posOffset>
            </wp:positionV>
            <wp:extent cx="521398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-145415</wp:posOffset>
            </wp:positionV>
            <wp:extent cx="5213985"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 w:name="page10"/>
    <w:bookmarkEnd w:id="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1"/>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Shares/Principal</w:t>
            </w:r>
          </w:p>
        </w:tc>
        <w:tc>
          <w:tcPr>
            <w:tcW w:w="8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660" w:type="dxa"/>
            <w:vAlign w:val="bottom"/>
            <w:gridSpan w:val="11"/>
            <w:vMerge w:val="continue"/>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96"/>
        </w:trPr>
        <w:tc>
          <w:tcPr>
            <w:tcW w:w="2660" w:type="dxa"/>
            <w:vAlign w:val="bottom"/>
            <w:tcBorders>
              <w:top w:val="single" w:sz="8" w:color="auto"/>
            </w:tcBorders>
            <w:gridSpan w:val="11"/>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Ozy Media, Inc.</w:t>
            </w:r>
            <w:r>
              <w:rPr>
                <w:rFonts w:ascii="Arial" w:cs="Arial" w:eastAsia="Arial" w:hAnsi="Arial"/>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tcBorders>
              <w:top w:val="single" w:sz="8" w:color="auto"/>
              <w:righ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Mountain View, CA</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Daily News and</w:t>
            </w: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Information Site</w:t>
            </w: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922,509</w:t>
            </w:r>
          </w:p>
        </w:tc>
        <w:tc>
          <w:tcPr>
            <w:tcW w:w="820" w:type="dxa"/>
            <w:vAlign w:val="bottom"/>
          </w:tcPr>
          <w:p>
            <w:pPr>
              <w:jc w:val="right"/>
              <w:spacing w:after="0"/>
              <w:rPr>
                <w:sz w:val="20"/>
                <w:szCs w:val="20"/>
                <w:color w:val="auto"/>
              </w:rPr>
            </w:pPr>
            <w:r>
              <w:rPr>
                <w:rFonts w:ascii="Arial" w:cs="Arial" w:eastAsia="Arial" w:hAnsi="Arial"/>
                <w:sz w:val="16"/>
                <w:szCs w:val="16"/>
                <w:color w:val="auto"/>
                <w:w w:val="96"/>
              </w:rPr>
              <w:t>$ 4,999,999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$ 5,050,976</w:t>
            </w:r>
          </w:p>
        </w:tc>
        <w:tc>
          <w:tcPr>
            <w:tcW w:w="72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0.56%</w:t>
            </w:r>
          </w:p>
        </w:tc>
        <w:tc>
          <w:tcPr>
            <w:tcW w:w="0" w:type="dxa"/>
            <w:vAlign w:val="bottom"/>
          </w:tcPr>
          <w:p>
            <w:pPr>
              <w:spacing w:after="0"/>
              <w:rPr>
                <w:sz w:val="1"/>
                <w:szCs w:val="1"/>
                <w:color w:val="auto"/>
              </w:rPr>
            </w:pPr>
          </w:p>
        </w:tc>
      </w:tr>
      <w:tr>
        <w:trPr>
          <w:trHeight w:val="206"/>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1,090,909</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3,000,200</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4,211,199</w:t>
            </w:r>
          </w:p>
        </w:tc>
        <w:tc>
          <w:tcPr>
            <w:tcW w:w="720" w:type="dxa"/>
            <w:vAlign w:val="bottom"/>
            <w:tcBorders>
              <w:left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92"/>
              </w:rPr>
              <w:t>1.39%</w:t>
            </w:r>
          </w:p>
        </w:tc>
        <w:tc>
          <w:tcPr>
            <w:tcW w:w="0" w:type="dxa"/>
            <w:vAlign w:val="bottom"/>
          </w:tcPr>
          <w:p>
            <w:pPr>
              <w:spacing w:after="0"/>
              <w:rPr>
                <w:sz w:val="1"/>
                <w:szCs w:val="1"/>
                <w:color w:val="auto"/>
              </w:rPr>
            </w:pPr>
          </w:p>
        </w:tc>
      </w:tr>
      <w:tr>
        <w:trPr>
          <w:trHeight w:val="20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Seed</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500,000</w:t>
            </w:r>
          </w:p>
        </w:tc>
        <w:tc>
          <w:tcPr>
            <w:tcW w:w="820" w:type="dxa"/>
            <w:vAlign w:val="bottom"/>
          </w:tcPr>
          <w:p>
            <w:pPr>
              <w:jc w:val="right"/>
              <w:spacing w:after="0"/>
              <w:rPr>
                <w:sz w:val="20"/>
                <w:szCs w:val="20"/>
                <w:color w:val="auto"/>
              </w:rPr>
            </w:pPr>
            <w:r>
              <w:rPr>
                <w:rFonts w:ascii="Arial" w:cs="Arial" w:eastAsia="Arial" w:hAnsi="Arial"/>
                <w:sz w:val="16"/>
                <w:szCs w:val="16"/>
                <w:color w:val="auto"/>
              </w:rPr>
              <w:t>500,000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1,711,742</w:t>
            </w:r>
          </w:p>
        </w:tc>
        <w:tc>
          <w:tcPr>
            <w:tcW w:w="72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4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8,500,199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10,973,917</w:t>
            </w:r>
          </w:p>
        </w:tc>
        <w:tc>
          <w:tcPr>
            <w:tcW w:w="720" w:type="dxa"/>
            <w:vAlign w:val="bottom"/>
            <w:tcBorders>
              <w:left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92"/>
              </w:rPr>
              <w:t>3.61%</w:t>
            </w:r>
          </w:p>
        </w:tc>
        <w:tc>
          <w:tcPr>
            <w:tcW w:w="0" w:type="dxa"/>
            <w:vAlign w:val="bottom"/>
          </w:tcPr>
          <w:p>
            <w:pPr>
              <w:spacing w:after="0"/>
              <w:rPr>
                <w:sz w:val="1"/>
                <w:szCs w:val="1"/>
                <w:color w:val="auto"/>
              </w:rPr>
            </w:pPr>
          </w:p>
        </w:tc>
      </w:tr>
      <w:tr>
        <w:trPr>
          <w:trHeight w:val="196"/>
        </w:trPr>
        <w:tc>
          <w:tcPr>
            <w:tcW w:w="2660" w:type="dxa"/>
            <w:vAlign w:val="bottom"/>
            <w:tcBorders>
              <w:top w:val="single" w:sz="8" w:color="CCEEFF"/>
            </w:tcBorders>
            <w:gridSpan w:val="11"/>
          </w:tcPr>
          <w:p>
            <w:pPr>
              <w:ind w:left="20"/>
              <w:spacing w:after="0" w:line="197" w:lineRule="exact"/>
              <w:rPr>
                <w:sz w:val="20"/>
                <w:szCs w:val="20"/>
                <w:color w:val="auto"/>
              </w:rPr>
            </w:pPr>
            <w:r>
              <w:rPr>
                <w:rFonts w:ascii="Arial" w:cs="Arial" w:eastAsia="Arial" w:hAnsi="Arial"/>
                <w:sz w:val="14"/>
                <w:szCs w:val="14"/>
                <w:b w:val="1"/>
                <w:bCs w:val="1"/>
                <w:color w:val="auto"/>
              </w:rPr>
              <w:t>Declara, Inc.</w:t>
            </w:r>
            <w:r>
              <w:rPr>
                <w:rFonts w:ascii="Arial" w:cs="Arial" w:eastAsia="Arial" w:hAnsi="Arial"/>
                <w:sz w:val="22"/>
                <w:szCs w:val="22"/>
                <w:b w:val="1"/>
                <w:bCs w:val="1"/>
                <w:color w:val="auto"/>
                <w:vertAlign w:val="superscript"/>
              </w:rPr>
              <w:t>(1)</w:t>
            </w:r>
          </w:p>
        </w:tc>
        <w:tc>
          <w:tcPr>
            <w:tcW w:w="6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Palo Alto, CA</w:t>
            </w:r>
          </w:p>
        </w:tc>
        <w:tc>
          <w:tcPr>
            <w:tcW w:w="4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Social Cognitive Learning</w:t>
            </w: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5,358,195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9,999,999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10,019,825</w:t>
            </w:r>
          </w:p>
        </w:tc>
        <w:tc>
          <w:tcPr>
            <w:tcW w:w="720" w:type="dxa"/>
            <w:vAlign w:val="bottom"/>
            <w:tcBorders>
              <w:left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92"/>
              </w:rPr>
              <w:t>3.30%</w:t>
            </w:r>
          </w:p>
        </w:tc>
        <w:tc>
          <w:tcPr>
            <w:tcW w:w="0" w:type="dxa"/>
            <w:vAlign w:val="bottom"/>
          </w:tcPr>
          <w:p>
            <w:pPr>
              <w:spacing w:after="0"/>
              <w:rPr>
                <w:sz w:val="1"/>
                <w:szCs w:val="1"/>
                <w:color w:val="auto"/>
              </w:rPr>
            </w:pPr>
          </w:p>
        </w:tc>
      </w:tr>
      <w:tr>
        <w:trPr>
          <w:trHeight w:val="203"/>
        </w:trPr>
        <w:tc>
          <w:tcPr>
            <w:tcW w:w="2660" w:type="dxa"/>
            <w:vAlign w:val="bottom"/>
            <w:gridSpan w:val="11"/>
          </w:tcPr>
          <w:p>
            <w:pPr>
              <w:ind w:left="20"/>
              <w:spacing w:after="0" w:line="202" w:lineRule="exact"/>
              <w:rPr>
                <w:sz w:val="20"/>
                <w:szCs w:val="20"/>
                <w:color w:val="auto"/>
              </w:rPr>
            </w:pPr>
            <w:r>
              <w:rPr>
                <w:rFonts w:ascii="Arial" w:cs="Arial" w:eastAsia="Arial" w:hAnsi="Arial"/>
                <w:sz w:val="14"/>
                <w:szCs w:val="14"/>
                <w:b w:val="1"/>
                <w:bCs w:val="1"/>
                <w:color w:val="auto"/>
              </w:rPr>
              <w:t>Curious.com Inc.</w:t>
            </w:r>
            <w:r>
              <w:rPr>
                <w:rFonts w:ascii="Arial" w:cs="Arial" w:eastAsia="Arial" w:hAnsi="Arial"/>
                <w:sz w:val="23"/>
                <w:szCs w:val="23"/>
                <w:b w:val="1"/>
                <w:bCs w:val="1"/>
                <w:color w:val="auto"/>
                <w:vertAlign w:val="superscript"/>
              </w:rPr>
              <w:t>(1)</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Menlo Park, CA</w:t>
            </w:r>
          </w:p>
        </w:tc>
        <w:tc>
          <w:tcPr>
            <w:tcW w:w="4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Online Education</w:t>
            </w: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2,839,861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10,000,003</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9,996,311</w:t>
            </w:r>
          </w:p>
        </w:tc>
        <w:tc>
          <w:tcPr>
            <w:tcW w:w="720" w:type="dxa"/>
            <w:vAlign w:val="bottom"/>
            <w:tcBorders>
              <w:left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92"/>
              </w:rPr>
              <w:t>3.29%</w:t>
            </w:r>
          </w:p>
        </w:tc>
        <w:tc>
          <w:tcPr>
            <w:tcW w:w="0" w:type="dxa"/>
            <w:vAlign w:val="bottom"/>
          </w:tcPr>
          <w:p>
            <w:pPr>
              <w:spacing w:after="0"/>
              <w:rPr>
                <w:sz w:val="1"/>
                <w:szCs w:val="1"/>
                <w:color w:val="auto"/>
              </w:rPr>
            </w:pPr>
          </w:p>
        </w:tc>
      </w:tr>
      <w:tr>
        <w:trPr>
          <w:trHeight w:val="203"/>
        </w:trPr>
        <w:tc>
          <w:tcPr>
            <w:tcW w:w="2660" w:type="dxa"/>
            <w:vAlign w:val="bottom"/>
            <w:gridSpan w:val="11"/>
          </w:tcPr>
          <w:p>
            <w:pPr>
              <w:ind w:left="20"/>
              <w:spacing w:after="0" w:line="202" w:lineRule="exact"/>
              <w:rPr>
                <w:sz w:val="20"/>
                <w:szCs w:val="20"/>
                <w:color w:val="auto"/>
              </w:rPr>
            </w:pPr>
            <w:r>
              <w:rPr>
                <w:rFonts w:ascii="Arial" w:cs="Arial" w:eastAsia="Arial" w:hAnsi="Arial"/>
                <w:sz w:val="14"/>
                <w:szCs w:val="14"/>
                <w:b w:val="1"/>
                <w:bCs w:val="1"/>
                <w:color w:val="auto"/>
              </w:rPr>
              <w:t>StormWind, LLC</w:t>
            </w:r>
            <w:r>
              <w:rPr>
                <w:rFonts w:ascii="Arial" w:cs="Arial" w:eastAsia="Arial" w:hAnsi="Arial"/>
                <w:sz w:val="23"/>
                <w:szCs w:val="23"/>
                <w:b w:val="1"/>
                <w:bCs w:val="1"/>
                <w:color w:val="auto"/>
                <w:vertAlign w:val="superscript"/>
              </w:rPr>
              <w:t>(2)(5)</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Scottsdale, AZ</w:t>
            </w:r>
          </w:p>
        </w:tc>
        <w:tc>
          <w:tcPr>
            <w:tcW w:w="4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Interactive Learning</w:t>
            </w: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3,279,629</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2,019,687</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4,415,727</w:t>
            </w:r>
          </w:p>
        </w:tc>
        <w:tc>
          <w:tcPr>
            <w:tcW w:w="720" w:type="dxa"/>
            <w:vAlign w:val="bottom"/>
            <w:tcBorders>
              <w:left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92"/>
              </w:rPr>
              <w:t>1.46%</w:t>
            </w:r>
          </w:p>
        </w:tc>
        <w:tc>
          <w:tcPr>
            <w:tcW w:w="0" w:type="dxa"/>
            <w:vAlign w:val="bottom"/>
          </w:tcPr>
          <w:p>
            <w:pPr>
              <w:spacing w:after="0"/>
              <w:rPr>
                <w:sz w:val="1"/>
                <w:szCs w:val="1"/>
                <w:color w:val="auto"/>
              </w:rPr>
            </w:pPr>
          </w:p>
        </w:tc>
      </w:tr>
      <w:tr>
        <w:trPr>
          <w:trHeight w:val="20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2,779,134</w:t>
            </w:r>
          </w:p>
        </w:tc>
        <w:tc>
          <w:tcPr>
            <w:tcW w:w="820" w:type="dxa"/>
            <w:vAlign w:val="bottom"/>
          </w:tcPr>
          <w:p>
            <w:pPr>
              <w:jc w:val="right"/>
              <w:spacing w:after="0"/>
              <w:rPr>
                <w:sz w:val="20"/>
                <w:szCs w:val="20"/>
                <w:color w:val="auto"/>
              </w:rPr>
            </w:pPr>
            <w:r>
              <w:rPr>
                <w:rFonts w:ascii="Arial" w:cs="Arial" w:eastAsia="Arial" w:hAnsi="Arial"/>
                <w:sz w:val="16"/>
                <w:szCs w:val="16"/>
                <w:color w:val="auto"/>
              </w:rPr>
              <w:t>4,000,787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4,401,490</w:t>
            </w:r>
          </w:p>
        </w:tc>
        <w:tc>
          <w:tcPr>
            <w:tcW w:w="72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1.45%</w:t>
            </w:r>
          </w:p>
        </w:tc>
        <w:tc>
          <w:tcPr>
            <w:tcW w:w="0" w:type="dxa"/>
            <w:vAlign w:val="bottom"/>
          </w:tcPr>
          <w:p>
            <w:pPr>
              <w:spacing w:after="0"/>
              <w:rPr>
                <w:sz w:val="1"/>
                <w:szCs w:val="1"/>
                <w:color w:val="auto"/>
              </w:rPr>
            </w:pPr>
          </w:p>
        </w:tc>
      </w:tr>
      <w:tr>
        <w:trPr>
          <w:trHeight w:val="203"/>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366,666</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493,683</w:t>
            </w:r>
          </w:p>
        </w:tc>
        <w:tc>
          <w:tcPr>
            <w:tcW w:w="720" w:type="dxa"/>
            <w:vAlign w:val="bottom"/>
            <w:tcBorders>
              <w:left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92"/>
              </w:rPr>
              <w:t>0.16%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0"/>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6,130,474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9,310,900</w:t>
            </w:r>
          </w:p>
        </w:tc>
        <w:tc>
          <w:tcPr>
            <w:tcW w:w="72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3.07%</w:t>
            </w:r>
          </w:p>
        </w:tc>
        <w:tc>
          <w:tcPr>
            <w:tcW w:w="0" w:type="dxa"/>
            <w:vAlign w:val="bottom"/>
          </w:tcPr>
          <w:p>
            <w:pPr>
              <w:spacing w:after="0"/>
              <w:rPr>
                <w:sz w:val="1"/>
                <w:szCs w:val="1"/>
                <w:color w:val="auto"/>
              </w:rPr>
            </w:pPr>
          </w:p>
        </w:tc>
      </w:tr>
      <w:tr>
        <w:trPr>
          <w:trHeight w:val="156"/>
        </w:trPr>
        <w:tc>
          <w:tcPr>
            <w:tcW w:w="2660" w:type="dxa"/>
            <w:vAlign w:val="bottom"/>
            <w:gridSpan w:val="11"/>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Chegg,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Santa Clara, CA</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Textbook Rental</w:t>
            </w: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1,182,792</w:t>
            </w:r>
          </w:p>
        </w:tc>
        <w:tc>
          <w:tcPr>
            <w:tcW w:w="820" w:type="dxa"/>
            <w:vAlign w:val="bottom"/>
          </w:tcPr>
          <w:p>
            <w:pPr>
              <w:jc w:val="right"/>
              <w:spacing w:after="0"/>
              <w:rPr>
                <w:sz w:val="20"/>
                <w:szCs w:val="20"/>
                <w:color w:val="auto"/>
              </w:rPr>
            </w:pPr>
            <w:r>
              <w:rPr>
                <w:rFonts w:ascii="Arial" w:cs="Arial" w:eastAsia="Arial" w:hAnsi="Arial"/>
                <w:sz w:val="16"/>
                <w:szCs w:val="16"/>
                <w:color w:val="auto"/>
              </w:rPr>
              <w:t>14,022,863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9,273,089</w:t>
            </w:r>
          </w:p>
        </w:tc>
        <w:tc>
          <w:tcPr>
            <w:tcW w:w="72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3.05%</w:t>
            </w:r>
          </w:p>
        </w:tc>
        <w:tc>
          <w:tcPr>
            <w:tcW w:w="0" w:type="dxa"/>
            <w:vAlign w:val="bottom"/>
          </w:tcPr>
          <w:p>
            <w:pPr>
              <w:spacing w:after="0"/>
              <w:rPr>
                <w:sz w:val="1"/>
                <w:szCs w:val="1"/>
                <w:color w:val="auto"/>
              </w:rPr>
            </w:pPr>
          </w:p>
        </w:tc>
      </w:tr>
      <w:tr>
        <w:trPr>
          <w:trHeight w:val="165"/>
        </w:trPr>
        <w:tc>
          <w:tcPr>
            <w:tcW w:w="2660" w:type="dxa"/>
            <w:vAlign w:val="bottom"/>
            <w:gridSpan w:val="11"/>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Spotify Technology S.A.**</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0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0"/>
              </w:rPr>
              <w:t>Stockholm, Sweden</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Music Streaming Service</w:t>
            </w: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3,658</w:t>
            </w:r>
          </w:p>
        </w:tc>
        <w:tc>
          <w:tcPr>
            <w:tcW w:w="820" w:type="dxa"/>
            <w:vAlign w:val="bottom"/>
          </w:tcPr>
          <w:p>
            <w:pPr>
              <w:jc w:val="right"/>
              <w:spacing w:after="0"/>
              <w:rPr>
                <w:sz w:val="20"/>
                <w:szCs w:val="20"/>
                <w:color w:val="auto"/>
              </w:rPr>
            </w:pPr>
            <w:r>
              <w:rPr>
                <w:rFonts w:ascii="Arial" w:cs="Arial" w:eastAsia="Arial" w:hAnsi="Arial"/>
                <w:sz w:val="16"/>
                <w:szCs w:val="16"/>
                <w:color w:val="auto"/>
              </w:rPr>
              <w:t>3,598,472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8,152,255</w:t>
            </w:r>
          </w:p>
        </w:tc>
        <w:tc>
          <w:tcPr>
            <w:tcW w:w="72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2.68%</w:t>
            </w:r>
          </w:p>
        </w:tc>
        <w:tc>
          <w:tcPr>
            <w:tcW w:w="0" w:type="dxa"/>
            <w:vAlign w:val="bottom"/>
          </w:tcPr>
          <w:p>
            <w:pPr>
              <w:spacing w:after="0"/>
              <w:rPr>
                <w:sz w:val="1"/>
                <w:szCs w:val="1"/>
                <w:color w:val="auto"/>
              </w:rPr>
            </w:pPr>
          </w:p>
        </w:tc>
      </w:tr>
      <w:tr>
        <w:trPr>
          <w:trHeight w:val="165"/>
        </w:trPr>
        <w:tc>
          <w:tcPr>
            <w:tcW w:w="2660" w:type="dxa"/>
            <w:vAlign w:val="bottom"/>
            <w:gridSpan w:val="11"/>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Lytro,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0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C-1</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Mountain View, CA</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Consumer Electronics</w:t>
            </w: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2,533,784</w:t>
            </w:r>
          </w:p>
        </w:tc>
        <w:tc>
          <w:tcPr>
            <w:tcW w:w="820" w:type="dxa"/>
            <w:vAlign w:val="bottom"/>
          </w:tcPr>
          <w:p>
            <w:pPr>
              <w:jc w:val="right"/>
              <w:spacing w:after="0"/>
              <w:rPr>
                <w:sz w:val="20"/>
                <w:szCs w:val="20"/>
                <w:color w:val="auto"/>
              </w:rPr>
            </w:pPr>
            <w:r>
              <w:rPr>
                <w:rFonts w:ascii="Arial" w:cs="Arial" w:eastAsia="Arial" w:hAnsi="Arial"/>
                <w:sz w:val="16"/>
                <w:szCs w:val="16"/>
                <w:color w:val="auto"/>
              </w:rPr>
              <w:t>7,500,241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7,500,001</w:t>
            </w:r>
          </w:p>
        </w:tc>
        <w:tc>
          <w:tcPr>
            <w:tcW w:w="72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2.47%</w:t>
            </w:r>
          </w:p>
        </w:tc>
        <w:tc>
          <w:tcPr>
            <w:tcW w:w="0" w:type="dxa"/>
            <w:vAlign w:val="bottom"/>
          </w:tcPr>
          <w:p>
            <w:pPr>
              <w:spacing w:after="0"/>
              <w:rPr>
                <w:sz w:val="1"/>
                <w:szCs w:val="1"/>
                <w:color w:val="auto"/>
              </w:rPr>
            </w:pPr>
          </w:p>
        </w:tc>
      </w:tr>
      <w:tr>
        <w:trPr>
          <w:trHeight w:val="165"/>
        </w:trPr>
        <w:tc>
          <w:tcPr>
            <w:tcW w:w="2660" w:type="dxa"/>
            <w:vAlign w:val="bottom"/>
            <w:gridSpan w:val="11"/>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General Assembly Space,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0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New York, NY</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126,552</w:t>
            </w:r>
          </w:p>
        </w:tc>
        <w:tc>
          <w:tcPr>
            <w:tcW w:w="820" w:type="dxa"/>
            <w:vAlign w:val="bottom"/>
          </w:tcPr>
          <w:p>
            <w:pPr>
              <w:jc w:val="right"/>
              <w:spacing w:after="0"/>
              <w:rPr>
                <w:sz w:val="20"/>
                <w:szCs w:val="20"/>
                <w:color w:val="auto"/>
              </w:rPr>
            </w:pPr>
            <w:r>
              <w:rPr>
                <w:rFonts w:ascii="Arial" w:cs="Arial" w:eastAsia="Arial" w:hAnsi="Arial"/>
                <w:sz w:val="16"/>
                <w:szCs w:val="16"/>
                <w:color w:val="auto"/>
              </w:rPr>
              <w:t>2,999,978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3,116,745</w:t>
            </w:r>
          </w:p>
        </w:tc>
        <w:tc>
          <w:tcPr>
            <w:tcW w:w="72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0.99%</w:t>
            </w:r>
          </w:p>
        </w:tc>
        <w:tc>
          <w:tcPr>
            <w:tcW w:w="0" w:type="dxa"/>
            <w:vAlign w:val="bottom"/>
          </w:tcPr>
          <w:p>
            <w:pPr>
              <w:spacing w:after="0"/>
              <w:rPr>
                <w:sz w:val="1"/>
                <w:szCs w:val="1"/>
                <w:color w:val="auto"/>
              </w:rPr>
            </w:pPr>
          </w:p>
        </w:tc>
      </w:tr>
      <w:tr>
        <w:trPr>
          <w:trHeight w:val="206"/>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133,213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2,999,983</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2,999,957</w:t>
            </w:r>
          </w:p>
        </w:tc>
        <w:tc>
          <w:tcPr>
            <w:tcW w:w="720" w:type="dxa"/>
            <w:vAlign w:val="bottom"/>
            <w:tcBorders>
              <w:left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92"/>
              </w:rPr>
              <w:t>1.02%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0"/>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5,999,961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6,116,702</w:t>
            </w:r>
          </w:p>
        </w:tc>
        <w:tc>
          <w:tcPr>
            <w:tcW w:w="72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2.01%</w:t>
            </w:r>
          </w:p>
        </w:tc>
        <w:tc>
          <w:tcPr>
            <w:tcW w:w="0" w:type="dxa"/>
            <w:vAlign w:val="bottom"/>
          </w:tcPr>
          <w:p>
            <w:pPr>
              <w:spacing w:after="0"/>
              <w:rPr>
                <w:sz w:val="1"/>
                <w:szCs w:val="1"/>
                <w:color w:val="auto"/>
              </w:rPr>
            </w:pPr>
          </w:p>
        </w:tc>
      </w:tr>
      <w:tr>
        <w:trPr>
          <w:trHeight w:val="156"/>
        </w:trPr>
        <w:tc>
          <w:tcPr>
            <w:tcW w:w="2660" w:type="dxa"/>
            <w:vAlign w:val="bottom"/>
            <w:gridSpan w:val="11"/>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w w:val="95"/>
              </w:rPr>
              <w:t>NestGSV, Inc. (d/b/a GSV Labs,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(2)</w:t>
            </w: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left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left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Redwood City, CA</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Incubator</w:t>
            </w: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2,970,422</w:t>
            </w:r>
          </w:p>
        </w:tc>
        <w:tc>
          <w:tcPr>
            <w:tcW w:w="820" w:type="dxa"/>
            <w:vAlign w:val="bottom"/>
          </w:tcPr>
          <w:p>
            <w:pPr>
              <w:jc w:val="right"/>
              <w:spacing w:after="0"/>
              <w:rPr>
                <w:sz w:val="20"/>
                <w:szCs w:val="20"/>
                <w:color w:val="auto"/>
              </w:rPr>
            </w:pPr>
            <w:r>
              <w:rPr>
                <w:rFonts w:ascii="Arial" w:cs="Arial" w:eastAsia="Arial" w:hAnsi="Arial"/>
                <w:sz w:val="16"/>
                <w:szCs w:val="16"/>
                <w:color w:val="auto"/>
              </w:rPr>
              <w:t>3,904,498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3,960,563</w:t>
            </w:r>
          </w:p>
        </w:tc>
        <w:tc>
          <w:tcPr>
            <w:tcW w:w="72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1.30%</w:t>
            </w:r>
          </w:p>
        </w:tc>
        <w:tc>
          <w:tcPr>
            <w:tcW w:w="0" w:type="dxa"/>
            <w:vAlign w:val="bottom"/>
          </w:tcPr>
          <w:p>
            <w:pPr>
              <w:spacing w:after="0"/>
              <w:rPr>
                <w:sz w:val="1"/>
                <w:szCs w:val="1"/>
                <w:color w:val="auto"/>
              </w:rPr>
            </w:pPr>
          </w:p>
        </w:tc>
      </w:tr>
      <w:tr>
        <w:trPr>
          <w:trHeight w:val="206"/>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1,561,625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2,007,250</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1,257,964</w:t>
            </w:r>
          </w:p>
        </w:tc>
        <w:tc>
          <w:tcPr>
            <w:tcW w:w="720" w:type="dxa"/>
            <w:vAlign w:val="bottom"/>
            <w:tcBorders>
              <w:left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92"/>
              </w:rPr>
              <w:t>0.41%</w:t>
            </w:r>
          </w:p>
        </w:tc>
        <w:tc>
          <w:tcPr>
            <w:tcW w:w="0" w:type="dxa"/>
            <w:vAlign w:val="bottom"/>
          </w:tcPr>
          <w:p>
            <w:pPr>
              <w:spacing w:after="0"/>
              <w:rPr>
                <w:sz w:val="1"/>
                <w:szCs w:val="1"/>
                <w:color w:val="auto"/>
              </w:rPr>
            </w:pPr>
          </w:p>
        </w:tc>
      </w:tr>
      <w:tr>
        <w:trPr>
          <w:trHeight w:val="20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1,000,000</w:t>
            </w:r>
          </w:p>
        </w:tc>
        <w:tc>
          <w:tcPr>
            <w:tcW w:w="820" w:type="dxa"/>
            <w:vAlign w:val="bottom"/>
          </w:tcPr>
          <w:p>
            <w:pPr>
              <w:jc w:val="right"/>
              <w:spacing w:after="0"/>
              <w:rPr>
                <w:sz w:val="20"/>
                <w:szCs w:val="20"/>
                <w:color w:val="auto"/>
              </w:rPr>
            </w:pPr>
            <w:r>
              <w:rPr>
                <w:rFonts w:ascii="Arial" w:cs="Arial" w:eastAsia="Arial" w:hAnsi="Arial"/>
                <w:sz w:val="16"/>
                <w:szCs w:val="16"/>
                <w:color w:val="auto"/>
              </w:rPr>
              <w:t>1,021,778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389,825</w:t>
            </w:r>
          </w:p>
        </w:tc>
        <w:tc>
          <w:tcPr>
            <w:tcW w:w="72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0.13%</w:t>
            </w:r>
          </w:p>
        </w:tc>
        <w:tc>
          <w:tcPr>
            <w:tcW w:w="0" w:type="dxa"/>
            <w:vAlign w:val="bottom"/>
          </w:tcPr>
          <w:p>
            <w:pPr>
              <w:spacing w:after="0"/>
              <w:rPr>
                <w:sz w:val="1"/>
                <w:szCs w:val="1"/>
                <w:color w:val="auto"/>
              </w:rPr>
            </w:pPr>
          </w:p>
        </w:tc>
      </w:tr>
      <w:tr>
        <w:trPr>
          <w:trHeight w:val="203"/>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450,000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605,500</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215,250</w:t>
            </w:r>
          </w:p>
        </w:tc>
        <w:tc>
          <w:tcPr>
            <w:tcW w:w="720" w:type="dxa"/>
            <w:vAlign w:val="bottom"/>
            <w:tcBorders>
              <w:left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92"/>
              </w:rPr>
              <w:t>0.07%</w:t>
            </w:r>
          </w:p>
        </w:tc>
        <w:tc>
          <w:tcPr>
            <w:tcW w:w="0" w:type="dxa"/>
            <w:vAlign w:val="bottom"/>
          </w:tcPr>
          <w:p>
            <w:pPr>
              <w:spacing w:after="0"/>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warrants, Series D – $1.33</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gridSpan w:val="10"/>
          </w:tcPr>
          <w:p>
            <w:pPr>
              <w:ind w:left="180"/>
              <w:spacing w:after="0"/>
              <w:rPr>
                <w:sz w:val="20"/>
                <w:szCs w:val="20"/>
                <w:color w:val="auto"/>
              </w:rPr>
            </w:pPr>
            <w:r>
              <w:rPr>
                <w:rFonts w:ascii="Arial" w:cs="Arial" w:eastAsia="Arial" w:hAnsi="Arial"/>
                <w:sz w:val="16"/>
                <w:szCs w:val="16"/>
                <w:color w:val="auto"/>
              </w:rPr>
              <w:t>Strike Price, Expiration Date</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00" w:type="dxa"/>
            <w:vAlign w:val="bottom"/>
            <w:gridSpan w:val="4"/>
          </w:tcPr>
          <w:p>
            <w:pPr>
              <w:ind w:left="200"/>
              <w:spacing w:after="0"/>
              <w:rPr>
                <w:sz w:val="20"/>
                <w:szCs w:val="20"/>
                <w:color w:val="auto"/>
              </w:rPr>
            </w:pPr>
            <w:r>
              <w:rPr>
                <w:rFonts w:ascii="Arial" w:cs="Arial" w:eastAsia="Arial" w:hAnsi="Arial"/>
                <w:sz w:val="16"/>
                <w:szCs w:val="16"/>
                <w:color w:val="auto"/>
                <w:w w:val="95"/>
              </w:rPr>
              <w:t>10/6/2019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500,000</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145,000</w:t>
            </w:r>
          </w:p>
        </w:tc>
        <w:tc>
          <w:tcPr>
            <w:tcW w:w="72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0.05%</w:t>
            </w:r>
          </w:p>
        </w:tc>
        <w:tc>
          <w:tcPr>
            <w:tcW w:w="0" w:type="dxa"/>
            <w:vAlign w:val="bottom"/>
          </w:tcPr>
          <w:p>
            <w:pPr>
              <w:spacing w:after="0"/>
              <w:rPr>
                <w:sz w:val="1"/>
                <w:szCs w:val="1"/>
                <w:color w:val="auto"/>
              </w:rPr>
            </w:pPr>
          </w:p>
        </w:tc>
      </w:tr>
      <w:tr>
        <w:trPr>
          <w:trHeight w:val="206"/>
        </w:trPr>
        <w:tc>
          <w:tcPr>
            <w:tcW w:w="26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200,000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18,000</w:t>
            </w:r>
          </w:p>
        </w:tc>
        <w:tc>
          <w:tcPr>
            <w:tcW w:w="720" w:type="dxa"/>
            <w:vAlign w:val="bottom"/>
            <w:tcBorders>
              <w:left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92"/>
              </w:rPr>
              <w:t>0.01%</w:t>
            </w:r>
          </w:p>
        </w:tc>
        <w:tc>
          <w:tcPr>
            <w:tcW w:w="0" w:type="dxa"/>
            <w:vAlign w:val="bottom"/>
          </w:tcPr>
          <w:p>
            <w:pPr>
              <w:spacing w:after="0"/>
              <w:rPr>
                <w:sz w:val="1"/>
                <w:szCs w:val="1"/>
                <w:color w:val="auto"/>
              </w:rPr>
            </w:pPr>
          </w:p>
        </w:tc>
      </w:tr>
      <w:tr>
        <w:trPr>
          <w:trHeight w:val="193"/>
        </w:trPr>
        <w:tc>
          <w:tcPr>
            <w:tcW w:w="2660" w:type="dxa"/>
            <w:vAlign w:val="bottom"/>
            <w:gridSpan w:val="11"/>
          </w:tcPr>
          <w:p>
            <w:pPr>
              <w:ind w:left="20"/>
              <w:spacing w:after="0"/>
              <w:rPr>
                <w:sz w:val="20"/>
                <w:szCs w:val="20"/>
                <w:color w:val="auto"/>
              </w:rPr>
            </w:pPr>
            <w:r>
              <w:rPr>
                <w:rFonts w:ascii="Arial" w:cs="Arial" w:eastAsia="Arial" w:hAnsi="Arial"/>
                <w:sz w:val="16"/>
                <w:szCs w:val="16"/>
                <w:color w:val="auto"/>
              </w:rPr>
              <w:t>Preferred warrants, Series C – $1.33</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gridSpan w:val="10"/>
          </w:tcPr>
          <w:p>
            <w:pPr>
              <w:ind w:left="180"/>
              <w:spacing w:after="0"/>
              <w:rPr>
                <w:sz w:val="20"/>
                <w:szCs w:val="20"/>
                <w:color w:val="auto"/>
              </w:rPr>
            </w:pPr>
            <w:r>
              <w:rPr>
                <w:rFonts w:ascii="Arial" w:cs="Arial" w:eastAsia="Arial" w:hAnsi="Arial"/>
                <w:sz w:val="16"/>
                <w:szCs w:val="16"/>
                <w:color w:val="auto"/>
              </w:rPr>
              <w:t>Strike Price, Expiration Date</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gridSpan w:val="3"/>
          </w:tcPr>
          <w:p>
            <w:pPr>
              <w:ind w:left="200"/>
              <w:spacing w:after="0"/>
              <w:rPr>
                <w:sz w:val="20"/>
                <w:szCs w:val="20"/>
                <w:color w:val="auto"/>
              </w:rPr>
            </w:pPr>
            <w:r>
              <w:rPr>
                <w:rFonts w:ascii="Arial" w:cs="Arial" w:eastAsia="Arial" w:hAnsi="Arial"/>
                <w:sz w:val="16"/>
                <w:szCs w:val="16"/>
                <w:color w:val="auto"/>
                <w:w w:val="93"/>
              </w:rPr>
              <w:t>4/9/2019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6"/>
                <w:szCs w:val="16"/>
                <w:color w:val="auto"/>
              </w:rPr>
              <w:t>187,500</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9,375</w:t>
            </w:r>
          </w:p>
        </w:tc>
        <w:tc>
          <w:tcPr>
            <w:tcW w:w="72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7,540,026</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5,995,977</w:t>
            </w:r>
          </w:p>
        </w:tc>
        <w:tc>
          <w:tcPr>
            <w:tcW w:w="720" w:type="dxa"/>
            <w:vAlign w:val="bottom"/>
            <w:tcBorders>
              <w:left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92"/>
              </w:rPr>
              <w:t>1.97%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-5401945</wp:posOffset>
            </wp:positionV>
            <wp:extent cx="5213985"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-3901440</wp:posOffset>
            </wp:positionV>
            <wp:extent cx="5213985"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-2083435</wp:posOffset>
            </wp:positionV>
            <wp:extent cx="5213985"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 w:name="page11"/>
    <w:bookmarkEnd w:id="1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0"/>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2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6"/>
              </w:rPr>
              <w:t>Headquarters/Industry</w:t>
            </w:r>
          </w:p>
        </w:tc>
        <w:tc>
          <w:tcPr>
            <w:tcW w:w="820" w:type="dxa"/>
            <w:vAlign w:val="bottom"/>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660" w:type="dxa"/>
            <w:vAlign w:val="bottom"/>
            <w:gridSpan w:val="10"/>
            <w:vMerge w:val="continue"/>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820" w:type="dxa"/>
            <w:vAlign w:val="bottom"/>
          </w:tcPr>
          <w:p>
            <w:pPr>
              <w:jc w:val="right"/>
              <w:ind w:right="12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96"/>
        </w:trPr>
        <w:tc>
          <w:tcPr>
            <w:tcW w:w="2660" w:type="dxa"/>
            <w:vAlign w:val="bottom"/>
            <w:tcBorders>
              <w:top w:val="single" w:sz="8" w:color="auto"/>
            </w:tcBorders>
            <w:gridSpan w:val="10"/>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Fullbridge, Inc.</w:t>
            </w:r>
            <w:r>
              <w:rPr>
                <w:rFonts w:ascii="Arial" w:cs="Arial" w:eastAsia="Arial" w:hAnsi="Arial"/>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5"/>
              </w:rPr>
              <w:t>Cambridge, MA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1"/>
              </w:rPr>
              <w:t>Business Education</w:t>
            </w:r>
          </w:p>
        </w:tc>
        <w:tc>
          <w:tcPr>
            <w:tcW w:w="820" w:type="dxa"/>
            <w:vAlign w:val="bottom"/>
          </w:tcPr>
          <w:p>
            <w:pPr>
              <w:jc w:val="right"/>
              <w:spacing w:after="0"/>
              <w:rPr>
                <w:sz w:val="20"/>
                <w:szCs w:val="20"/>
                <w:color w:val="auto"/>
              </w:rPr>
            </w:pPr>
            <w:r>
              <w:rPr>
                <w:rFonts w:ascii="Arial" w:cs="Arial" w:eastAsia="Arial" w:hAnsi="Arial"/>
                <w:sz w:val="16"/>
                <w:szCs w:val="16"/>
                <w:color w:val="auto"/>
              </w:rPr>
              <w:t>1,655,167</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2,956,022</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3,111,714</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1.02%</w:t>
            </w:r>
          </w:p>
        </w:tc>
        <w:tc>
          <w:tcPr>
            <w:tcW w:w="0" w:type="dxa"/>
            <w:vAlign w:val="bottom"/>
          </w:tcPr>
          <w:p>
            <w:pPr>
              <w:spacing w:after="0"/>
              <w:rPr>
                <w:sz w:val="1"/>
                <w:szCs w:val="1"/>
                <w:color w:val="auto"/>
              </w:rPr>
            </w:pPr>
          </w:p>
        </w:tc>
      </w:tr>
      <w:tr>
        <w:trPr>
          <w:trHeight w:val="206"/>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1,728,724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3,193,444</w:t>
            </w: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1,625,001</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0.54%</w:t>
            </w:r>
          </w:p>
        </w:tc>
        <w:tc>
          <w:tcPr>
            <w:tcW w:w="0" w:type="dxa"/>
            <w:vAlign w:val="bottom"/>
          </w:tcPr>
          <w:p>
            <w:pPr>
              <w:spacing w:after="0"/>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w w:val="95"/>
              </w:rPr>
              <w:t>Convertible Promissory Note 10% Due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00" w:type="dxa"/>
            <w:vAlign w:val="bottom"/>
            <w:gridSpan w:val="3"/>
          </w:tcPr>
          <w:p>
            <w:pPr>
              <w:ind w:left="200"/>
              <w:spacing w:after="0"/>
              <w:rPr>
                <w:sz w:val="20"/>
                <w:szCs w:val="20"/>
                <w:color w:val="auto"/>
              </w:rPr>
            </w:pPr>
            <w:r>
              <w:rPr>
                <w:rFonts w:ascii="Arial" w:cs="Arial" w:eastAsia="Arial" w:hAnsi="Arial"/>
                <w:sz w:val="16"/>
                <w:szCs w:val="16"/>
                <w:color w:val="auto"/>
              </w:rPr>
              <w:t>03/02/16***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1,030,507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992,389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1,063,031</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0.36%</w:t>
            </w:r>
          </w:p>
        </w:tc>
        <w:tc>
          <w:tcPr>
            <w:tcW w:w="0" w:type="dxa"/>
            <w:vAlign w:val="bottom"/>
          </w:tcPr>
          <w:p>
            <w:pPr>
              <w:spacing w:after="0"/>
              <w:rPr>
                <w:sz w:val="1"/>
                <w:szCs w:val="1"/>
                <w:color w:val="auto"/>
              </w:rPr>
            </w:pPr>
          </w:p>
        </w:tc>
      </w:tr>
      <w:tr>
        <w:trPr>
          <w:trHeight w:val="196"/>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w w:val="92"/>
              </w:rPr>
              <w:t>Common Warrants – Strike Price $0.91,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9"/>
            <w:shd w:val="clear" w:color="auto" w:fill="CCEEFF"/>
          </w:tcPr>
          <w:p>
            <w:pPr>
              <w:ind w:left="180"/>
              <w:spacing w:after="0"/>
              <w:rPr>
                <w:sz w:val="20"/>
                <w:szCs w:val="20"/>
                <w:color w:val="auto"/>
              </w:rPr>
            </w:pPr>
            <w:r>
              <w:rPr>
                <w:rFonts w:ascii="Arial" w:cs="Arial" w:eastAsia="Arial" w:hAnsi="Arial"/>
                <w:sz w:val="16"/>
                <w:szCs w:val="16"/>
                <w:color w:val="auto"/>
              </w:rPr>
              <w:t>Expiration Date 2/18/2019</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714,286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90,242</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21,429</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0.01%</w:t>
            </w:r>
          </w:p>
        </w:tc>
        <w:tc>
          <w:tcPr>
            <w:tcW w:w="0" w:type="dxa"/>
            <w:vAlign w:val="bottom"/>
          </w:tcPr>
          <w:p>
            <w:pPr>
              <w:spacing w:after="0"/>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w w:val="92"/>
              </w:rPr>
              <w:t>Common Warrants – Strike Price $0.91,</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9"/>
          </w:tcPr>
          <w:p>
            <w:pPr>
              <w:ind w:left="180"/>
              <w:spacing w:after="0"/>
              <w:rPr>
                <w:sz w:val="20"/>
                <w:szCs w:val="20"/>
                <w:color w:val="auto"/>
              </w:rPr>
            </w:pPr>
            <w:r>
              <w:rPr>
                <w:rFonts w:ascii="Arial" w:cs="Arial" w:eastAsia="Arial" w:hAnsi="Arial"/>
                <w:sz w:val="16"/>
                <w:szCs w:val="16"/>
                <w:color w:val="auto"/>
              </w:rPr>
              <w:t>Expiration Date 4/03/2019</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412,088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52,063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12,363</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196"/>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w w:val="92"/>
              </w:rPr>
              <w:t>Common Warrants – Strike Price $0.91,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9"/>
            <w:shd w:val="clear" w:color="auto" w:fill="CCEEFF"/>
          </w:tcPr>
          <w:p>
            <w:pPr>
              <w:ind w:left="180"/>
              <w:spacing w:after="0"/>
              <w:rPr>
                <w:sz w:val="20"/>
                <w:szCs w:val="20"/>
                <w:color w:val="auto"/>
              </w:rPr>
            </w:pPr>
            <w:r>
              <w:rPr>
                <w:rFonts w:ascii="Arial" w:cs="Arial" w:eastAsia="Arial" w:hAnsi="Arial"/>
                <w:sz w:val="16"/>
                <w:szCs w:val="16"/>
                <w:color w:val="auto"/>
              </w:rPr>
              <w:t>Expiration Date 3/02/2020</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283,106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35,767</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8,493</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w w:val="92"/>
              </w:rPr>
              <w:t>Common Warrants – Strike Price $0.91,</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9"/>
          </w:tcPr>
          <w:p>
            <w:pPr>
              <w:ind w:left="180"/>
              <w:spacing w:after="0"/>
              <w:rPr>
                <w:sz w:val="20"/>
                <w:szCs w:val="20"/>
                <w:color w:val="auto"/>
              </w:rPr>
            </w:pPr>
            <w:r>
              <w:rPr>
                <w:rFonts w:ascii="Arial" w:cs="Arial" w:eastAsia="Arial" w:hAnsi="Arial"/>
                <w:sz w:val="16"/>
                <w:szCs w:val="16"/>
                <w:color w:val="auto"/>
              </w:rPr>
              <w:t>Expiration Date 5/16/2019</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192,308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24,296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5,769</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196"/>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w w:val="92"/>
              </w:rPr>
              <w:t>Common Warrants – Strike Price $0.91,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9"/>
            <w:shd w:val="clear" w:color="auto" w:fill="CCEEFF"/>
          </w:tcPr>
          <w:p>
            <w:pPr>
              <w:ind w:left="180"/>
              <w:spacing w:after="0"/>
              <w:rPr>
                <w:sz w:val="20"/>
                <w:szCs w:val="20"/>
                <w:color w:val="auto"/>
              </w:rPr>
            </w:pPr>
            <w:r>
              <w:rPr>
                <w:rFonts w:ascii="Arial" w:cs="Arial" w:eastAsia="Arial" w:hAnsi="Arial"/>
                <w:sz w:val="16"/>
                <w:szCs w:val="16"/>
                <w:color w:val="auto"/>
              </w:rPr>
              <w:t>Expiration Date 3/22/2020</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23,521</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5,585</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w w:val="92"/>
              </w:rPr>
              <w:t>Common Warrants – Strike Price $0.91,</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9"/>
          </w:tcPr>
          <w:p>
            <w:pPr>
              <w:ind w:left="180"/>
              <w:spacing w:after="0"/>
              <w:rPr>
                <w:sz w:val="20"/>
                <w:szCs w:val="20"/>
                <w:color w:val="auto"/>
              </w:rPr>
            </w:pPr>
            <w:r>
              <w:rPr>
                <w:rFonts w:ascii="Arial" w:cs="Arial" w:eastAsia="Arial" w:hAnsi="Arial"/>
                <w:sz w:val="16"/>
                <w:szCs w:val="16"/>
                <w:color w:val="auto"/>
              </w:rPr>
              <w:t>Expiration Date 10/10/2018</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82,418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10,412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2,473</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196"/>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w w:val="92"/>
              </w:rPr>
              <w:t>Common Warrants – Strike Price $0.91,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640" w:type="dxa"/>
            <w:vAlign w:val="bottom"/>
            <w:gridSpan w:val="9"/>
            <w:shd w:val="clear" w:color="auto" w:fill="CCEEFF"/>
          </w:tcPr>
          <w:p>
            <w:pPr>
              <w:ind w:left="180"/>
              <w:spacing w:after="0"/>
              <w:rPr>
                <w:sz w:val="20"/>
                <w:szCs w:val="20"/>
                <w:color w:val="auto"/>
              </w:rPr>
            </w:pPr>
            <w:r>
              <w:rPr>
                <w:rFonts w:ascii="Arial" w:cs="Arial" w:eastAsia="Arial" w:hAnsi="Arial"/>
                <w:sz w:val="16"/>
                <w:szCs w:val="16"/>
                <w:color w:val="auto"/>
              </w:rPr>
              <w:t>Expiration Date 12/11/2018</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10,413</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9"/>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7,388,569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5,858,331</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1.93%</w:t>
            </w:r>
          </w:p>
        </w:tc>
        <w:tc>
          <w:tcPr>
            <w:tcW w:w="0" w:type="dxa"/>
            <w:vAlign w:val="bottom"/>
          </w:tcPr>
          <w:p>
            <w:pPr>
              <w:spacing w:after="0"/>
              <w:rPr>
                <w:sz w:val="1"/>
                <w:szCs w:val="1"/>
                <w:color w:val="auto"/>
              </w:rPr>
            </w:pPr>
          </w:p>
        </w:tc>
      </w:tr>
      <w:tr>
        <w:trPr>
          <w:trHeight w:val="196"/>
        </w:trPr>
        <w:tc>
          <w:tcPr>
            <w:tcW w:w="2660" w:type="dxa"/>
            <w:vAlign w:val="bottom"/>
            <w:gridSpan w:val="10"/>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Learnist Inc. (f/k/a Grockit, Inc.)</w:t>
            </w:r>
            <w:r>
              <w:rPr>
                <w:rFonts w:ascii="Arial" w:cs="Arial" w:eastAsia="Arial" w:hAnsi="Arial"/>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1"/>
              </w:rPr>
              <w:t>San Francisco,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4"/>
              </w:rPr>
              <w:t>Online Learning Platform</w:t>
            </w:r>
          </w:p>
        </w:tc>
        <w:tc>
          <w:tcPr>
            <w:tcW w:w="820" w:type="dxa"/>
            <w:vAlign w:val="bottom"/>
          </w:tcPr>
          <w:p>
            <w:pPr>
              <w:jc w:val="right"/>
              <w:spacing w:after="0"/>
              <w:rPr>
                <w:sz w:val="20"/>
                <w:szCs w:val="20"/>
                <w:color w:val="auto"/>
              </w:rPr>
            </w:pPr>
            <w:r>
              <w:rPr>
                <w:rFonts w:ascii="Arial" w:cs="Arial" w:eastAsia="Arial" w:hAnsi="Arial"/>
                <w:sz w:val="16"/>
                <w:szCs w:val="16"/>
                <w:color w:val="auto"/>
              </w:rPr>
              <w:t>2,728,252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2,005,945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2,355,843</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0.78%</w:t>
            </w:r>
          </w:p>
        </w:tc>
        <w:tc>
          <w:tcPr>
            <w:tcW w:w="0" w:type="dxa"/>
            <w:vAlign w:val="bottom"/>
          </w:tcPr>
          <w:p>
            <w:pPr>
              <w:spacing w:after="0"/>
              <w:rPr>
                <w:sz w:val="1"/>
                <w:szCs w:val="1"/>
                <w:color w:val="auto"/>
              </w:rPr>
            </w:pPr>
          </w:p>
        </w:tc>
      </w:tr>
      <w:tr>
        <w:trPr>
          <w:trHeight w:val="206"/>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1,731,501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1,503,670</w:t>
            </w: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1,611,278</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0.53%</w:t>
            </w:r>
          </w:p>
        </w:tc>
        <w:tc>
          <w:tcPr>
            <w:tcW w:w="0" w:type="dxa"/>
            <w:vAlign w:val="bottom"/>
          </w:tcPr>
          <w:p>
            <w:pPr>
              <w:spacing w:after="0"/>
              <w:rPr>
                <w:sz w:val="1"/>
                <w:szCs w:val="1"/>
                <w:color w:val="auto"/>
              </w:rPr>
            </w:pPr>
          </w:p>
        </w:tc>
      </w:tr>
      <w:tr>
        <w:trPr>
          <w:trHeight w:val="203"/>
        </w:trPr>
        <w:tc>
          <w:tcPr>
            <w:tcW w:w="266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F</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1,242,928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1,450,000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1,452,234</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40" w:type="dxa"/>
            <w:vAlign w:val="bottom"/>
            <w:gridSpan w:val="9"/>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4,959,615</w:t>
            </w: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5,419,355</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1.78%</w:t>
            </w:r>
          </w:p>
        </w:tc>
        <w:tc>
          <w:tcPr>
            <w:tcW w:w="0" w:type="dxa"/>
            <w:vAlign w:val="bottom"/>
          </w:tcPr>
          <w:p>
            <w:pPr>
              <w:spacing w:after="0"/>
              <w:rPr>
                <w:sz w:val="1"/>
                <w:szCs w:val="1"/>
                <w:color w:val="auto"/>
              </w:rPr>
            </w:pPr>
          </w:p>
        </w:tc>
      </w:tr>
      <w:tr>
        <w:trPr>
          <w:trHeight w:val="196"/>
        </w:trPr>
        <w:tc>
          <w:tcPr>
            <w:tcW w:w="2660" w:type="dxa"/>
            <w:vAlign w:val="bottom"/>
            <w:tcBorders>
              <w:top w:val="single" w:sz="8" w:color="CCEEFF"/>
            </w:tcBorders>
            <w:gridSpan w:val="10"/>
          </w:tcPr>
          <w:p>
            <w:pPr>
              <w:ind w:left="20"/>
              <w:spacing w:after="0" w:line="197" w:lineRule="exact"/>
              <w:rPr>
                <w:sz w:val="20"/>
                <w:szCs w:val="20"/>
                <w:color w:val="auto"/>
              </w:rPr>
            </w:pPr>
            <w:r>
              <w:rPr>
                <w:rFonts w:ascii="Arial" w:cs="Arial" w:eastAsia="Arial" w:hAnsi="Arial"/>
                <w:sz w:val="14"/>
                <w:szCs w:val="14"/>
                <w:b w:val="1"/>
                <w:bCs w:val="1"/>
                <w:color w:val="auto"/>
              </w:rPr>
              <w:t>GSV Sustainability Partners</w:t>
            </w:r>
            <w:r>
              <w:rPr>
                <w:rFonts w:ascii="Arial" w:cs="Arial" w:eastAsia="Arial" w:hAnsi="Arial"/>
                <w:sz w:val="22"/>
                <w:szCs w:val="22"/>
                <w:b w:val="1"/>
                <w:bCs w:val="1"/>
                <w:color w:val="auto"/>
                <w:vertAlign w:val="superscript"/>
              </w:rPr>
              <w:t>(2)</w:t>
            </w:r>
          </w:p>
        </w:tc>
        <w:tc>
          <w:tcPr>
            <w:tcW w:w="6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Class A</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80"/>
              <w:spacing w:after="0"/>
              <w:rPr>
                <w:sz w:val="20"/>
                <w:szCs w:val="20"/>
                <w:color w:val="auto"/>
              </w:rPr>
            </w:pPr>
            <w:r>
              <w:rPr>
                <w:rFonts w:ascii="Arial" w:cs="Arial" w:eastAsia="Arial" w:hAnsi="Arial"/>
                <w:sz w:val="16"/>
                <w:szCs w:val="16"/>
                <w:color w:val="auto"/>
                <w:w w:val="91"/>
              </w:rPr>
              <w:t>Woodside, CA</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80"/>
              <w:spacing w:after="0"/>
              <w:rPr>
                <w:sz w:val="20"/>
                <w:szCs w:val="20"/>
                <w:color w:val="auto"/>
              </w:rPr>
            </w:pPr>
            <w:r>
              <w:rPr>
                <w:rFonts w:ascii="Arial" w:cs="Arial" w:eastAsia="Arial" w:hAnsi="Arial"/>
                <w:sz w:val="16"/>
                <w:szCs w:val="16"/>
                <w:color w:val="auto"/>
                <w:w w:val="91"/>
              </w:rPr>
              <w:t>Clean Technology</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10,700,000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5,351,412</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5,350,000</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1.77%</w:t>
            </w:r>
          </w:p>
        </w:tc>
        <w:tc>
          <w:tcPr>
            <w:tcW w:w="0" w:type="dxa"/>
            <w:vAlign w:val="bottom"/>
          </w:tcPr>
          <w:p>
            <w:pPr>
              <w:spacing w:after="0"/>
              <w:rPr>
                <w:sz w:val="1"/>
                <w:szCs w:val="1"/>
                <w:color w:val="auto"/>
              </w:rPr>
            </w:pPr>
          </w:p>
        </w:tc>
      </w:tr>
      <w:tr>
        <w:trPr>
          <w:trHeight w:val="203"/>
        </w:trPr>
        <w:tc>
          <w:tcPr>
            <w:tcW w:w="2660" w:type="dxa"/>
            <w:vAlign w:val="bottom"/>
            <w:gridSpan w:val="10"/>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10,000</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40" w:type="dxa"/>
            <w:vAlign w:val="bottom"/>
            <w:gridSpan w:val="9"/>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5,361,412</w:t>
            </w: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5,360,000</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1.77%</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10"/>
          </w:tcPr>
          <w:p>
            <w:pPr>
              <w:ind w:left="20"/>
              <w:spacing w:after="0" w:line="155" w:lineRule="exact"/>
              <w:rPr>
                <w:sz w:val="20"/>
                <w:szCs w:val="20"/>
                <w:color w:val="auto"/>
              </w:rPr>
            </w:pPr>
            <w:r>
              <w:rPr>
                <w:rFonts w:ascii="Arial" w:cs="Arial" w:eastAsia="Arial" w:hAnsi="Arial"/>
                <w:sz w:val="16"/>
                <w:szCs w:val="16"/>
                <w:b w:val="1"/>
                <w:bCs w:val="1"/>
                <w:color w:val="auto"/>
              </w:rPr>
              <w:t>Knewton, Inc.</w:t>
            </w:r>
          </w:p>
        </w:tc>
        <w:tc>
          <w:tcPr>
            <w:tcW w:w="6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80"/>
              <w:spacing w:after="0"/>
              <w:rPr>
                <w:sz w:val="20"/>
                <w:szCs w:val="20"/>
                <w:color w:val="auto"/>
              </w:rPr>
            </w:pPr>
            <w:r>
              <w:rPr>
                <w:rFonts w:ascii="Arial" w:cs="Arial" w:eastAsia="Arial" w:hAnsi="Arial"/>
                <w:sz w:val="16"/>
                <w:szCs w:val="16"/>
                <w:color w:val="auto"/>
                <w:w w:val="97"/>
              </w:rPr>
              <w:t>New York, NY</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80"/>
              <w:spacing w:after="0"/>
              <w:rPr>
                <w:sz w:val="20"/>
                <w:szCs w:val="20"/>
                <w:color w:val="auto"/>
              </w:rPr>
            </w:pPr>
            <w:r>
              <w:rPr>
                <w:rFonts w:ascii="Arial" w:cs="Arial" w:eastAsia="Arial" w:hAnsi="Arial"/>
                <w:sz w:val="16"/>
                <w:szCs w:val="16"/>
                <w:color w:val="auto"/>
                <w:w w:val="93"/>
              </w:rPr>
              <w:t>Online Education</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375,985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4,999,999</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5,000,601</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1.65%</w:t>
            </w:r>
          </w:p>
        </w:tc>
        <w:tc>
          <w:tcPr>
            <w:tcW w:w="0" w:type="dxa"/>
            <w:vAlign w:val="bottom"/>
          </w:tcPr>
          <w:p>
            <w:pPr>
              <w:spacing w:after="0"/>
              <w:rPr>
                <w:sz w:val="1"/>
                <w:szCs w:val="1"/>
                <w:color w:val="auto"/>
              </w:rPr>
            </w:pPr>
          </w:p>
        </w:tc>
      </w:tr>
      <w:tr>
        <w:trPr>
          <w:trHeight w:val="162"/>
        </w:trPr>
        <w:tc>
          <w:tcPr>
            <w:tcW w:w="2660" w:type="dxa"/>
            <w:vAlign w:val="bottom"/>
            <w:gridSpan w:val="10"/>
          </w:tcPr>
          <w:p>
            <w:pPr>
              <w:ind w:left="20"/>
              <w:spacing w:after="0" w:line="162" w:lineRule="exact"/>
              <w:rPr>
                <w:sz w:val="20"/>
                <w:szCs w:val="20"/>
                <w:color w:val="auto"/>
              </w:rPr>
            </w:pPr>
            <w:r>
              <w:rPr>
                <w:rFonts w:ascii="Arial" w:cs="Arial" w:eastAsia="Arial" w:hAnsi="Arial"/>
                <w:sz w:val="16"/>
                <w:szCs w:val="16"/>
                <w:b w:val="1"/>
                <w:bCs w:val="1"/>
                <w:color w:val="auto"/>
              </w:rPr>
              <w:t>Course Hero, Inc.</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4"/>
              </w:rPr>
              <w:t>Redwood City, CA</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80"/>
              <w:spacing w:after="0"/>
              <w:rPr>
                <w:sz w:val="20"/>
                <w:szCs w:val="20"/>
                <w:color w:val="auto"/>
              </w:rPr>
            </w:pPr>
            <w:r>
              <w:rPr>
                <w:rFonts w:ascii="Arial" w:cs="Arial" w:eastAsia="Arial" w:hAnsi="Arial"/>
                <w:sz w:val="16"/>
                <w:szCs w:val="16"/>
                <w:color w:val="auto"/>
                <w:w w:val="93"/>
              </w:rPr>
              <w:t>Online Education</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2,145,509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5,000,001</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5,000,001</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1.65%</w:t>
            </w:r>
          </w:p>
        </w:tc>
        <w:tc>
          <w:tcPr>
            <w:tcW w:w="0" w:type="dxa"/>
            <w:vAlign w:val="bottom"/>
          </w:tcPr>
          <w:p>
            <w:pPr>
              <w:spacing w:after="0"/>
              <w:rPr>
                <w:sz w:val="1"/>
                <w:szCs w:val="1"/>
                <w:color w:val="auto"/>
              </w:rPr>
            </w:pPr>
          </w:p>
        </w:tc>
      </w:tr>
      <w:tr>
        <w:trPr>
          <w:trHeight w:val="203"/>
        </w:trPr>
        <w:tc>
          <w:tcPr>
            <w:tcW w:w="2660" w:type="dxa"/>
            <w:vAlign w:val="bottom"/>
            <w:gridSpan w:val="10"/>
          </w:tcPr>
          <w:p>
            <w:pPr>
              <w:ind w:left="20"/>
              <w:spacing w:after="0" w:line="202" w:lineRule="exact"/>
              <w:rPr>
                <w:sz w:val="20"/>
                <w:szCs w:val="20"/>
                <w:color w:val="auto"/>
              </w:rPr>
            </w:pPr>
            <w:r>
              <w:rPr>
                <w:rFonts w:ascii="Arial" w:cs="Arial" w:eastAsia="Arial" w:hAnsi="Arial"/>
                <w:sz w:val="14"/>
                <w:szCs w:val="14"/>
                <w:b w:val="1"/>
                <w:bCs w:val="1"/>
                <w:color w:val="auto"/>
              </w:rPr>
              <w:t>Whittle Schools, LLC</w:t>
            </w:r>
            <w:r>
              <w:rPr>
                <w:rFonts w:ascii="Arial" w:cs="Arial" w:eastAsia="Arial" w:hAnsi="Arial"/>
                <w:sz w:val="23"/>
                <w:szCs w:val="23"/>
                <w:b w:val="1"/>
                <w:bCs w:val="1"/>
                <w:color w:val="auto"/>
                <w:vertAlign w:val="superscript"/>
              </w:rPr>
              <w:t>(1)(4)</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80"/>
              <w:spacing w:after="0"/>
              <w:rPr>
                <w:sz w:val="20"/>
                <w:szCs w:val="20"/>
                <w:color w:val="auto"/>
              </w:rPr>
            </w:pPr>
            <w:r>
              <w:rPr>
                <w:rFonts w:ascii="Arial" w:cs="Arial" w:eastAsia="Arial" w:hAnsi="Arial"/>
                <w:sz w:val="16"/>
                <w:szCs w:val="16"/>
                <w:color w:val="auto"/>
                <w:w w:val="97"/>
              </w:rPr>
              <w:t>New York, NY</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80" w:type="dxa"/>
            <w:vAlign w:val="bottom"/>
            <w:gridSpan w:val="3"/>
            <w:shd w:val="clear" w:color="auto" w:fill="CCEEFF"/>
          </w:tcPr>
          <w:p>
            <w:pPr>
              <w:jc w:val="center"/>
              <w:ind w:right="180"/>
              <w:spacing w:after="0"/>
              <w:rPr>
                <w:sz w:val="20"/>
                <w:szCs w:val="20"/>
                <w:color w:val="auto"/>
              </w:rPr>
            </w:pPr>
            <w:r>
              <w:rPr>
                <w:rFonts w:ascii="Arial" w:cs="Arial" w:eastAsia="Arial" w:hAnsi="Arial"/>
                <w:sz w:val="16"/>
                <w:szCs w:val="16"/>
                <w:color w:val="auto"/>
                <w:w w:val="93"/>
              </w:rPr>
              <w:t>Globally-focused Private</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80"/>
              <w:spacing w:after="0"/>
              <w:rPr>
                <w:sz w:val="20"/>
                <w:szCs w:val="20"/>
                <w:color w:val="auto"/>
              </w:rPr>
            </w:pPr>
            <w:r>
              <w:rPr>
                <w:rFonts w:ascii="Arial" w:cs="Arial" w:eastAsia="Arial" w:hAnsi="Arial"/>
                <w:sz w:val="16"/>
                <w:szCs w:val="16"/>
                <w:color w:val="auto"/>
                <w:w w:val="93"/>
              </w:rPr>
              <w:t>School</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3,000,000</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3,000,000</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0.99%</w:t>
            </w:r>
          </w:p>
        </w:tc>
        <w:tc>
          <w:tcPr>
            <w:tcW w:w="0" w:type="dxa"/>
            <w:vAlign w:val="bottom"/>
          </w:tcPr>
          <w:p>
            <w:pPr>
              <w:spacing w:after="0"/>
              <w:rPr>
                <w:sz w:val="1"/>
                <w:szCs w:val="1"/>
                <w:color w:val="auto"/>
              </w:rPr>
            </w:pPr>
          </w:p>
        </w:tc>
      </w:tr>
      <w:tr>
        <w:trPr>
          <w:trHeight w:val="203"/>
        </w:trPr>
        <w:tc>
          <w:tcPr>
            <w:tcW w:w="2660" w:type="dxa"/>
            <w:vAlign w:val="bottom"/>
            <w:gridSpan w:val="10"/>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1,577,097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1,500,000</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40" w:type="dxa"/>
            <w:vAlign w:val="bottom"/>
            <w:gridSpan w:val="9"/>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4,577,097</w:t>
            </w: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4,500,000</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1.48%</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10"/>
          </w:tcPr>
          <w:p>
            <w:pPr>
              <w:ind w:left="20"/>
              <w:spacing w:after="0" w:line="155" w:lineRule="exact"/>
              <w:rPr>
                <w:sz w:val="20"/>
                <w:szCs w:val="20"/>
                <w:color w:val="auto"/>
              </w:rPr>
            </w:pPr>
            <w:r>
              <w:rPr>
                <w:rFonts w:ascii="Arial" w:cs="Arial" w:eastAsia="Arial" w:hAnsi="Arial"/>
                <w:sz w:val="16"/>
                <w:szCs w:val="16"/>
                <w:b w:val="1"/>
                <w:bCs w:val="1"/>
                <w:color w:val="auto"/>
              </w:rPr>
              <w:t>Parchment, Inc.</w:t>
            </w:r>
          </w:p>
        </w:tc>
        <w:tc>
          <w:tcPr>
            <w:tcW w:w="6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2"/>
              </w:rPr>
              <w:t>Scottsdale, AZ</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80"/>
              <w:spacing w:after="0"/>
              <w:rPr>
                <w:sz w:val="20"/>
                <w:szCs w:val="20"/>
                <w:color w:val="auto"/>
              </w:rPr>
            </w:pPr>
            <w:r>
              <w:rPr>
                <w:rFonts w:ascii="Arial" w:cs="Arial" w:eastAsia="Arial" w:hAnsi="Arial"/>
                <w:sz w:val="16"/>
                <w:szCs w:val="16"/>
                <w:color w:val="auto"/>
                <w:w w:val="92"/>
              </w:rPr>
              <w:t>E-Transcript Exchange</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3,200,512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4,000,982</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4,000,000</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1.32%</w:t>
            </w:r>
          </w:p>
        </w:tc>
        <w:tc>
          <w:tcPr>
            <w:tcW w:w="0" w:type="dxa"/>
            <w:vAlign w:val="bottom"/>
          </w:tcPr>
          <w:p>
            <w:pPr>
              <w:spacing w:after="0"/>
              <w:rPr>
                <w:sz w:val="1"/>
                <w:szCs w:val="1"/>
                <w:color w:val="auto"/>
              </w:rPr>
            </w:pPr>
          </w:p>
        </w:tc>
      </w:tr>
      <w:tr>
        <w:trPr>
          <w:trHeight w:val="203"/>
        </w:trPr>
        <w:tc>
          <w:tcPr>
            <w:tcW w:w="2660" w:type="dxa"/>
            <w:vAlign w:val="bottom"/>
            <w:gridSpan w:val="10"/>
          </w:tcPr>
          <w:p>
            <w:pPr>
              <w:ind w:left="20"/>
              <w:spacing w:after="0" w:line="202" w:lineRule="exact"/>
              <w:rPr>
                <w:sz w:val="20"/>
                <w:szCs w:val="20"/>
                <w:color w:val="auto"/>
              </w:rPr>
            </w:pPr>
            <w:r>
              <w:rPr>
                <w:rFonts w:ascii="Arial" w:cs="Arial" w:eastAsia="Arial" w:hAnsi="Arial"/>
                <w:sz w:val="14"/>
                <w:szCs w:val="14"/>
                <w:b w:val="1"/>
                <w:bCs w:val="1"/>
                <w:color w:val="auto"/>
              </w:rPr>
              <w:t>CUX, Inc. (d/b/a CorpU)</w:t>
            </w:r>
            <w:r>
              <w:rPr>
                <w:rFonts w:ascii="Arial" w:cs="Arial" w:eastAsia="Arial" w:hAnsi="Arial"/>
                <w:sz w:val="23"/>
                <w:szCs w:val="23"/>
                <w:b w:val="1"/>
                <w:bCs w:val="1"/>
                <w:color w:val="auto"/>
                <w:vertAlign w:val="superscript"/>
              </w:rPr>
              <w:t>(1)</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Convertible preferred shares,</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80"/>
              <w:spacing w:after="0"/>
              <w:rPr>
                <w:sz w:val="20"/>
                <w:szCs w:val="20"/>
                <w:color w:val="auto"/>
              </w:rPr>
            </w:pPr>
            <w:r>
              <w:rPr>
                <w:rFonts w:ascii="Arial" w:cs="Arial" w:eastAsia="Arial" w:hAnsi="Arial"/>
                <w:sz w:val="16"/>
                <w:szCs w:val="16"/>
                <w:color w:val="auto"/>
                <w:w w:val="91"/>
              </w:rPr>
              <w:t>San Francisco, CA</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9"/>
            <w:shd w:val="clear" w:color="auto" w:fill="CCEEFF"/>
          </w:tcPr>
          <w:p>
            <w:pPr>
              <w:ind w:left="180"/>
              <w:spacing w:after="0"/>
              <w:rPr>
                <w:sz w:val="20"/>
                <w:szCs w:val="20"/>
                <w:color w:val="auto"/>
              </w:rPr>
            </w:pPr>
            <w:r>
              <w:rPr>
                <w:rFonts w:ascii="Arial" w:cs="Arial" w:eastAsia="Arial" w:hAnsi="Arial"/>
                <w:sz w:val="16"/>
                <w:szCs w:val="16"/>
                <w:color w:val="auto"/>
              </w:rPr>
              <w:t>Series C</w:t>
            </w: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80"/>
              <w:spacing w:after="0"/>
              <w:rPr>
                <w:sz w:val="20"/>
                <w:szCs w:val="20"/>
                <w:color w:val="auto"/>
              </w:rPr>
            </w:pPr>
            <w:r>
              <w:rPr>
                <w:rFonts w:ascii="Arial" w:cs="Arial" w:eastAsia="Arial" w:hAnsi="Arial"/>
                <w:sz w:val="16"/>
                <w:szCs w:val="16"/>
                <w:color w:val="auto"/>
                <w:w w:val="91"/>
              </w:rPr>
              <w:t>Corporate Education</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615,763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2,006,077</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2,132,258</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0.70%</w:t>
            </w:r>
          </w:p>
        </w:tc>
        <w:tc>
          <w:tcPr>
            <w:tcW w:w="0" w:type="dxa"/>
            <w:vAlign w:val="bottom"/>
          </w:tcPr>
          <w:p>
            <w:pPr>
              <w:spacing w:after="0"/>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rPr>
              <w:t>Senior Subordinated Convertible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9"/>
          </w:tcPr>
          <w:p>
            <w:pPr>
              <w:ind w:left="180"/>
              <w:spacing w:after="0"/>
              <w:rPr>
                <w:sz w:val="20"/>
                <w:szCs w:val="20"/>
                <w:color w:val="auto"/>
              </w:rPr>
            </w:pPr>
            <w:r>
              <w:rPr>
                <w:rFonts w:ascii="Arial" w:cs="Arial" w:eastAsia="Arial" w:hAnsi="Arial"/>
                <w:sz w:val="16"/>
                <w:szCs w:val="16"/>
                <w:color w:val="auto"/>
              </w:rPr>
              <w:t>Promissory Note 8% Due</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1520" w:type="dxa"/>
            <w:vAlign w:val="bottom"/>
            <w:gridSpan w:val="6"/>
          </w:tcPr>
          <w:p>
            <w:pPr>
              <w:ind w:left="200"/>
              <w:spacing w:after="0"/>
              <w:rPr>
                <w:sz w:val="20"/>
                <w:szCs w:val="20"/>
                <w:color w:val="auto"/>
              </w:rPr>
            </w:pPr>
            <w:r>
              <w:rPr>
                <w:rFonts w:ascii="Arial" w:cs="Arial" w:eastAsia="Arial" w:hAnsi="Arial"/>
                <w:sz w:val="16"/>
                <w:szCs w:val="16"/>
                <w:color w:val="auto"/>
                <w:w w:val="99"/>
              </w:rPr>
              <w:t>11/26/2018***</w:t>
            </w:r>
            <w:r>
              <w:rPr>
                <w:rFonts w:ascii="Arial" w:cs="Arial" w:eastAsia="Arial" w:hAnsi="Arial"/>
                <w:sz w:val="27"/>
                <w:szCs w:val="27"/>
                <w:color w:val="auto"/>
                <w:w w:val="99"/>
                <w:vertAlign w:val="superscript"/>
              </w:rPr>
              <w:t>(11)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1,000,000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1,000,000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1,047,342</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-4504690</wp:posOffset>
            </wp:positionV>
            <wp:extent cx="521398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-3552825</wp:posOffset>
            </wp:positionV>
            <wp:extent cx="5213985"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-2866390</wp:posOffset>
            </wp:positionV>
            <wp:extent cx="521398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-1280160</wp:posOffset>
            </wp:positionV>
            <wp:extent cx="521398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869" w:gutter="0" w:footer="0" w:header="0"/>
        </w:sectPr>
      </w:pPr>
    </w:p>
    <w:bookmarkStart w:id="11" w:name="page12"/>
    <w:bookmarkEnd w:id="1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3"/>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40" w:type="dxa"/>
            <w:vAlign w:val="bottom"/>
          </w:tcPr>
          <w:p>
            <w:pPr>
              <w:spacing w:after="0"/>
              <w:rPr>
                <w:sz w:val="14"/>
                <w:szCs w:val="14"/>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Shares/Principal</w:t>
            </w:r>
          </w:p>
        </w:tc>
        <w:tc>
          <w:tcPr>
            <w:tcW w:w="140" w:type="dxa"/>
            <w:vAlign w:val="bottom"/>
          </w:tcPr>
          <w:p>
            <w:pPr>
              <w:spacing w:after="0"/>
              <w:rPr>
                <w:sz w:val="14"/>
                <w:szCs w:val="14"/>
                <w:color w:val="auto"/>
              </w:rPr>
            </w:pP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660" w:type="dxa"/>
            <w:vAlign w:val="bottom"/>
            <w:gridSpan w:val="13"/>
            <w:vMerge w:val="continue"/>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86"/>
        </w:trPr>
        <w:tc>
          <w:tcPr>
            <w:tcW w:w="2660" w:type="dxa"/>
            <w:vAlign w:val="bottom"/>
            <w:tcBorders>
              <w:top w:val="single" w:sz="8" w:color="auto"/>
            </w:tcBorders>
            <w:gridSpan w:val="13"/>
            <w:shd w:val="clear" w:color="auto" w:fill="CCEEFF"/>
          </w:tcPr>
          <w:p>
            <w:pPr>
              <w:ind w:left="20"/>
              <w:spacing w:after="0"/>
              <w:rPr>
                <w:sz w:val="20"/>
                <w:szCs w:val="20"/>
                <w:color w:val="auto"/>
              </w:rPr>
            </w:pPr>
            <w:r>
              <w:rPr>
                <w:rFonts w:ascii="Arial" w:cs="Arial" w:eastAsia="Arial" w:hAnsi="Arial"/>
                <w:sz w:val="16"/>
                <w:szCs w:val="16"/>
                <w:color w:val="auto"/>
              </w:rPr>
              <w:t>Convertible preferred shares,</w:t>
            </w:r>
          </w:p>
        </w:tc>
        <w:tc>
          <w:tcPr>
            <w:tcW w:w="60" w:type="dxa"/>
            <w:vAlign w:val="bottom"/>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Series D</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169,033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778,607</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   664,523</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0.22%</w:t>
            </w:r>
          </w:p>
        </w:tc>
        <w:tc>
          <w:tcPr>
            <w:tcW w:w="0" w:type="dxa"/>
            <w:vAlign w:val="bottom"/>
          </w:tcPr>
          <w:p>
            <w:pPr>
              <w:spacing w:after="0"/>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w w:val="96"/>
              </w:rPr>
              <w:t>Preferred warrants, $4.59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Expiration Date 02/25/2018</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16,903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7,775</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5"/>
              </w:rPr>
              <w:t>3,784,684</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3,851,898</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1.27%</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13"/>
          </w:tcPr>
          <w:p>
            <w:pPr>
              <w:ind w:left="20"/>
              <w:spacing w:after="0" w:line="155" w:lineRule="exact"/>
              <w:rPr>
                <w:sz w:val="20"/>
                <w:szCs w:val="20"/>
                <w:color w:val="auto"/>
              </w:rPr>
            </w:pPr>
            <w:r>
              <w:rPr>
                <w:rFonts w:ascii="Arial" w:cs="Arial" w:eastAsia="Arial" w:hAnsi="Arial"/>
                <w:sz w:val="16"/>
                <w:szCs w:val="16"/>
                <w:b w:val="1"/>
                <w:bCs w:val="1"/>
                <w:color w:val="auto"/>
              </w:rPr>
              <w:t>Global Education Learning</w:t>
            </w:r>
          </w:p>
        </w:tc>
        <w:tc>
          <w:tcPr>
            <w:tcW w:w="6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8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Borders>
              <w:top w:val="single" w:sz="8" w:color="auto"/>
            </w:tcBorders>
            <w:gridSpan w:val="10"/>
          </w:tcPr>
          <w:p>
            <w:pPr>
              <w:ind w:left="180"/>
              <w:spacing w:after="0" w:line="223" w:lineRule="exact"/>
              <w:rPr>
                <w:sz w:val="20"/>
                <w:szCs w:val="20"/>
                <w:color w:val="auto"/>
              </w:rPr>
            </w:pPr>
            <w:r>
              <w:rPr>
                <w:rFonts w:ascii="Arial" w:cs="Arial" w:eastAsia="Arial" w:hAnsi="Arial"/>
                <w:sz w:val="15"/>
                <w:szCs w:val="15"/>
                <w:b w:val="1"/>
                <w:bCs w:val="1"/>
                <w:color w:val="auto"/>
              </w:rPr>
              <w:t>(Holdings) Ltd.</w:t>
            </w:r>
            <w:r>
              <w:rPr>
                <w:rFonts w:ascii="Arial" w:cs="Arial" w:eastAsia="Arial" w:hAnsi="Arial"/>
                <w:sz w:val="25"/>
                <w:szCs w:val="25"/>
                <w:b w:val="1"/>
                <w:bCs w:val="1"/>
                <w:color w:val="auto"/>
                <w:vertAlign w:val="superscript"/>
              </w:rPr>
              <w:t>(1)</w:t>
            </w:r>
            <w:r>
              <w:rPr>
                <w:rFonts w:ascii="Arial" w:cs="Arial" w:eastAsia="Arial" w:hAnsi="Arial"/>
                <w:sz w:val="15"/>
                <w:szCs w:val="15"/>
                <w:b w:val="1"/>
                <w:bCs w:val="1"/>
                <w:color w:val="auto"/>
              </w:rPr>
              <w:t>**</w:t>
            </w:r>
          </w:p>
        </w:tc>
        <w:tc>
          <w:tcPr>
            <w:tcW w:w="74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Hong Kong</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Education Technology</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2,126,475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5"/>
              </w:rPr>
              <w:t>4,344,969</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3,755,828</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1.24%</w:t>
            </w:r>
          </w:p>
        </w:tc>
        <w:tc>
          <w:tcPr>
            <w:tcW w:w="0" w:type="dxa"/>
            <w:vAlign w:val="bottom"/>
          </w:tcPr>
          <w:p>
            <w:pPr>
              <w:spacing w:after="0"/>
              <w:rPr>
                <w:sz w:val="1"/>
                <w:szCs w:val="1"/>
                <w:color w:val="auto"/>
              </w:rPr>
            </w:pPr>
          </w:p>
        </w:tc>
      </w:tr>
      <w:tr>
        <w:trPr>
          <w:trHeight w:val="162"/>
        </w:trPr>
        <w:tc>
          <w:tcPr>
            <w:tcW w:w="2660" w:type="dxa"/>
            <w:vAlign w:val="bottom"/>
            <w:gridSpan w:val="13"/>
          </w:tcPr>
          <w:p>
            <w:pPr>
              <w:ind w:left="20"/>
              <w:spacing w:after="0" w:line="162" w:lineRule="exact"/>
              <w:rPr>
                <w:sz w:val="20"/>
                <w:szCs w:val="20"/>
                <w:color w:val="auto"/>
              </w:rPr>
            </w:pPr>
            <w:r>
              <w:rPr>
                <w:rFonts w:ascii="Arial" w:cs="Arial" w:eastAsia="Arial" w:hAnsi="Arial"/>
                <w:sz w:val="16"/>
                <w:szCs w:val="16"/>
                <w:b w:val="1"/>
                <w:bCs w:val="1"/>
                <w:color w:val="auto"/>
              </w:rPr>
              <w:t>Bloom Energy Corporation</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Sunnyvale, CA</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Fuel Cell Energy</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201,589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5"/>
              </w:rPr>
              <w:t>3,855,601</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3,185,106</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1.05%</w:t>
            </w:r>
          </w:p>
        </w:tc>
        <w:tc>
          <w:tcPr>
            <w:tcW w:w="0" w:type="dxa"/>
            <w:vAlign w:val="bottom"/>
          </w:tcPr>
          <w:p>
            <w:pPr>
              <w:spacing w:after="0"/>
              <w:rPr>
                <w:sz w:val="1"/>
                <w:szCs w:val="1"/>
                <w:color w:val="auto"/>
              </w:rPr>
            </w:pPr>
          </w:p>
        </w:tc>
      </w:tr>
      <w:tr>
        <w:trPr>
          <w:trHeight w:val="162"/>
        </w:trPr>
        <w:tc>
          <w:tcPr>
            <w:tcW w:w="2660" w:type="dxa"/>
            <w:vAlign w:val="bottom"/>
            <w:gridSpan w:val="13"/>
          </w:tcPr>
          <w:p>
            <w:pPr>
              <w:ind w:left="20"/>
              <w:spacing w:after="0" w:line="162" w:lineRule="exact"/>
              <w:rPr>
                <w:sz w:val="20"/>
                <w:szCs w:val="20"/>
                <w:color w:val="auto"/>
              </w:rPr>
            </w:pPr>
            <w:r>
              <w:rPr>
                <w:rFonts w:ascii="Arial" w:cs="Arial" w:eastAsia="Arial" w:hAnsi="Arial"/>
                <w:sz w:val="16"/>
                <w:szCs w:val="16"/>
                <w:b w:val="1"/>
                <w:bCs w:val="1"/>
                <w:color w:val="auto"/>
              </w:rPr>
              <w:t>DogVacay, Inc.</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B-1</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Santa Monica, CA</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Dog Boarding</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514,562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5"/>
              </w:rPr>
              <w:t>2,506,119</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2,505,917</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0.83%</w:t>
            </w:r>
          </w:p>
        </w:tc>
        <w:tc>
          <w:tcPr>
            <w:tcW w:w="0" w:type="dxa"/>
            <w:vAlign w:val="bottom"/>
          </w:tcPr>
          <w:p>
            <w:pPr>
              <w:spacing w:after="0"/>
              <w:rPr>
                <w:sz w:val="1"/>
                <w:szCs w:val="1"/>
                <w:color w:val="auto"/>
              </w:rPr>
            </w:pPr>
          </w:p>
        </w:tc>
      </w:tr>
      <w:tr>
        <w:trPr>
          <w:trHeight w:val="203"/>
        </w:trPr>
        <w:tc>
          <w:tcPr>
            <w:tcW w:w="2660" w:type="dxa"/>
            <w:vAlign w:val="bottom"/>
            <w:gridSpan w:val="13"/>
          </w:tcPr>
          <w:p>
            <w:pPr>
              <w:ind w:left="20"/>
              <w:spacing w:after="0" w:line="202" w:lineRule="exact"/>
              <w:rPr>
                <w:sz w:val="20"/>
                <w:szCs w:val="20"/>
                <w:color w:val="auto"/>
              </w:rPr>
            </w:pPr>
            <w:r>
              <w:rPr>
                <w:rFonts w:ascii="Arial" w:cs="Arial" w:eastAsia="Arial" w:hAnsi="Arial"/>
                <w:sz w:val="14"/>
                <w:szCs w:val="14"/>
                <w:b w:val="1"/>
                <w:bCs w:val="1"/>
                <w:color w:val="auto"/>
              </w:rPr>
              <w:t>SharesPost, Inc.</w:t>
            </w:r>
            <w:r>
              <w:rPr>
                <w:rFonts w:ascii="Arial" w:cs="Arial" w:eastAsia="Arial" w:hAnsi="Arial"/>
                <w:sz w:val="23"/>
                <w:szCs w:val="23"/>
                <w:b w:val="1"/>
                <w:bCs w:val="1"/>
                <w:color w:val="auto"/>
                <w:vertAlign w:val="superscript"/>
              </w:rPr>
              <w:t>(1)(6)</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San Bruno, CA</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Online Marketplace</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Finance</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1,771,653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5"/>
              </w:rPr>
              <w:t>2,259,716</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2,249,999</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0.74%</w:t>
            </w:r>
          </w:p>
        </w:tc>
        <w:tc>
          <w:tcPr>
            <w:tcW w:w="0" w:type="dxa"/>
            <w:vAlign w:val="bottom"/>
          </w:tcPr>
          <w:p>
            <w:pPr>
              <w:spacing w:after="0"/>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w w:val="96"/>
              </w:rPr>
              <w:t>Common warrants, $0.13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Expiration Date 6/15/2018</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770,934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23,128</w:t>
            </w: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146,477</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5"/>
              </w:rPr>
              <w:t>2,282,844</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2,396,476</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0.79%</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13"/>
          </w:tcPr>
          <w:p>
            <w:pPr>
              <w:ind w:left="20"/>
              <w:spacing w:after="0" w:line="155" w:lineRule="exact"/>
              <w:rPr>
                <w:sz w:val="20"/>
                <w:szCs w:val="20"/>
                <w:color w:val="auto"/>
              </w:rPr>
            </w:pPr>
            <w:r>
              <w:rPr>
                <w:rFonts w:ascii="Arial" w:cs="Arial" w:eastAsia="Arial" w:hAnsi="Arial"/>
                <w:sz w:val="16"/>
                <w:szCs w:val="16"/>
                <w:b w:val="1"/>
                <w:bCs w:val="1"/>
                <w:color w:val="auto"/>
              </w:rPr>
              <w:t>DreamBox Learning, Inc.</w:t>
            </w:r>
          </w:p>
        </w:tc>
        <w:tc>
          <w:tcPr>
            <w:tcW w:w="6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8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A-1</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Bellevue, WA</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Education Technology</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7,159,221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5"/>
              </w:rPr>
              <w:t>1,502,362</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1,500,000</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0.25%</w:t>
            </w:r>
          </w:p>
        </w:tc>
        <w:tc>
          <w:tcPr>
            <w:tcW w:w="0" w:type="dxa"/>
            <w:vAlign w:val="bottom"/>
          </w:tcPr>
          <w:p>
            <w:pPr>
              <w:spacing w:after="0"/>
              <w:rPr>
                <w:sz w:val="1"/>
                <w:szCs w:val="1"/>
                <w:color w:val="auto"/>
              </w:rPr>
            </w:pPr>
          </w:p>
        </w:tc>
      </w:tr>
      <w:tr>
        <w:trPr>
          <w:trHeight w:val="20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3,579,610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758,017</w:t>
            </w: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750,000</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4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5"/>
              </w:rPr>
              <w:t>2,260,379</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2,250,000</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0.74%</w:t>
            </w:r>
          </w:p>
        </w:tc>
        <w:tc>
          <w:tcPr>
            <w:tcW w:w="0" w:type="dxa"/>
            <w:vAlign w:val="bottom"/>
          </w:tcPr>
          <w:p>
            <w:pPr>
              <w:spacing w:after="0"/>
              <w:rPr>
                <w:sz w:val="1"/>
                <w:szCs w:val="1"/>
                <w:color w:val="auto"/>
              </w:rPr>
            </w:pPr>
          </w:p>
        </w:tc>
      </w:tr>
      <w:tr>
        <w:trPr>
          <w:trHeight w:val="196"/>
        </w:trPr>
        <w:tc>
          <w:tcPr>
            <w:tcW w:w="2660" w:type="dxa"/>
            <w:vAlign w:val="bottom"/>
            <w:tcBorders>
              <w:top w:val="single" w:sz="8" w:color="CCEEFF"/>
            </w:tcBorders>
            <w:gridSpan w:val="13"/>
          </w:tcPr>
          <w:p>
            <w:pPr>
              <w:ind w:left="20"/>
              <w:spacing w:after="0" w:line="197" w:lineRule="exact"/>
              <w:rPr>
                <w:sz w:val="20"/>
                <w:szCs w:val="20"/>
                <w:color w:val="auto"/>
              </w:rPr>
            </w:pPr>
            <w:r>
              <w:rPr>
                <w:rFonts w:ascii="Arial" w:cs="Arial" w:eastAsia="Arial" w:hAnsi="Arial"/>
                <w:sz w:val="14"/>
                <w:szCs w:val="14"/>
                <w:b w:val="1"/>
                <w:bCs w:val="1"/>
                <w:color w:val="auto"/>
              </w:rPr>
              <w:t>Maven Research, Inc.</w:t>
            </w:r>
            <w:r>
              <w:rPr>
                <w:rFonts w:ascii="Arial" w:cs="Arial" w:eastAsia="Arial" w:hAnsi="Arial"/>
                <w:sz w:val="22"/>
                <w:szCs w:val="22"/>
                <w:b w:val="1"/>
                <w:bCs w:val="1"/>
                <w:color w:val="auto"/>
                <w:vertAlign w:val="superscript"/>
              </w:rPr>
              <w:t>(1)</w:t>
            </w:r>
          </w:p>
        </w:tc>
        <w:tc>
          <w:tcPr>
            <w:tcW w:w="6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San Francisco, CA</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Knowledge Networks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318,979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5"/>
              </w:rPr>
              <w:t>2,000,447</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1,999,998</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0.08%</w:t>
            </w:r>
          </w:p>
        </w:tc>
        <w:tc>
          <w:tcPr>
            <w:tcW w:w="0" w:type="dxa"/>
            <w:vAlign w:val="bottom"/>
          </w:tcPr>
          <w:p>
            <w:pPr>
              <w:spacing w:after="0"/>
              <w:rPr>
                <w:sz w:val="1"/>
                <w:szCs w:val="1"/>
                <w:color w:val="auto"/>
              </w:rPr>
            </w:pPr>
          </w:p>
        </w:tc>
      </w:tr>
      <w:tr>
        <w:trPr>
          <w:trHeight w:val="20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49,505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217,206</w:t>
            </w: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249,691</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4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5"/>
              </w:rPr>
              <w:t>2,217,653</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2,249,689</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0.74%</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13"/>
          </w:tcPr>
          <w:p>
            <w:pPr>
              <w:ind w:left="20"/>
              <w:spacing w:after="0" w:line="155" w:lineRule="exact"/>
              <w:rPr>
                <w:sz w:val="20"/>
                <w:szCs w:val="20"/>
                <w:color w:val="auto"/>
              </w:rPr>
            </w:pPr>
            <w:r>
              <w:rPr>
                <w:rFonts w:ascii="Arial" w:cs="Arial" w:eastAsia="Arial" w:hAnsi="Arial"/>
                <w:sz w:val="16"/>
                <w:szCs w:val="16"/>
                <w:b w:val="1"/>
                <w:bCs w:val="1"/>
                <w:color w:val="auto"/>
              </w:rPr>
              <w:t>Clever, Inc.</w:t>
            </w:r>
          </w:p>
        </w:tc>
        <w:tc>
          <w:tcPr>
            <w:tcW w:w="6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8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San Francisco, CA</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Education Software</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1,799,047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5"/>
              </w:rPr>
              <w:t>2,000,601</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2,000,675</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0.66%</w:t>
            </w:r>
          </w:p>
        </w:tc>
        <w:tc>
          <w:tcPr>
            <w:tcW w:w="0" w:type="dxa"/>
            <w:vAlign w:val="bottom"/>
          </w:tcPr>
          <w:p>
            <w:pPr>
              <w:spacing w:after="0"/>
              <w:rPr>
                <w:sz w:val="1"/>
                <w:szCs w:val="1"/>
                <w:color w:val="auto"/>
              </w:rPr>
            </w:pPr>
          </w:p>
        </w:tc>
      </w:tr>
      <w:tr>
        <w:trPr>
          <w:trHeight w:val="162"/>
        </w:trPr>
        <w:tc>
          <w:tcPr>
            <w:tcW w:w="2660" w:type="dxa"/>
            <w:vAlign w:val="bottom"/>
            <w:gridSpan w:val="13"/>
          </w:tcPr>
          <w:p>
            <w:pPr>
              <w:ind w:left="20"/>
              <w:spacing w:after="0" w:line="162" w:lineRule="exact"/>
              <w:rPr>
                <w:sz w:val="20"/>
                <w:szCs w:val="20"/>
                <w:color w:val="auto"/>
              </w:rPr>
            </w:pPr>
            <w:r>
              <w:rPr>
                <w:rFonts w:ascii="Arial" w:cs="Arial" w:eastAsia="Arial" w:hAnsi="Arial"/>
                <w:sz w:val="16"/>
                <w:szCs w:val="16"/>
                <w:b w:val="1"/>
                <w:bCs w:val="1"/>
                <w:color w:val="auto"/>
                <w:w w:val="99"/>
              </w:rPr>
              <w:t>Circle Media (f/k/a. S3 Digital Corp.</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tcBorders>
              <w:top w:val="single" w:sz="8" w:color="auto"/>
            </w:tcBorders>
            <w:gridSpan w:val="11"/>
          </w:tcPr>
          <w:p>
            <w:pPr>
              <w:ind w:left="180"/>
              <w:spacing w:after="0" w:line="223" w:lineRule="exact"/>
              <w:rPr>
                <w:sz w:val="20"/>
                <w:szCs w:val="20"/>
                <w:color w:val="auto"/>
              </w:rPr>
            </w:pPr>
            <w:r>
              <w:rPr>
                <w:rFonts w:ascii="Arial" w:cs="Arial" w:eastAsia="Arial" w:hAnsi="Arial"/>
                <w:sz w:val="15"/>
                <w:szCs w:val="15"/>
                <w:b w:val="1"/>
                <w:bCs w:val="1"/>
                <w:color w:val="auto"/>
              </w:rPr>
              <w:t>(d/b/a S3i))</w:t>
            </w:r>
            <w:r>
              <w:rPr>
                <w:rFonts w:ascii="Arial" w:cs="Arial" w:eastAsia="Arial" w:hAnsi="Arial"/>
                <w:sz w:val="25"/>
                <w:szCs w:val="25"/>
                <w:b w:val="1"/>
                <w:bCs w:val="1"/>
                <w:color w:val="auto"/>
                <w:vertAlign w:val="superscript"/>
              </w:rPr>
              <w:t>(1)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New York, NY</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Sports Analytics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1,462,269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5"/>
              </w:rPr>
              <w:t>1,496,699</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1,312,527</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0.43%</w:t>
            </w:r>
          </w:p>
        </w:tc>
        <w:tc>
          <w:tcPr>
            <w:tcW w:w="0" w:type="dxa"/>
            <w:vAlign w:val="bottom"/>
          </w:tcPr>
          <w:p>
            <w:pPr>
              <w:spacing w:after="0"/>
              <w:rPr>
                <w:sz w:val="1"/>
                <w:szCs w:val="1"/>
                <w:color w:val="auto"/>
              </w:rPr>
            </w:pPr>
          </w:p>
        </w:tc>
      </w:tr>
      <w:tr>
        <w:trPr>
          <w:trHeight w:val="20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Term Loan, 12%, 09/30/15***</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272,500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283,901</w:t>
            </w: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304,769</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0.10%</w:t>
            </w:r>
          </w:p>
        </w:tc>
        <w:tc>
          <w:tcPr>
            <w:tcW w:w="0" w:type="dxa"/>
            <w:vAlign w:val="bottom"/>
          </w:tcPr>
          <w:p>
            <w:pPr>
              <w:spacing w:after="0"/>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w w:val="96"/>
              </w:rPr>
              <w:t>Preferred warrants, $1.00 Strike Price,</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Expiration Date 11/21/2017</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31,354</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200,000</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0.07%</w:t>
            </w:r>
          </w:p>
        </w:tc>
        <w:tc>
          <w:tcPr>
            <w:tcW w:w="0" w:type="dxa"/>
            <w:vAlign w:val="bottom"/>
          </w:tcPr>
          <w:p>
            <w:pPr>
              <w:spacing w:after="0"/>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w w:val="96"/>
              </w:rPr>
              <w:t>Preferred warrants, $1.17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Expiration Date 08/29/2021</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175,815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58,019</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0.02%</w:t>
            </w:r>
          </w:p>
        </w:tc>
        <w:tc>
          <w:tcPr>
            <w:tcW w:w="0" w:type="dxa"/>
            <w:vAlign w:val="bottom"/>
          </w:tcPr>
          <w:p>
            <w:pPr>
              <w:spacing w:after="0"/>
              <w:rPr>
                <w:sz w:val="1"/>
                <w:szCs w:val="1"/>
                <w:color w:val="auto"/>
              </w:rPr>
            </w:pPr>
          </w:p>
        </w:tc>
      </w:tr>
      <w:tr>
        <w:trPr>
          <w:trHeight w:val="196"/>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w w:val="96"/>
              </w:rPr>
              <w:t>Preferred warrants, $1.17 Strike Price,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Expiration Date 09/30/2020</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53,066</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0.02%</w:t>
            </w:r>
          </w:p>
        </w:tc>
        <w:tc>
          <w:tcPr>
            <w:tcW w:w="0" w:type="dxa"/>
            <w:vAlign w:val="bottom"/>
          </w:tcPr>
          <w:p>
            <w:pPr>
              <w:spacing w:after="0"/>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w w:val="96"/>
              </w:rPr>
              <w:t>Preferred warrants, $1.16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Expiration Date 6/26/2021</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38,594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12,736</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5"/>
              </w:rPr>
              <w:t>1,811,954</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1,941,117</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0.64%</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13"/>
          </w:tcPr>
          <w:p>
            <w:pPr>
              <w:ind w:left="20"/>
              <w:spacing w:after="0" w:line="155" w:lineRule="exact"/>
              <w:rPr>
                <w:sz w:val="20"/>
                <w:szCs w:val="20"/>
                <w:color w:val="auto"/>
              </w:rPr>
            </w:pPr>
            <w:r>
              <w:rPr>
                <w:rFonts w:ascii="Arial" w:cs="Arial" w:eastAsia="Arial" w:hAnsi="Arial"/>
                <w:sz w:val="16"/>
                <w:szCs w:val="16"/>
                <w:b w:val="1"/>
                <w:bCs w:val="1"/>
                <w:color w:val="auto"/>
              </w:rPr>
              <w:t>Gilt Groupe Holdings, Inc.</w:t>
            </w:r>
          </w:p>
        </w:tc>
        <w:tc>
          <w:tcPr>
            <w:tcW w:w="6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8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New York, NY</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e-Commerce Flash Sales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5"/>
              </w:rPr>
              <w:t>6,594,433</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1,194,922</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-6225540</wp:posOffset>
            </wp:positionV>
            <wp:extent cx="5213985" cy="291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-3970020</wp:posOffset>
            </wp:positionV>
            <wp:extent cx="521398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-3309620</wp:posOffset>
            </wp:positionV>
            <wp:extent cx="5213985"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-2623820</wp:posOffset>
            </wp:positionV>
            <wp:extent cx="521398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-393700</wp:posOffset>
            </wp:positionV>
            <wp:extent cx="521398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126" w:gutter="0" w:footer="0" w:header="0"/>
        </w:sectPr>
      </w:pPr>
    </w:p>
    <w:bookmarkStart w:id="12" w:name="page13"/>
    <w:bookmarkEnd w:id="1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7"/>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Headquarters/Industry</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660" w:type="dxa"/>
            <w:vAlign w:val="bottom"/>
            <w:tcBorders>
              <w:bottom w:val="single" w:sz="8" w:color="auto"/>
            </w:tcBorders>
            <w:gridSpan w:val="17"/>
            <w:vMerge w:val="continue"/>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56"/>
        </w:trPr>
        <w:tc>
          <w:tcPr>
            <w:tcW w:w="2660" w:type="dxa"/>
            <w:vAlign w:val="bottom"/>
            <w:gridSpan w:val="17"/>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AlwaysOn,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Woodside, CA</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Social Media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1,066,626</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w w:val="95"/>
              </w:rPr>
              <w:t>1,027,391</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554,646</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0.18%</w:t>
            </w:r>
          </w:p>
        </w:tc>
        <w:tc>
          <w:tcPr>
            <w:tcW w:w="0" w:type="dxa"/>
            <w:vAlign w:val="bottom"/>
          </w:tcPr>
          <w:p>
            <w:pPr>
              <w:spacing w:after="0"/>
              <w:rPr>
                <w:sz w:val="1"/>
                <w:szCs w:val="1"/>
                <w:color w:val="auto"/>
              </w:rPr>
            </w:pPr>
          </w:p>
        </w:tc>
      </w:tr>
      <w:tr>
        <w:trPr>
          <w:trHeight w:val="206"/>
        </w:trPr>
        <w:tc>
          <w:tcPr>
            <w:tcW w:w="2660" w:type="dxa"/>
            <w:vAlign w:val="bottom"/>
            <w:gridSpan w:val="17"/>
            <w:shd w:val="clear" w:color="auto" w:fill="CCEEFF"/>
          </w:tcPr>
          <w:p>
            <w:pPr>
              <w:ind w:left="20"/>
              <w:spacing w:after="0"/>
              <w:rPr>
                <w:sz w:val="20"/>
                <w:szCs w:val="20"/>
                <w:color w:val="auto"/>
              </w:rPr>
            </w:pPr>
            <w:r>
              <w:rPr>
                <w:rFonts w:ascii="Arial" w:cs="Arial" w:eastAsia="Arial" w:hAnsi="Arial"/>
                <w:sz w:val="16"/>
                <w:szCs w:val="16"/>
                <w:color w:val="auto"/>
              </w:rPr>
              <w:t>Preferred shares, Series A-1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4,465,925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876,343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446,593</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0.15%</w:t>
            </w:r>
          </w:p>
        </w:tc>
        <w:tc>
          <w:tcPr>
            <w:tcW w:w="0" w:type="dxa"/>
            <w:vAlign w:val="bottom"/>
          </w:tcPr>
          <w:p>
            <w:pPr>
              <w:spacing w:after="0"/>
              <w:rPr>
                <w:sz w:val="1"/>
                <w:szCs w:val="1"/>
                <w:color w:val="auto"/>
              </w:rPr>
            </w:pPr>
          </w:p>
        </w:tc>
      </w:tr>
      <w:tr>
        <w:trPr>
          <w:trHeight w:val="193"/>
        </w:trPr>
        <w:tc>
          <w:tcPr>
            <w:tcW w:w="2660" w:type="dxa"/>
            <w:vAlign w:val="bottom"/>
            <w:gridSpan w:val="17"/>
          </w:tcPr>
          <w:p>
            <w:pPr>
              <w:ind w:left="20"/>
              <w:spacing w:after="0"/>
              <w:rPr>
                <w:sz w:val="20"/>
                <w:szCs w:val="20"/>
                <w:color w:val="auto"/>
              </w:rPr>
            </w:pPr>
            <w:r>
              <w:rPr>
                <w:rFonts w:ascii="Arial" w:cs="Arial" w:eastAsia="Arial" w:hAnsi="Arial"/>
                <w:sz w:val="16"/>
                <w:szCs w:val="16"/>
                <w:color w:val="auto"/>
                <w:w w:val="90"/>
              </w:rPr>
              <w:t>Preferred warrants Series A, $1.00 strike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16"/>
          </w:tcPr>
          <w:p>
            <w:pPr>
              <w:ind w:left="180"/>
              <w:spacing w:after="0"/>
              <w:rPr>
                <w:sz w:val="20"/>
                <w:szCs w:val="20"/>
                <w:color w:val="auto"/>
              </w:rPr>
            </w:pPr>
            <w:r>
              <w:rPr>
                <w:rFonts w:ascii="Arial" w:cs="Arial" w:eastAsia="Arial" w:hAnsi="Arial"/>
                <w:sz w:val="16"/>
                <w:szCs w:val="16"/>
                <w:color w:val="auto"/>
              </w:rPr>
              <w:t>price, expire 1/9/2017</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109,375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3,281</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16"/>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5"/>
              </w:rPr>
              <w:t>1,903,734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8"/>
              </w:rPr>
              <w:t>1,004,520</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0.33%</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17"/>
          </w:tcPr>
          <w:p>
            <w:pPr>
              <w:ind w:left="20"/>
              <w:spacing w:after="0" w:line="155" w:lineRule="exact"/>
              <w:rPr>
                <w:sz w:val="20"/>
                <w:szCs w:val="20"/>
                <w:color w:val="auto"/>
              </w:rPr>
            </w:pPr>
            <w:r>
              <w:rPr>
                <w:rFonts w:ascii="Arial" w:cs="Arial" w:eastAsia="Arial" w:hAnsi="Arial"/>
                <w:sz w:val="16"/>
                <w:szCs w:val="16"/>
                <w:b w:val="1"/>
                <w:bCs w:val="1"/>
                <w:color w:val="auto"/>
              </w:rPr>
              <w:t>Enjoy Technology, Inc.</w:t>
            </w:r>
          </w:p>
        </w:tc>
        <w:tc>
          <w:tcPr>
            <w:tcW w:w="6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7"/>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Menlo Park, CA</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Online Shopping</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879,198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5"/>
              </w:rPr>
              <w:t>1,002,440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8"/>
              </w:rPr>
              <w:t>1,002,440</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0.33%</w:t>
            </w:r>
          </w:p>
        </w:tc>
        <w:tc>
          <w:tcPr>
            <w:tcW w:w="0" w:type="dxa"/>
            <w:vAlign w:val="bottom"/>
          </w:tcPr>
          <w:p>
            <w:pPr>
              <w:spacing w:after="0"/>
              <w:rPr>
                <w:sz w:val="1"/>
                <w:szCs w:val="1"/>
                <w:color w:val="auto"/>
              </w:rPr>
            </w:pPr>
          </w:p>
        </w:tc>
      </w:tr>
      <w:tr>
        <w:trPr>
          <w:trHeight w:val="203"/>
        </w:trPr>
        <w:tc>
          <w:tcPr>
            <w:tcW w:w="2660" w:type="dxa"/>
            <w:vAlign w:val="bottom"/>
            <w:gridSpan w:val="17"/>
          </w:tcPr>
          <w:p>
            <w:pPr>
              <w:ind w:left="20"/>
              <w:spacing w:after="0" w:line="202" w:lineRule="exact"/>
              <w:rPr>
                <w:sz w:val="20"/>
                <w:szCs w:val="20"/>
                <w:color w:val="auto"/>
              </w:rPr>
            </w:pPr>
            <w:r>
              <w:rPr>
                <w:rFonts w:ascii="Arial" w:cs="Arial" w:eastAsia="Arial" w:hAnsi="Arial"/>
                <w:sz w:val="14"/>
                <w:szCs w:val="14"/>
                <w:b w:val="1"/>
                <w:bCs w:val="1"/>
                <w:color w:val="auto"/>
              </w:rPr>
              <w:t>Strategic Data Command, LLC</w:t>
            </w:r>
            <w:r>
              <w:rPr>
                <w:rFonts w:ascii="Arial" w:cs="Arial" w:eastAsia="Arial" w:hAnsi="Arial"/>
                <w:sz w:val="23"/>
                <w:szCs w:val="23"/>
                <w:b w:val="1"/>
                <w:bCs w:val="1"/>
                <w:color w:val="auto"/>
                <w:vertAlign w:val="superscript"/>
              </w:rPr>
              <w:t>(1)(7)</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7"/>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Sunnyvale, CA</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Software Development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989,277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8"/>
              </w:rPr>
              <w:t>1,000,000</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0.33%</w:t>
            </w:r>
          </w:p>
        </w:tc>
        <w:tc>
          <w:tcPr>
            <w:tcW w:w="0" w:type="dxa"/>
            <w:vAlign w:val="bottom"/>
          </w:tcPr>
          <w:p>
            <w:pPr>
              <w:spacing w:after="0"/>
              <w:rPr>
                <w:sz w:val="1"/>
                <w:szCs w:val="1"/>
                <w:color w:val="auto"/>
              </w:rPr>
            </w:pPr>
          </w:p>
        </w:tc>
      </w:tr>
      <w:tr>
        <w:trPr>
          <w:trHeight w:val="162"/>
        </w:trPr>
        <w:tc>
          <w:tcPr>
            <w:tcW w:w="2660" w:type="dxa"/>
            <w:vAlign w:val="bottom"/>
            <w:gridSpan w:val="17"/>
          </w:tcPr>
          <w:p>
            <w:pPr>
              <w:ind w:left="20"/>
              <w:spacing w:after="0" w:line="162" w:lineRule="exact"/>
              <w:rPr>
                <w:sz w:val="20"/>
                <w:szCs w:val="20"/>
                <w:color w:val="auto"/>
              </w:rPr>
            </w:pPr>
            <w:r>
              <w:rPr>
                <w:rFonts w:ascii="Arial" w:cs="Arial" w:eastAsia="Arial" w:hAnsi="Arial"/>
                <w:sz w:val="16"/>
                <w:szCs w:val="16"/>
                <w:b w:val="1"/>
                <w:bCs w:val="1"/>
                <w:color w:val="auto"/>
              </w:rPr>
              <w:t>Tynker (f/k/a Neuron Fuel, Inc.)</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7"/>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San Jose, CA</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Computer Software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534,162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309,310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791,361</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0.26%</w:t>
            </w:r>
          </w:p>
        </w:tc>
        <w:tc>
          <w:tcPr>
            <w:tcW w:w="0" w:type="dxa"/>
            <w:vAlign w:val="bottom"/>
          </w:tcPr>
          <w:p>
            <w:pPr>
              <w:spacing w:after="0"/>
              <w:rPr>
                <w:sz w:val="1"/>
                <w:szCs w:val="1"/>
                <w:color w:val="auto"/>
              </w:rPr>
            </w:pPr>
          </w:p>
        </w:tc>
      </w:tr>
      <w:tr>
        <w:trPr>
          <w:trHeight w:val="162"/>
        </w:trPr>
        <w:tc>
          <w:tcPr>
            <w:tcW w:w="2660" w:type="dxa"/>
            <w:vAlign w:val="bottom"/>
            <w:gridSpan w:val="17"/>
          </w:tcPr>
          <w:p>
            <w:pPr>
              <w:ind w:left="20"/>
              <w:spacing w:after="0" w:line="162" w:lineRule="exact"/>
              <w:rPr>
                <w:sz w:val="20"/>
                <w:szCs w:val="20"/>
                <w:color w:val="auto"/>
              </w:rPr>
            </w:pPr>
            <w:r>
              <w:rPr>
                <w:rFonts w:ascii="Arial" w:cs="Arial" w:eastAsia="Arial" w:hAnsi="Arial"/>
                <w:sz w:val="16"/>
                <w:szCs w:val="16"/>
                <w:b w:val="1"/>
                <w:bCs w:val="1"/>
                <w:color w:val="auto"/>
              </w:rPr>
              <w:t>AliphCom, Inc. (d/b/a Jawbone)</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7"/>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Smart Device Company</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793,152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573,560</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0.19%</w:t>
            </w:r>
          </w:p>
        </w:tc>
        <w:tc>
          <w:tcPr>
            <w:tcW w:w="0" w:type="dxa"/>
            <w:vAlign w:val="bottom"/>
          </w:tcPr>
          <w:p>
            <w:pPr>
              <w:spacing w:after="0"/>
              <w:rPr>
                <w:sz w:val="1"/>
                <w:szCs w:val="1"/>
                <w:color w:val="auto"/>
              </w:rPr>
            </w:pPr>
          </w:p>
        </w:tc>
      </w:tr>
      <w:tr>
        <w:trPr>
          <w:trHeight w:val="203"/>
        </w:trPr>
        <w:tc>
          <w:tcPr>
            <w:tcW w:w="2660" w:type="dxa"/>
            <w:vAlign w:val="bottom"/>
            <w:gridSpan w:val="17"/>
          </w:tcPr>
          <w:p>
            <w:pPr>
              <w:ind w:left="20"/>
              <w:spacing w:after="0" w:line="202" w:lineRule="exact"/>
              <w:rPr>
                <w:sz w:val="20"/>
                <w:szCs w:val="20"/>
                <w:color w:val="auto"/>
              </w:rPr>
            </w:pPr>
            <w:r>
              <w:rPr>
                <w:rFonts w:ascii="Arial" w:cs="Arial" w:eastAsia="Arial" w:hAnsi="Arial"/>
                <w:sz w:val="14"/>
                <w:szCs w:val="14"/>
                <w:b w:val="1"/>
                <w:bCs w:val="1"/>
                <w:color w:val="auto"/>
              </w:rPr>
              <w:t>EdSurge, Inc.</w:t>
            </w:r>
            <w:r>
              <w:rPr>
                <w:rFonts w:ascii="Arial" w:cs="Arial" w:eastAsia="Arial" w:hAnsi="Arial"/>
                <w:sz w:val="23"/>
                <w:szCs w:val="23"/>
                <w:b w:val="1"/>
                <w:bCs w:val="1"/>
                <w:color w:val="auto"/>
                <w:vertAlign w:val="superscript"/>
              </w:rPr>
              <w:t>(1)</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7"/>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Burlingame, CA</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Education Media Platform</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494,365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500,801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500,801</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0.16%</w:t>
            </w:r>
          </w:p>
        </w:tc>
        <w:tc>
          <w:tcPr>
            <w:tcW w:w="0" w:type="dxa"/>
            <w:vAlign w:val="bottom"/>
          </w:tcPr>
          <w:p>
            <w:pPr>
              <w:spacing w:after="0"/>
              <w:rPr>
                <w:sz w:val="1"/>
                <w:szCs w:val="1"/>
                <w:color w:val="auto"/>
              </w:rPr>
            </w:pPr>
          </w:p>
        </w:tc>
      </w:tr>
      <w:tr>
        <w:trPr>
          <w:trHeight w:val="162"/>
        </w:trPr>
        <w:tc>
          <w:tcPr>
            <w:tcW w:w="2660" w:type="dxa"/>
            <w:vAlign w:val="bottom"/>
            <w:gridSpan w:val="17"/>
          </w:tcPr>
          <w:p>
            <w:pPr>
              <w:ind w:left="20"/>
              <w:spacing w:after="0" w:line="162" w:lineRule="exact"/>
              <w:rPr>
                <w:sz w:val="20"/>
                <w:szCs w:val="20"/>
                <w:color w:val="auto"/>
              </w:rPr>
            </w:pPr>
            <w:r>
              <w:rPr>
                <w:rFonts w:ascii="Arial" w:cs="Arial" w:eastAsia="Arial" w:hAnsi="Arial"/>
                <w:sz w:val="16"/>
                <w:szCs w:val="16"/>
                <w:b w:val="1"/>
                <w:bCs w:val="1"/>
                <w:color w:val="auto"/>
              </w:rPr>
              <w:t>New Zoom, Inc.</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7"/>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Retail Machines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260,476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287,548</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0.09%</w:t>
            </w:r>
          </w:p>
        </w:tc>
        <w:tc>
          <w:tcPr>
            <w:tcW w:w="0" w:type="dxa"/>
            <w:vAlign w:val="bottom"/>
          </w:tcPr>
          <w:p>
            <w:pPr>
              <w:spacing w:after="0"/>
              <w:rPr>
                <w:sz w:val="1"/>
                <w:szCs w:val="1"/>
                <w:color w:val="auto"/>
              </w:rPr>
            </w:pPr>
          </w:p>
        </w:tc>
      </w:tr>
      <w:tr>
        <w:trPr>
          <w:trHeight w:val="203"/>
        </w:trPr>
        <w:tc>
          <w:tcPr>
            <w:tcW w:w="2660" w:type="dxa"/>
            <w:vAlign w:val="bottom"/>
            <w:gridSpan w:val="17"/>
          </w:tcPr>
          <w:p>
            <w:pPr>
              <w:ind w:left="20"/>
              <w:spacing w:after="0" w:line="202" w:lineRule="exact"/>
              <w:rPr>
                <w:sz w:val="20"/>
                <w:szCs w:val="20"/>
                <w:color w:val="auto"/>
              </w:rPr>
            </w:pPr>
            <w:r>
              <w:rPr>
                <w:rFonts w:ascii="Arial" w:cs="Arial" w:eastAsia="Arial" w:hAnsi="Arial"/>
                <w:sz w:val="14"/>
                <w:szCs w:val="14"/>
                <w:b w:val="1"/>
                <w:bCs w:val="1"/>
                <w:color w:val="auto"/>
              </w:rPr>
              <w:t>Cricket Media (f/k/a ePals Inc.)**</w:t>
            </w:r>
            <w:r>
              <w:rPr>
                <w:rFonts w:ascii="Arial" w:cs="Arial" w:eastAsia="Arial" w:hAnsi="Arial"/>
                <w:sz w:val="23"/>
                <w:szCs w:val="23"/>
                <w:b w:val="1"/>
                <w:bCs w:val="1"/>
                <w:color w:val="auto"/>
                <w:vertAlign w:val="superscript"/>
              </w:rPr>
              <w:t>(8)</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7"/>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Herndon, VA</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Online Education</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1,333,333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5"/>
              </w:rPr>
              <w:t>2,448,959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237,440</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0.08%</w:t>
            </w:r>
          </w:p>
        </w:tc>
        <w:tc>
          <w:tcPr>
            <w:tcW w:w="0" w:type="dxa"/>
            <w:vAlign w:val="bottom"/>
          </w:tcPr>
          <w:p>
            <w:pPr>
              <w:spacing w:after="0"/>
              <w:rPr>
                <w:sz w:val="1"/>
                <w:szCs w:val="1"/>
                <w:color w:val="auto"/>
              </w:rPr>
            </w:pPr>
          </w:p>
        </w:tc>
      </w:tr>
      <w:tr>
        <w:trPr>
          <w:trHeight w:val="203"/>
        </w:trPr>
        <w:tc>
          <w:tcPr>
            <w:tcW w:w="2660" w:type="dxa"/>
            <w:vAlign w:val="bottom"/>
            <w:gridSpan w:val="17"/>
          </w:tcPr>
          <w:p>
            <w:pPr>
              <w:ind w:left="20"/>
              <w:spacing w:after="0" w:line="202" w:lineRule="exact"/>
              <w:rPr>
                <w:sz w:val="20"/>
                <w:szCs w:val="20"/>
                <w:color w:val="auto"/>
              </w:rPr>
            </w:pPr>
            <w:r>
              <w:rPr>
                <w:rFonts w:ascii="Arial" w:cs="Arial" w:eastAsia="Arial" w:hAnsi="Arial"/>
                <w:sz w:val="14"/>
                <w:szCs w:val="14"/>
                <w:b w:val="1"/>
                <w:bCs w:val="1"/>
                <w:color w:val="auto"/>
              </w:rPr>
              <w:t>The rSmart Group, Inc.</w:t>
            </w:r>
            <w:r>
              <w:rPr>
                <w:rFonts w:ascii="Arial" w:cs="Arial" w:eastAsia="Arial" w:hAnsi="Arial"/>
                <w:sz w:val="23"/>
                <w:szCs w:val="23"/>
                <w:b w:val="1"/>
                <w:bCs w:val="1"/>
                <w:color w:val="auto"/>
                <w:vertAlign w:val="superscript"/>
              </w:rPr>
              <w:t>(1)</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7"/>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Scottsdale, AZ</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Higher Education</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Learning</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Platform</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1,201,923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5"/>
              </w:rPr>
              <w:t>1,269,163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210,691</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0.07%</w:t>
            </w:r>
          </w:p>
        </w:tc>
        <w:tc>
          <w:tcPr>
            <w:tcW w:w="0" w:type="dxa"/>
            <w:vAlign w:val="bottom"/>
          </w:tcPr>
          <w:p>
            <w:pPr>
              <w:spacing w:after="0"/>
              <w:rPr>
                <w:sz w:val="1"/>
                <w:szCs w:val="1"/>
                <w:color w:val="auto"/>
              </w:rPr>
            </w:pPr>
          </w:p>
        </w:tc>
      </w:tr>
      <w:tr>
        <w:trPr>
          <w:trHeight w:val="162"/>
        </w:trPr>
        <w:tc>
          <w:tcPr>
            <w:tcW w:w="2660" w:type="dxa"/>
            <w:vAlign w:val="bottom"/>
            <w:gridSpan w:val="17"/>
          </w:tcPr>
          <w:p>
            <w:pPr>
              <w:ind w:left="20"/>
              <w:spacing w:after="0" w:line="162" w:lineRule="exact"/>
              <w:rPr>
                <w:sz w:val="20"/>
                <w:szCs w:val="20"/>
                <w:color w:val="auto"/>
              </w:rPr>
            </w:pPr>
            <w:r>
              <w:rPr>
                <w:rFonts w:ascii="Arial" w:cs="Arial" w:eastAsia="Arial" w:hAnsi="Arial"/>
                <w:sz w:val="16"/>
                <w:szCs w:val="16"/>
                <w:b w:val="1"/>
                <w:bCs w:val="1"/>
                <w:color w:val="auto"/>
              </w:rPr>
              <w:t>Earlyshares.com, Inc.</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7"/>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Miami, FL</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Equity Crowdfunding</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261,598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125,115</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0.04%</w:t>
            </w:r>
          </w:p>
        </w:tc>
        <w:tc>
          <w:tcPr>
            <w:tcW w:w="0" w:type="dxa"/>
            <w:vAlign w:val="bottom"/>
          </w:tcPr>
          <w:p>
            <w:pPr>
              <w:spacing w:after="0"/>
              <w:rPr>
                <w:sz w:val="1"/>
                <w:szCs w:val="1"/>
                <w:color w:val="auto"/>
              </w:rPr>
            </w:pPr>
          </w:p>
        </w:tc>
      </w:tr>
      <w:tr>
        <w:trPr>
          <w:trHeight w:val="192"/>
        </w:trPr>
        <w:tc>
          <w:tcPr>
            <w:tcW w:w="2660" w:type="dxa"/>
            <w:vAlign w:val="bottom"/>
            <w:gridSpan w:val="17"/>
          </w:tcPr>
          <w:p>
            <w:pPr>
              <w:ind w:left="20"/>
              <w:spacing w:after="0"/>
              <w:rPr>
                <w:sz w:val="20"/>
                <w:szCs w:val="20"/>
                <w:color w:val="auto"/>
              </w:rPr>
            </w:pPr>
            <w:r>
              <w:rPr>
                <w:rFonts w:ascii="Arial" w:cs="Arial" w:eastAsia="Arial" w:hAnsi="Arial"/>
                <w:sz w:val="16"/>
                <w:szCs w:val="16"/>
                <w:color w:val="auto"/>
              </w:rPr>
              <w:t>Convertible Promissory Note 5%,</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1080" w:type="dxa"/>
            <w:vAlign w:val="bottom"/>
            <w:gridSpan w:val="6"/>
          </w:tcPr>
          <w:p>
            <w:pPr>
              <w:ind w:left="200"/>
              <w:spacing w:after="0" w:line="254" w:lineRule="exact"/>
              <w:rPr>
                <w:sz w:val="20"/>
                <w:szCs w:val="20"/>
                <w:color w:val="auto"/>
              </w:rPr>
            </w:pPr>
            <w:r>
              <w:rPr>
                <w:rFonts w:ascii="Arial" w:cs="Arial" w:eastAsia="Arial" w:hAnsi="Arial"/>
                <w:sz w:val="16"/>
                <w:szCs w:val="16"/>
                <w:color w:val="auto"/>
                <w:w w:val="83"/>
              </w:rPr>
              <w:t>8/02/2016</w:t>
            </w:r>
            <w:r>
              <w:rPr>
                <w:rFonts w:ascii="Arial" w:cs="Arial" w:eastAsia="Arial" w:hAnsi="Arial"/>
                <w:sz w:val="27"/>
                <w:szCs w:val="27"/>
                <w:color w:val="auto"/>
                <w:w w:val="83"/>
                <w:vertAlign w:val="superscript"/>
              </w:rPr>
              <w:t>(12)</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50,000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50,840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50,528</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40" w:type="dxa"/>
            <w:vAlign w:val="bottom"/>
            <w:gridSpan w:val="16"/>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312,438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175,643</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0.06%</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17"/>
          </w:tcPr>
          <w:p>
            <w:pPr>
              <w:ind w:left="20"/>
              <w:spacing w:after="0" w:line="155" w:lineRule="exact"/>
              <w:rPr>
                <w:sz w:val="20"/>
                <w:szCs w:val="20"/>
                <w:color w:val="auto"/>
              </w:rPr>
            </w:pPr>
            <w:r>
              <w:rPr>
                <w:rFonts w:ascii="Arial" w:cs="Arial" w:eastAsia="Arial" w:hAnsi="Arial"/>
                <w:sz w:val="16"/>
                <w:szCs w:val="16"/>
                <w:b w:val="1"/>
                <w:bCs w:val="1"/>
                <w:color w:val="auto"/>
              </w:rPr>
              <w:t>Upwork Global Inc. (f/k/a Odesk</w:t>
            </w:r>
          </w:p>
        </w:tc>
        <w:tc>
          <w:tcPr>
            <w:tcW w:w="6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60" w:type="dxa"/>
            <w:vAlign w:val="bottom"/>
            <w:tcBorders>
              <w:top w:val="single" w:sz="8" w:color="auto"/>
            </w:tcBorders>
            <w:gridSpan w:val="13"/>
          </w:tcPr>
          <w:p>
            <w:pPr>
              <w:ind w:left="180"/>
              <w:spacing w:after="0" w:line="183" w:lineRule="exact"/>
              <w:rPr>
                <w:sz w:val="20"/>
                <w:szCs w:val="20"/>
                <w:color w:val="auto"/>
              </w:rPr>
            </w:pPr>
            <w:r>
              <w:rPr>
                <w:rFonts w:ascii="Arial" w:cs="Arial" w:eastAsia="Arial" w:hAnsi="Arial"/>
                <w:sz w:val="16"/>
                <w:szCs w:val="16"/>
                <w:b w:val="1"/>
                <w:bCs w:val="1"/>
                <w:color w:val="auto"/>
              </w:rPr>
              <w:t>Corporation</w:t>
            </w:r>
          </w:p>
        </w:tc>
        <w:tc>
          <w:tcPr>
            <w:tcW w:w="38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7"/>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Redwood City, CA</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Online Workplace</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Platform</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183,269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156,180</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0.05%</w:t>
            </w:r>
          </w:p>
        </w:tc>
        <w:tc>
          <w:tcPr>
            <w:tcW w:w="0" w:type="dxa"/>
            <w:vAlign w:val="bottom"/>
          </w:tcPr>
          <w:p>
            <w:pPr>
              <w:spacing w:after="0"/>
              <w:rPr>
                <w:sz w:val="1"/>
                <w:szCs w:val="1"/>
                <w:color w:val="auto"/>
              </w:rPr>
            </w:pPr>
          </w:p>
        </w:tc>
      </w:tr>
      <w:tr>
        <w:trPr>
          <w:trHeight w:val="162"/>
        </w:trPr>
        <w:tc>
          <w:tcPr>
            <w:tcW w:w="2660" w:type="dxa"/>
            <w:vAlign w:val="bottom"/>
            <w:gridSpan w:val="17"/>
          </w:tcPr>
          <w:p>
            <w:pPr>
              <w:ind w:left="20"/>
              <w:spacing w:after="0" w:line="162" w:lineRule="exact"/>
              <w:rPr>
                <w:sz w:val="20"/>
                <w:szCs w:val="20"/>
                <w:color w:val="auto"/>
              </w:rPr>
            </w:pPr>
            <w:r>
              <w:rPr>
                <w:rFonts w:ascii="Arial" w:cs="Arial" w:eastAsia="Arial" w:hAnsi="Arial"/>
                <w:sz w:val="16"/>
                <w:szCs w:val="16"/>
                <w:b w:val="1"/>
                <w:bCs w:val="1"/>
                <w:color w:val="auto"/>
                <w:w w:val="95"/>
              </w:rPr>
              <w:t>4C Insights (f/k/a The Echo Systems</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00" w:type="dxa"/>
            <w:vAlign w:val="bottom"/>
            <w:tcBorders>
              <w:top w:val="single" w:sz="8" w:color="auto"/>
            </w:tcBorders>
            <w:gridSpan w:val="15"/>
          </w:tcPr>
          <w:p>
            <w:pPr>
              <w:ind w:left="180"/>
              <w:spacing w:after="0" w:line="183" w:lineRule="exact"/>
              <w:rPr>
                <w:sz w:val="20"/>
                <w:szCs w:val="20"/>
                <w:color w:val="auto"/>
              </w:rPr>
            </w:pPr>
            <w:r>
              <w:rPr>
                <w:rFonts w:ascii="Arial" w:cs="Arial" w:eastAsia="Arial" w:hAnsi="Arial"/>
                <w:sz w:val="16"/>
                <w:szCs w:val="16"/>
                <w:b w:val="1"/>
                <w:bCs w:val="1"/>
                <w:color w:val="auto"/>
              </w:rPr>
              <w:t>Corp.)</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7"/>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Chicago, IL</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Social Data Platform</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512,365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5"/>
              </w:rPr>
              <w:t>1,436,404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130,653</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0.04%</w:t>
            </w:r>
          </w:p>
        </w:tc>
        <w:tc>
          <w:tcPr>
            <w:tcW w:w="0" w:type="dxa"/>
            <w:vAlign w:val="bottom"/>
          </w:tcPr>
          <w:p>
            <w:pPr>
              <w:spacing w:after="0"/>
              <w:rPr>
                <w:sz w:val="1"/>
                <w:szCs w:val="1"/>
                <w:color w:val="auto"/>
              </w:rPr>
            </w:pPr>
          </w:p>
        </w:tc>
      </w:tr>
      <w:tr>
        <w:trPr>
          <w:trHeight w:val="203"/>
        </w:trPr>
        <w:tc>
          <w:tcPr>
            <w:tcW w:w="2660" w:type="dxa"/>
            <w:vAlign w:val="bottom"/>
            <w:gridSpan w:val="17"/>
          </w:tcPr>
          <w:p>
            <w:pPr>
              <w:ind w:left="20"/>
              <w:spacing w:after="0" w:line="202" w:lineRule="exact"/>
              <w:rPr>
                <w:sz w:val="20"/>
                <w:szCs w:val="20"/>
                <w:color w:val="auto"/>
              </w:rPr>
            </w:pPr>
            <w:r>
              <w:rPr>
                <w:rFonts w:ascii="Arial" w:cs="Arial" w:eastAsia="Arial" w:hAnsi="Arial"/>
                <w:sz w:val="14"/>
                <w:szCs w:val="14"/>
                <w:b w:val="1"/>
                <w:bCs w:val="1"/>
                <w:color w:val="auto"/>
              </w:rPr>
              <w:t>Totus Solutions, Inc.</w:t>
            </w:r>
            <w:r>
              <w:rPr>
                <w:rFonts w:ascii="Arial" w:cs="Arial" w:eastAsia="Arial" w:hAnsi="Arial"/>
                <w:sz w:val="23"/>
                <w:szCs w:val="23"/>
                <w:b w:val="1"/>
                <w:bCs w:val="1"/>
                <w:color w:val="auto"/>
                <w:vertAlign w:val="superscript"/>
              </w:rPr>
              <w:t>(1)</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7"/>
            <w:shd w:val="clear" w:color="auto" w:fill="CCEEFF"/>
          </w:tcPr>
          <w:p>
            <w:pPr>
              <w:ind w:left="20"/>
              <w:spacing w:after="0"/>
              <w:rPr>
                <w:sz w:val="20"/>
                <w:szCs w:val="20"/>
                <w:color w:val="auto"/>
              </w:rPr>
            </w:pPr>
            <w:r>
              <w:rPr>
                <w:rFonts w:ascii="Arial" w:cs="Arial" w:eastAsia="Arial" w:hAnsi="Arial"/>
                <w:sz w:val="16"/>
                <w:szCs w:val="16"/>
                <w:color w:val="auto"/>
              </w:rPr>
              <w:t>Convertible Promissory Note 6%,</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Carrollton, TX</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20" w:type="dxa"/>
            <w:vAlign w:val="bottom"/>
            <w:gridSpan w:val="7"/>
            <w:shd w:val="clear" w:color="auto" w:fill="CCEEFF"/>
          </w:tcPr>
          <w:p>
            <w:pPr>
              <w:ind w:left="200"/>
              <w:spacing w:after="0"/>
              <w:rPr>
                <w:sz w:val="20"/>
                <w:szCs w:val="20"/>
                <w:color w:val="auto"/>
              </w:rPr>
            </w:pPr>
            <w:r>
              <w:rPr>
                <w:rFonts w:ascii="Arial" w:cs="Arial" w:eastAsia="Arial" w:hAnsi="Arial"/>
                <w:sz w:val="16"/>
                <w:szCs w:val="16"/>
                <w:color w:val="auto"/>
              </w:rPr>
              <w:t>4/01/2016***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LED Lighting</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77,190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40,344</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0.01%</w:t>
            </w:r>
          </w:p>
        </w:tc>
        <w:tc>
          <w:tcPr>
            <w:tcW w:w="0" w:type="dxa"/>
            <w:vAlign w:val="bottom"/>
          </w:tcPr>
          <w:p>
            <w:pPr>
              <w:spacing w:after="0"/>
              <w:rPr>
                <w:sz w:val="1"/>
                <w:szCs w:val="1"/>
                <w:color w:val="auto"/>
              </w:rPr>
            </w:pPr>
          </w:p>
        </w:tc>
      </w:tr>
      <w:tr>
        <w:trPr>
          <w:trHeight w:val="206"/>
        </w:trPr>
        <w:tc>
          <w:tcPr>
            <w:tcW w:w="2660" w:type="dxa"/>
            <w:vAlign w:val="bottom"/>
            <w:gridSpan w:val="17"/>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1,111,111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w w:val="95"/>
              </w:rPr>
              <w:t>1,000,000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-5970270</wp:posOffset>
            </wp:positionV>
            <wp:extent cx="521398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-1708150</wp:posOffset>
            </wp:positionV>
            <wp:extent cx="5213985" cy="2660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13985" cy="26606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126" w:gutter="0" w:footer="0" w:header="0"/>
        </w:sectPr>
      </w:pPr>
    </w:p>
    <w:bookmarkStart w:id="13" w:name="page14"/>
    <w:bookmarkEnd w:id="1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1714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4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4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900" w:type="dxa"/>
            <w:vAlign w:val="bottom"/>
          </w:tcPr>
          <w:p>
            <w:pPr>
              <w:jc w:val="right"/>
              <w:ind w:right="201"/>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2660" w:type="dxa"/>
            <w:vAlign w:val="bottom"/>
            <w:tcBorders>
              <w:bottom w:val="single" w:sz="8" w:color="auto"/>
            </w:tcBorders>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Principal</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96"/>
        </w:trPr>
        <w:tc>
          <w:tcPr>
            <w:tcW w:w="2660" w:type="dxa"/>
            <w:vAlign w:val="bottom"/>
            <w:gridSpan w:val="6"/>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869,265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2,184,422</w:t>
            </w:r>
          </w:p>
        </w:tc>
        <w:tc>
          <w:tcPr>
            <w:tcW w:w="1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03"/>
        </w:trPr>
        <w:tc>
          <w:tcPr>
            <w:tcW w:w="2660" w:type="dxa"/>
            <w:vAlign w:val="bottom"/>
            <w:gridSpan w:val="6"/>
          </w:tcPr>
          <w:p>
            <w:pPr>
              <w:ind w:left="20"/>
              <w:spacing w:after="0"/>
              <w:rPr>
                <w:sz w:val="20"/>
                <w:szCs w:val="20"/>
                <w:color w:val="auto"/>
              </w:rPr>
            </w:pPr>
            <w:r>
              <w:rPr>
                <w:rFonts w:ascii="Arial" w:cs="Arial" w:eastAsia="Arial" w:hAnsi="Arial"/>
                <w:sz w:val="16"/>
                <w:szCs w:val="16"/>
                <w:color w:val="auto"/>
              </w:rPr>
              <w:t>Common Shares</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1,130,735</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2,840,591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40" w:type="dxa"/>
            <w:vAlign w:val="bottom"/>
            <w:gridSpan w:val="5"/>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6,102,203</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40,344</w:t>
            </w:r>
          </w:p>
        </w:tc>
        <w:tc>
          <w:tcPr>
            <w:tcW w:w="80" w:type="dxa"/>
            <w:vAlign w:val="bottom"/>
            <w:tcBorders>
              <w:lef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96"/>
        </w:trPr>
        <w:tc>
          <w:tcPr>
            <w:tcW w:w="2660" w:type="dxa"/>
            <w:vAlign w:val="bottom"/>
            <w:tcBorders>
              <w:top w:val="single" w:sz="8" w:color="CCEEFF"/>
            </w:tcBorders>
            <w:gridSpan w:val="6"/>
          </w:tcPr>
          <w:p>
            <w:pPr>
              <w:ind w:left="20"/>
              <w:spacing w:after="0" w:line="197" w:lineRule="exact"/>
              <w:rPr>
                <w:sz w:val="20"/>
                <w:szCs w:val="20"/>
                <w:color w:val="auto"/>
              </w:rPr>
            </w:pPr>
            <w:r>
              <w:rPr>
                <w:rFonts w:ascii="Arial" w:cs="Arial" w:eastAsia="Arial" w:hAnsi="Arial"/>
                <w:sz w:val="14"/>
                <w:szCs w:val="14"/>
                <w:b w:val="1"/>
                <w:bCs w:val="1"/>
                <w:color w:val="auto"/>
              </w:rPr>
              <w:t>Dailybreak, Inc.</w:t>
            </w:r>
            <w:r>
              <w:rPr>
                <w:rFonts w:ascii="Arial" w:cs="Arial" w:eastAsia="Arial" w:hAnsi="Arial"/>
                <w:sz w:val="22"/>
                <w:szCs w:val="22"/>
                <w:b w:val="1"/>
                <w:bCs w:val="1"/>
                <w:color w:val="auto"/>
                <w:vertAlign w:val="superscript"/>
              </w:rPr>
              <w:t>(1)</w:t>
            </w:r>
          </w:p>
        </w:tc>
        <w:tc>
          <w:tcPr>
            <w:tcW w:w="4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6"/>
            <w:shd w:val="clear" w:color="auto" w:fill="CCEEFF"/>
          </w:tcPr>
          <w:p>
            <w:pPr>
              <w:ind w:left="20"/>
              <w:spacing w:after="0"/>
              <w:rPr>
                <w:sz w:val="20"/>
                <w:szCs w:val="20"/>
                <w:color w:val="auto"/>
              </w:rPr>
            </w:pPr>
            <w:r>
              <w:rPr>
                <w:rFonts w:ascii="Arial" w:cs="Arial" w:eastAsia="Arial" w:hAnsi="Arial"/>
                <w:sz w:val="16"/>
                <w:szCs w:val="16"/>
                <w:color w:val="auto"/>
              </w:rPr>
              <w:t>Preferred shares, Series A-2</w:t>
            </w:r>
          </w:p>
        </w:tc>
        <w:tc>
          <w:tcPr>
            <w:tcW w:w="40" w:type="dxa"/>
            <w:vAlign w:val="bottom"/>
            <w:shd w:val="clear" w:color="auto" w:fill="CCEEFF"/>
          </w:tcPr>
          <w:p>
            <w:pPr>
              <w:spacing w:after="0"/>
              <w:rPr>
                <w:sz w:val="16"/>
                <w:szCs w:val="16"/>
                <w:color w:val="auto"/>
              </w:rPr>
            </w:pPr>
          </w:p>
        </w:tc>
        <w:tc>
          <w:tcPr>
            <w:tcW w:w="1980" w:type="dxa"/>
            <w:vAlign w:val="bottom"/>
            <w:gridSpan w:val="3"/>
            <w:shd w:val="clear" w:color="auto" w:fill="CCEEFF"/>
          </w:tcPr>
          <w:p>
            <w:pPr>
              <w:jc w:val="center"/>
              <w:ind w:right="100"/>
              <w:spacing w:after="0"/>
              <w:rPr>
                <w:sz w:val="20"/>
                <w:szCs w:val="20"/>
                <w:color w:val="auto"/>
              </w:rPr>
            </w:pPr>
            <w:r>
              <w:rPr>
                <w:rFonts w:ascii="Arial" w:cs="Arial" w:eastAsia="Arial" w:hAnsi="Arial"/>
                <w:sz w:val="16"/>
                <w:szCs w:val="16"/>
                <w:color w:val="auto"/>
                <w:w w:val="96"/>
              </w:rPr>
              <w:t>Boston, MA</w:t>
            </w:r>
          </w:p>
        </w:tc>
        <w:tc>
          <w:tcPr>
            <w:tcW w:w="9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center"/>
              <w:ind w:right="120"/>
              <w:spacing w:after="0"/>
              <w:rPr>
                <w:sz w:val="20"/>
                <w:szCs w:val="20"/>
                <w:color w:val="auto"/>
              </w:rPr>
            </w:pPr>
            <w:r>
              <w:rPr>
                <w:rFonts w:ascii="Arial" w:cs="Arial" w:eastAsia="Arial" w:hAnsi="Arial"/>
                <w:sz w:val="16"/>
                <w:szCs w:val="16"/>
                <w:color w:val="auto"/>
                <w:w w:val="95"/>
              </w:rPr>
              <w:t>Social Advertising</w:t>
            </w:r>
          </w:p>
        </w:tc>
        <w:tc>
          <w:tcPr>
            <w:tcW w:w="90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347,666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426,254</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03"/>
        </w:trPr>
        <w:tc>
          <w:tcPr>
            <w:tcW w:w="2660" w:type="dxa"/>
            <w:vAlign w:val="bottom"/>
            <w:gridSpan w:val="6"/>
          </w:tcPr>
          <w:p>
            <w:pPr>
              <w:ind w:left="20"/>
              <w:spacing w:after="0"/>
              <w:rPr>
                <w:sz w:val="20"/>
                <w:szCs w:val="20"/>
                <w:color w:val="auto"/>
              </w:rPr>
            </w:pPr>
            <w:r>
              <w:rPr>
                <w:rFonts w:ascii="Arial" w:cs="Arial" w:eastAsia="Arial" w:hAnsi="Arial"/>
                <w:sz w:val="16"/>
                <w:szCs w:val="16"/>
                <w:color w:val="auto"/>
              </w:rPr>
              <w:t>Preferred shares, Series A-1</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1,878,129</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2,430,950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40" w:type="dxa"/>
            <w:vAlign w:val="bottom"/>
            <w:gridSpan w:val="5"/>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2,857,204</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60" w:type="dxa"/>
            <w:vAlign w:val="bottom"/>
            <w:gridSpan w:val="6"/>
          </w:tcPr>
          <w:p>
            <w:pPr>
              <w:ind w:left="20"/>
              <w:spacing w:after="0"/>
              <w:rPr>
                <w:sz w:val="20"/>
                <w:szCs w:val="20"/>
                <w:color w:val="auto"/>
              </w:rPr>
            </w:pPr>
            <w:r>
              <w:rPr>
                <w:rFonts w:ascii="Arial" w:cs="Arial" w:eastAsia="Arial" w:hAnsi="Arial"/>
                <w:sz w:val="16"/>
                <w:szCs w:val="16"/>
                <w:b w:val="1"/>
                <w:bCs w:val="1"/>
                <w:color w:val="auto"/>
              </w:rPr>
              <w:t>Total Portfolio Investments</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87"/>
              </w:rPr>
              <w:t>298,432,845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89"/>
              </w:rPr>
              <w:t>390,342,659</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128.55%</w:t>
            </w:r>
          </w:p>
        </w:tc>
        <w:tc>
          <w:tcPr>
            <w:tcW w:w="0" w:type="dxa"/>
            <w:vAlign w:val="bottom"/>
          </w:tcPr>
          <w:p>
            <w:pPr>
              <w:spacing w:after="0"/>
              <w:rPr>
                <w:sz w:val="1"/>
                <w:szCs w:val="1"/>
                <w:color w:val="auto"/>
              </w:rPr>
            </w:pPr>
          </w:p>
        </w:tc>
      </w:tr>
      <w:tr>
        <w:trPr>
          <w:trHeight w:val="156"/>
        </w:trPr>
        <w:tc>
          <w:tcPr>
            <w:tcW w:w="2660" w:type="dxa"/>
            <w:vAlign w:val="bottom"/>
            <w:gridSpan w:val="6"/>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U.S. Treasury</w:t>
            </w:r>
          </w:p>
        </w:tc>
        <w:tc>
          <w:tcPr>
            <w:tcW w:w="4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gridSpan w:val="6"/>
          </w:tcPr>
          <w:p>
            <w:pPr>
              <w:ind w:left="20"/>
              <w:spacing w:after="0"/>
              <w:rPr>
                <w:sz w:val="20"/>
                <w:szCs w:val="20"/>
                <w:color w:val="auto"/>
              </w:rPr>
            </w:pPr>
            <w:r>
              <w:rPr>
                <w:rFonts w:ascii="Arial" w:cs="Arial" w:eastAsia="Arial" w:hAnsi="Arial"/>
                <w:sz w:val="16"/>
                <w:szCs w:val="16"/>
                <w:color w:val="auto"/>
              </w:rPr>
              <w:t>U.S. Treasury Bill, 0%, due 7/2/2015</w:t>
            </w:r>
          </w:p>
        </w:tc>
        <w:tc>
          <w:tcPr>
            <w:tcW w:w="202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w w:val="89"/>
              </w:rPr>
              <w:t>100,000,000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87"/>
              </w:rPr>
              <w:t>100,001,569</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100,001,569</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32.93%</w:t>
            </w:r>
          </w:p>
        </w:tc>
        <w:tc>
          <w:tcPr>
            <w:tcW w:w="0" w:type="dxa"/>
            <w:vAlign w:val="bottom"/>
          </w:tcPr>
          <w:p>
            <w:pPr>
              <w:spacing w:after="0"/>
              <w:rPr>
                <w:sz w:val="1"/>
                <w:szCs w:val="1"/>
                <w:color w:val="auto"/>
              </w:rPr>
            </w:pPr>
          </w:p>
        </w:tc>
      </w:tr>
      <w:tr>
        <w:trPr>
          <w:trHeight w:val="203"/>
        </w:trPr>
        <w:tc>
          <w:tcPr>
            <w:tcW w:w="2660" w:type="dxa"/>
            <w:vAlign w:val="bottom"/>
            <w:gridSpan w:val="6"/>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U.S. Treasury Strips</w:t>
            </w:r>
            <w:r>
              <w:rPr>
                <w:rFonts w:ascii="Arial" w:cs="Arial" w:eastAsia="Arial" w:hAnsi="Arial"/>
                <w:sz w:val="23"/>
                <w:szCs w:val="23"/>
                <w:b w:val="1"/>
                <w:bCs w:val="1"/>
                <w:color w:val="auto"/>
                <w:vertAlign w:val="superscript"/>
              </w:rPr>
              <w:t>(10)</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6"/>
          </w:tcPr>
          <w:p>
            <w:pPr>
              <w:ind w:left="20"/>
              <w:spacing w:after="0"/>
              <w:rPr>
                <w:sz w:val="20"/>
                <w:szCs w:val="20"/>
                <w:color w:val="auto"/>
              </w:rPr>
            </w:pPr>
            <w:r>
              <w:rPr>
                <w:rFonts w:ascii="Arial" w:cs="Arial" w:eastAsia="Arial" w:hAnsi="Arial"/>
                <w:sz w:val="16"/>
                <w:szCs w:val="16"/>
                <w:color w:val="auto"/>
                <w:w w:val="98"/>
              </w:rPr>
              <w:t>United States Treasury Strip Coupon,</w:t>
            </w:r>
          </w:p>
        </w:tc>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5"/>
          </w:tcPr>
          <w:p>
            <w:pPr>
              <w:ind w:left="180"/>
              <w:spacing w:after="0"/>
              <w:rPr>
                <w:sz w:val="20"/>
                <w:szCs w:val="20"/>
                <w:color w:val="auto"/>
              </w:rPr>
            </w:pPr>
            <w:r>
              <w:rPr>
                <w:rFonts w:ascii="Arial" w:cs="Arial" w:eastAsia="Arial" w:hAnsi="Arial"/>
                <w:sz w:val="16"/>
                <w:szCs w:val="16"/>
                <w:color w:val="auto"/>
              </w:rPr>
              <w:t>0.00% due 08/15/2016</w:t>
            </w:r>
          </w:p>
        </w:tc>
        <w:tc>
          <w:tcPr>
            <w:tcW w:w="202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1,851,000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1,835,497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1,842,708</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0.61%</w:t>
            </w:r>
          </w:p>
        </w:tc>
        <w:tc>
          <w:tcPr>
            <w:tcW w:w="0" w:type="dxa"/>
            <w:vAlign w:val="bottom"/>
          </w:tcPr>
          <w:p>
            <w:pPr>
              <w:spacing w:after="0"/>
              <w:rPr>
                <w:sz w:val="1"/>
                <w:szCs w:val="1"/>
                <w:color w:val="auto"/>
              </w:rPr>
            </w:pPr>
          </w:p>
        </w:tc>
      </w:tr>
      <w:tr>
        <w:trPr>
          <w:trHeight w:val="196"/>
        </w:trPr>
        <w:tc>
          <w:tcPr>
            <w:tcW w:w="2660" w:type="dxa"/>
            <w:vAlign w:val="bottom"/>
            <w:gridSpan w:val="6"/>
            <w:shd w:val="clear" w:color="auto" w:fill="CCEEFF"/>
          </w:tcPr>
          <w:p>
            <w:pPr>
              <w:ind w:left="20"/>
              <w:spacing w:after="0"/>
              <w:rPr>
                <w:sz w:val="20"/>
                <w:szCs w:val="20"/>
                <w:color w:val="auto"/>
              </w:rPr>
            </w:pPr>
            <w:r>
              <w:rPr>
                <w:rFonts w:ascii="Arial" w:cs="Arial" w:eastAsia="Arial" w:hAnsi="Arial"/>
                <w:sz w:val="16"/>
                <w:szCs w:val="16"/>
                <w:color w:val="auto"/>
                <w:w w:val="98"/>
              </w:rPr>
              <w:t>United States Treasury Strip Coupon,</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5"/>
            <w:shd w:val="clear" w:color="auto" w:fill="CCEEFF"/>
          </w:tcPr>
          <w:p>
            <w:pPr>
              <w:ind w:left="180"/>
              <w:spacing w:after="0"/>
              <w:rPr>
                <w:sz w:val="20"/>
                <w:szCs w:val="20"/>
                <w:color w:val="auto"/>
              </w:rPr>
            </w:pPr>
            <w:r>
              <w:rPr>
                <w:rFonts w:ascii="Arial" w:cs="Arial" w:eastAsia="Arial" w:hAnsi="Arial"/>
                <w:sz w:val="16"/>
                <w:szCs w:val="16"/>
                <w:color w:val="auto"/>
              </w:rPr>
              <w:t>0.00% due 02/15/2016</w:t>
            </w:r>
          </w:p>
        </w:tc>
        <w:tc>
          <w:tcPr>
            <w:tcW w:w="20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1,834,000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1,827,810</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1,832,459</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193"/>
        </w:trPr>
        <w:tc>
          <w:tcPr>
            <w:tcW w:w="2660" w:type="dxa"/>
            <w:vAlign w:val="bottom"/>
            <w:gridSpan w:val="6"/>
          </w:tcPr>
          <w:p>
            <w:pPr>
              <w:ind w:left="20"/>
              <w:spacing w:after="0"/>
              <w:rPr>
                <w:sz w:val="20"/>
                <w:szCs w:val="20"/>
                <w:color w:val="auto"/>
              </w:rPr>
            </w:pPr>
            <w:r>
              <w:rPr>
                <w:rFonts w:ascii="Arial" w:cs="Arial" w:eastAsia="Arial" w:hAnsi="Arial"/>
                <w:sz w:val="16"/>
                <w:szCs w:val="16"/>
                <w:color w:val="auto"/>
                <w:w w:val="98"/>
              </w:rPr>
              <w:t>United States Treasury Strip Coupon,</w:t>
            </w:r>
          </w:p>
        </w:tc>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5"/>
          </w:tcPr>
          <w:p>
            <w:pPr>
              <w:ind w:left="180"/>
              <w:spacing w:after="0"/>
              <w:rPr>
                <w:sz w:val="20"/>
                <w:szCs w:val="20"/>
                <w:color w:val="auto"/>
              </w:rPr>
            </w:pPr>
            <w:r>
              <w:rPr>
                <w:rFonts w:ascii="Arial" w:cs="Arial" w:eastAsia="Arial" w:hAnsi="Arial"/>
                <w:sz w:val="16"/>
                <w:szCs w:val="16"/>
                <w:color w:val="auto"/>
              </w:rPr>
              <w:t>0.00% due 08/15/2015</w:t>
            </w:r>
          </w:p>
        </w:tc>
        <w:tc>
          <w:tcPr>
            <w:tcW w:w="202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1,823,000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1,822,235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1,822,945</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5"/>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5,485,542</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5,498,112</w:t>
            </w:r>
          </w:p>
        </w:tc>
        <w:tc>
          <w:tcPr>
            <w:tcW w:w="80" w:type="dxa"/>
            <w:vAlign w:val="bottom"/>
            <w:tcBorders>
              <w:lef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60" w:type="dxa"/>
            <w:vAlign w:val="bottom"/>
            <w:gridSpan w:val="6"/>
          </w:tcPr>
          <w:p>
            <w:pPr>
              <w:ind w:left="20"/>
              <w:spacing w:after="0"/>
              <w:rPr>
                <w:sz w:val="20"/>
                <w:szCs w:val="20"/>
                <w:color w:val="auto"/>
              </w:rPr>
            </w:pPr>
            <w:r>
              <w:rPr>
                <w:rFonts w:ascii="Arial" w:cs="Arial" w:eastAsia="Arial" w:hAnsi="Arial"/>
                <w:sz w:val="16"/>
                <w:szCs w:val="16"/>
                <w:b w:val="1"/>
                <w:bCs w:val="1"/>
                <w:color w:val="auto"/>
              </w:rPr>
              <w:t>Total Investments</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87"/>
              </w:rPr>
              <w:t>403,919,956</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495,842,340</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163.29%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-2503805</wp:posOffset>
            </wp:positionV>
            <wp:extent cx="5213985"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-1817370</wp:posOffset>
            </wp:positionV>
            <wp:extent cx="5213985"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-351155</wp:posOffset>
            </wp:positionV>
            <wp:extent cx="521398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7"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300" w:right="519" w:hanging="272"/>
        <w:spacing w:after="0" w:line="277"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jc w:val="both"/>
        <w:ind w:left="300" w:right="519" w:hanging="272"/>
        <w:spacing w:after="0" w:line="264"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Denotes an Affiliate Investment. “Affiliate Investments” are investments in those companies that are “Affiliated Companies” of GSV Capital Corp., as defined in the Investment Company Act of 1940. A company is deemed to be an “Affiliate” of GSV Capital Corp. if GSV Capital Corp. owns 5% or more of the voting securities of such company.</w:t>
      </w:r>
    </w:p>
    <w:p>
      <w:pPr>
        <w:spacing w:after="0" w:line="73" w:lineRule="exact"/>
        <w:rPr>
          <w:rFonts w:ascii="Arial" w:cs="Arial" w:eastAsia="Arial" w:hAnsi="Arial"/>
          <w:sz w:val="18"/>
          <w:szCs w:val="18"/>
          <w:color w:val="auto"/>
        </w:rPr>
      </w:pPr>
    </w:p>
    <w:p>
      <w:pPr>
        <w:jc w:val="both"/>
        <w:ind w:left="300" w:right="519" w:hanging="272"/>
        <w:spacing w:after="0" w:line="286" w:lineRule="auto"/>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Denotes a Control Investment. “Control Investments” are investments in those companies that are “Controlled Companies” of GSV Capital Corp., as defined in the Investment Company Act of 1940. A company is deemed to be a “Controlled Company” of GSV Capital Corp. if GSV Capital Corp. owns 25% or more of the voting securities of such company.</w:t>
      </w:r>
    </w:p>
    <w:p>
      <w:pPr>
        <w:spacing w:after="0" w:line="57" w:lineRule="exact"/>
        <w:rPr>
          <w:rFonts w:ascii="Arial" w:cs="Arial" w:eastAsia="Arial" w:hAnsi="Arial"/>
          <w:sz w:val="17"/>
          <w:szCs w:val="17"/>
          <w:color w:val="auto"/>
        </w:rPr>
      </w:pPr>
    </w:p>
    <w:p>
      <w:pPr>
        <w:ind w:left="300" w:right="539" w:hanging="272"/>
        <w:spacing w:after="0" w:line="277"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wholly-owned subsidiary GSVC AV Holdings, Inc.</w:t>
      </w:r>
    </w:p>
    <w:p>
      <w:pPr>
        <w:spacing w:after="0" w:line="62" w:lineRule="exact"/>
        <w:rPr>
          <w:rFonts w:ascii="Arial" w:cs="Arial" w:eastAsia="Arial" w:hAnsi="Arial"/>
          <w:sz w:val="18"/>
          <w:szCs w:val="18"/>
          <w:color w:val="auto"/>
        </w:rPr>
      </w:pPr>
    </w:p>
    <w:p>
      <w:pPr>
        <w:ind w:left="300" w:right="519" w:hanging="272"/>
        <w:spacing w:after="0" w:line="308" w:lineRule="auto"/>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GSV Capital Corp.’s investment in Whittle Schools, LLC is held through its wholly-owned subsidiary GSVC WS Holdings, Inc. Whittle Schools, LLC is an investment whose economics are derived from the value of Avenues Global Holdings LLC.</w:t>
      </w:r>
    </w:p>
    <w:p>
      <w:pPr>
        <w:spacing w:after="0" w:line="38" w:lineRule="exact"/>
        <w:rPr>
          <w:rFonts w:ascii="Arial" w:cs="Arial" w:eastAsia="Arial" w:hAnsi="Arial"/>
          <w:sz w:val="17"/>
          <w:szCs w:val="17"/>
          <w:color w:val="auto"/>
        </w:rPr>
      </w:pPr>
    </w:p>
    <w:p>
      <w:pPr>
        <w:ind w:left="300" w:hanging="272"/>
        <w:spacing w:after="0"/>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wholly-owned subsidiary GSVC SW Holdings, Inc.</w:t>
      </w:r>
    </w:p>
    <w:p>
      <w:pPr>
        <w:spacing w:after="0" w:line="128" w:lineRule="exact"/>
        <w:rPr>
          <w:rFonts w:ascii="Arial" w:cs="Arial" w:eastAsia="Arial" w:hAnsi="Arial"/>
          <w:sz w:val="17"/>
          <w:szCs w:val="17"/>
          <w:color w:val="auto"/>
        </w:rPr>
      </w:pPr>
    </w:p>
    <w:p>
      <w:pPr>
        <w:ind w:left="300" w:hanging="272"/>
        <w:spacing w:after="0"/>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GSV Capital Corp.’s investment in SharesPost, Inc. is held through its wholly-owned subsidiary SPNPM Holdings, LLC.</w:t>
      </w:r>
    </w:p>
    <w:p>
      <w:pPr>
        <w:spacing w:after="0" w:line="128" w:lineRule="exact"/>
        <w:rPr>
          <w:rFonts w:ascii="Arial" w:cs="Arial" w:eastAsia="Arial" w:hAnsi="Arial"/>
          <w:sz w:val="17"/>
          <w:szCs w:val="17"/>
          <w:color w:val="auto"/>
        </w:rPr>
      </w:pPr>
    </w:p>
    <w:p>
      <w:pPr>
        <w:ind w:left="300" w:right="539" w:hanging="272"/>
        <w:spacing w:after="0" w:line="277"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wholly-owned subsidiary GSVC SVDS Holdings, Inc.</w:t>
      </w:r>
    </w:p>
    <w:p>
      <w:pPr>
        <w:spacing w:after="0" w:line="200" w:lineRule="exact"/>
        <w:rPr>
          <w:sz w:val="20"/>
          <w:szCs w:val="20"/>
          <w:color w:val="auto"/>
        </w:rPr>
      </w:pPr>
    </w:p>
    <w:p>
      <w:pPr>
        <w:spacing w:after="0" w:line="295"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jc w:val="both"/>
        <w:ind w:left="280" w:right="519" w:hanging="272"/>
        <w:spacing w:after="0" w:line="279" w:lineRule="auto"/>
        <w:tabs>
          <w:tab w:leader="none" w:pos="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October 22, 2013, Cricket Media (f/k/a ePals Inc.), priced its initial public offering, selling 40,267,333 shares at a price of CAD $0.075 per share. At June 30, 2015, GSV Capital Corp. valued Cricket Media (f/k/a ePals Inc.), based on its June 30, 2015 closing price. GSV Capital Corp.’s Chief Executive Officer, Michael Moe is a Board member of Cricket Media (f/k/a ePals Inc.), which subjects GSV Capital Corp. to insider trading restrictions under Canadian securities law.</w:t>
      </w:r>
    </w:p>
    <w:p>
      <w:pPr>
        <w:spacing w:after="0" w:line="63" w:lineRule="exact"/>
        <w:rPr>
          <w:rFonts w:ascii="Arial" w:cs="Arial" w:eastAsia="Arial" w:hAnsi="Arial"/>
          <w:sz w:val="17"/>
          <w:szCs w:val="17"/>
          <w:color w:val="auto"/>
        </w:rPr>
      </w:pPr>
    </w:p>
    <w:p>
      <w:pPr>
        <w:jc w:val="both"/>
        <w:ind w:left="280" w:right="519" w:hanging="272"/>
        <w:spacing w:after="0" w:line="279" w:lineRule="auto"/>
        <w:tabs>
          <w:tab w:leader="none" w:pos="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March 28, 2014, 2U, Inc. (f/k/a 2tor, Inc.) priced its initial public offering, selling 9,175,000 shares at a price of $13 per share. At June 30, 2015, GSV Capital Corp. valued 2U, Inc. (f/k/a 2tor, Inc.), based on its June 30, 2015 closing price less 10.0% as the shares are subject to trading restrictions under SEC Rule 144. Michael Moe is a Board member of 2U, Inc. (f/k/a 2tor, Inc.), which subjects GSV Capital Corp. to insider trading restrictions under U.S securities law.</w:t>
      </w:r>
    </w:p>
    <w:p>
      <w:pPr>
        <w:spacing w:after="0" w:line="63" w:lineRule="exact"/>
        <w:rPr>
          <w:rFonts w:ascii="Arial" w:cs="Arial" w:eastAsia="Arial" w:hAnsi="Arial"/>
          <w:sz w:val="17"/>
          <w:szCs w:val="17"/>
          <w:color w:val="auto"/>
        </w:rPr>
      </w:pPr>
    </w:p>
    <w:p>
      <w:pPr>
        <w:jc w:val="both"/>
        <w:ind w:left="320" w:right="519" w:hanging="312"/>
        <w:spacing w:after="0" w:line="273" w:lineRule="auto"/>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Refer to “Note 9 — Long Term Liabilities.” In accordance with the terms of the Company’s Convertible Senior Notes payable, the Company deposited $10,867,500 in an escrow account with the Trustee. These funds were used to purchase U.S. Treasury Strips (“Government Securities”) with an original cost of $10,845,236. As of June 30, 2015, 3 of the government securities purchased had matured and the proceeds were used by the trustee in accordance with the terms of the escrow agreement. At June 30, 2015, the remaining government securities are shown on the Condensed Consolidated Schedule of Investments with an amortized cost of $5,485,542.</w:t>
      </w:r>
    </w:p>
    <w:p>
      <w:pPr>
        <w:spacing w:after="0" w:line="70" w:lineRule="exact"/>
        <w:rPr>
          <w:sz w:val="20"/>
          <w:szCs w:val="20"/>
          <w:color w:val="auto"/>
        </w:rPr>
      </w:pPr>
    </w:p>
    <w:p>
      <w:pPr>
        <w:jc w:val="both"/>
        <w:ind w:left="300" w:right="539" w:hanging="296"/>
        <w:spacing w:after="0" w:line="264" w:lineRule="auto"/>
        <w:rPr>
          <w:sz w:val="20"/>
          <w:szCs w:val="20"/>
          <w:color w:val="auto"/>
        </w:rPr>
      </w:pPr>
      <w:r>
        <w:rPr>
          <w:rFonts w:ascii="Arial" w:cs="Arial" w:eastAsia="Arial" w:hAnsi="Arial"/>
          <w:sz w:val="18"/>
          <w:szCs w:val="18"/>
          <w:color w:val="auto"/>
        </w:rPr>
        <w:t>(11)Interest will accrue daily on the unpaid principal balance of the note. Accrued interest is not payable until the earlier of a) the closing of a subsequent equity offering by CUX, Inc., or b) the maturity of the note (November 26, 2018). Interest will compound annually beginning on November 26, 2015.</w:t>
      </w:r>
    </w:p>
    <w:p>
      <w:pPr>
        <w:spacing w:after="0" w:line="73" w:lineRule="exact"/>
        <w:rPr>
          <w:sz w:val="20"/>
          <w:szCs w:val="20"/>
          <w:color w:val="auto"/>
        </w:rPr>
      </w:pPr>
    </w:p>
    <w:p>
      <w:pPr>
        <w:jc w:val="both"/>
        <w:ind w:left="320" w:right="539" w:hanging="312"/>
        <w:spacing w:after="0" w:line="286" w:lineRule="auto"/>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Interest will accrue daily on the unpaid principal balance of the note. Accrued interest is not payable until the earlier of a) the closing of a subsequent equity offering by Earlyshares.com, Inc., or b) the maturity of the note (August 2, 2016). Interest will compound annually beginning on February 26, 2015.</w:t>
      </w:r>
    </w:p>
    <w:p>
      <w:pPr>
        <w:spacing w:after="0" w:line="200" w:lineRule="exact"/>
        <w:rPr>
          <w:sz w:val="20"/>
          <w:szCs w:val="20"/>
          <w:color w:val="auto"/>
        </w:rPr>
      </w:pPr>
    </w:p>
    <w:p>
      <w:pPr>
        <w:spacing w:after="0" w:line="290"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 w:name="page16"/>
    <w:bookmarkEnd w:id="1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057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4"/>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Headquarters/Industry</w:t>
            </w:r>
          </w:p>
        </w:tc>
        <w:tc>
          <w:tcPr>
            <w:tcW w:w="8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82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2660" w:type="dxa"/>
            <w:vAlign w:val="bottom"/>
            <w:tcBorders>
              <w:bottom w:val="single" w:sz="8" w:color="auto"/>
            </w:tcBorders>
            <w:gridSpan w:val="14"/>
            <w:vMerge w:val="continue"/>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56"/>
        </w:trPr>
        <w:tc>
          <w:tcPr>
            <w:tcW w:w="2660" w:type="dxa"/>
            <w:vAlign w:val="bottom"/>
            <w:gridSpan w:val="14"/>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Twitter,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Social Communication</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1,600,600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$27,551,563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$57,413,522</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20.08%</w:t>
            </w:r>
          </w:p>
        </w:tc>
        <w:tc>
          <w:tcPr>
            <w:tcW w:w="0" w:type="dxa"/>
            <w:vAlign w:val="bottom"/>
          </w:tcPr>
          <w:p>
            <w:pPr>
              <w:spacing w:after="0"/>
              <w:rPr>
                <w:sz w:val="1"/>
                <w:szCs w:val="1"/>
                <w:color w:val="auto"/>
              </w:rPr>
            </w:pPr>
          </w:p>
        </w:tc>
      </w:tr>
      <w:tr>
        <w:trPr>
          <w:trHeight w:val="165"/>
        </w:trPr>
        <w:tc>
          <w:tcPr>
            <w:tcW w:w="2660" w:type="dxa"/>
            <w:vAlign w:val="bottom"/>
            <w:gridSpan w:val="14"/>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Palantir Technologies,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Common shares, Class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Palo Alto,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Cyber Security</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5,773,690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16,189,935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42,985,122</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15.03%</w:t>
            </w:r>
          </w:p>
        </w:tc>
        <w:tc>
          <w:tcPr>
            <w:tcW w:w="0" w:type="dxa"/>
            <w:vAlign w:val="bottom"/>
          </w:tcPr>
          <w:p>
            <w:pPr>
              <w:spacing w:after="0"/>
              <w:rPr>
                <w:sz w:val="1"/>
                <w:szCs w:val="1"/>
                <w:color w:val="auto"/>
              </w:rPr>
            </w:pPr>
          </w:p>
        </w:tc>
      </w:tr>
      <w:tr>
        <w:trPr>
          <w:trHeight w:val="206"/>
        </w:trPr>
        <w:tc>
          <w:tcPr>
            <w:tcW w:w="2660" w:type="dxa"/>
            <w:vAlign w:val="bottom"/>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G</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326,797</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1,008,968</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2,490,193</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0.87%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3"/>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17,198,903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45,475,315</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15.90%</w:t>
            </w:r>
          </w:p>
        </w:tc>
        <w:tc>
          <w:tcPr>
            <w:tcW w:w="0" w:type="dxa"/>
            <w:vAlign w:val="bottom"/>
          </w:tcPr>
          <w:p>
            <w:pPr>
              <w:spacing w:after="0"/>
              <w:rPr>
                <w:sz w:val="1"/>
                <w:szCs w:val="1"/>
                <w:color w:val="auto"/>
              </w:rPr>
            </w:pPr>
          </w:p>
        </w:tc>
      </w:tr>
      <w:tr>
        <w:trPr>
          <w:trHeight w:val="156"/>
        </w:trPr>
        <w:tc>
          <w:tcPr>
            <w:tcW w:w="2660" w:type="dxa"/>
            <w:vAlign w:val="bottom"/>
            <w:gridSpan w:val="14"/>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Dropbox,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Online Storage</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760,000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8,641,153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14,516,000</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206"/>
        </w:trPr>
        <w:tc>
          <w:tcPr>
            <w:tcW w:w="2660" w:type="dxa"/>
            <w:vAlign w:val="bottom"/>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A-1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552,486</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5,015,773</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10,552,483</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3"/>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13,656,926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25,068,483</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8.77%</w:t>
            </w:r>
          </w:p>
        </w:tc>
        <w:tc>
          <w:tcPr>
            <w:tcW w:w="0" w:type="dxa"/>
            <w:vAlign w:val="bottom"/>
          </w:tcPr>
          <w:p>
            <w:pPr>
              <w:spacing w:after="0"/>
              <w:rPr>
                <w:sz w:val="1"/>
                <w:szCs w:val="1"/>
                <w:color w:val="auto"/>
              </w:rPr>
            </w:pPr>
          </w:p>
        </w:tc>
      </w:tr>
      <w:tr>
        <w:trPr>
          <w:trHeight w:val="196"/>
        </w:trPr>
        <w:tc>
          <w:tcPr>
            <w:tcW w:w="2660" w:type="dxa"/>
            <w:vAlign w:val="bottom"/>
            <w:gridSpan w:val="14"/>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2U, Inc. (f/k/a 2tor, Inc.)</w:t>
            </w:r>
            <w:r>
              <w:rPr>
                <w:rFonts w:ascii="Arial" w:cs="Arial" w:eastAsia="Arial" w:hAnsi="Arial"/>
                <w:sz w:val="22"/>
                <w:szCs w:val="22"/>
                <w:b w:val="1"/>
                <w:bCs w:val="1"/>
                <w:color w:val="auto"/>
                <w:vertAlign w:val="superscript"/>
              </w:rPr>
              <w:t>(9)</w:t>
            </w:r>
            <w:r>
              <w:rPr>
                <w:rFonts w:ascii="Arial" w:cs="Arial" w:eastAsia="Arial" w:hAnsi="Arial"/>
                <w:sz w:val="14"/>
                <w:szCs w:val="14"/>
                <w:b w:val="1"/>
                <w:bCs w:val="1"/>
                <w:color w:val="auto"/>
              </w:rPr>
              <w:t>**</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Landover, MD</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1,319,233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10,032,117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23,342,509</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165"/>
        </w:trPr>
        <w:tc>
          <w:tcPr>
            <w:tcW w:w="2660" w:type="dxa"/>
            <w:vAlign w:val="bottom"/>
            <w:gridSpan w:val="14"/>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Coursera,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Mountain View,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2,961,399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14,519,519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14,510,855</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165"/>
        </w:trPr>
        <w:tc>
          <w:tcPr>
            <w:tcW w:w="2660" w:type="dxa"/>
            <w:vAlign w:val="bottom"/>
            <w:gridSpan w:val="14"/>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Solexel,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8"/>
              </w:rPr>
              <w:t>Milpitas,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Solar Power</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5,300,158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11,598,648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11,607,346</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06"/>
        </w:trPr>
        <w:tc>
          <w:tcPr>
            <w:tcW w:w="2660" w:type="dxa"/>
            <w:vAlign w:val="bottom"/>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1,613,413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2,419,751</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2,420,120</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3"/>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14,018,399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14,027,466</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196"/>
        </w:trPr>
        <w:tc>
          <w:tcPr>
            <w:tcW w:w="2660" w:type="dxa"/>
            <w:vAlign w:val="bottom"/>
            <w:gridSpan w:val="14"/>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Avenues Global Holdings, LLC</w:t>
            </w:r>
            <w:r>
              <w:rPr>
                <w:rFonts w:ascii="Arial" w:cs="Arial" w:eastAsia="Arial" w:hAnsi="Arial"/>
                <w:sz w:val="22"/>
                <w:szCs w:val="22"/>
                <w:b w:val="1"/>
                <w:bCs w:val="1"/>
                <w:color w:val="auto"/>
                <w:vertAlign w:val="superscript"/>
              </w:rPr>
              <w:t>(3)</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w w:val="91"/>
              </w:rPr>
              <w:t>Preferred shares, Junior Preferred Stock</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Globally-focused</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Private School</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10,014,270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10,151,854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11,303,410</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165"/>
        </w:trPr>
        <w:tc>
          <w:tcPr>
            <w:tcW w:w="2660" w:type="dxa"/>
            <w:vAlign w:val="bottom"/>
            <w:gridSpan w:val="14"/>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SugarCRM,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Cupertino,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Customer Relationship</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Manager</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1,899,799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6,799,392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9,214,025</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06"/>
        </w:trPr>
        <w:tc>
          <w:tcPr>
            <w:tcW w:w="2660" w:type="dxa"/>
            <w:vAlign w:val="bottom"/>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373,134</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1,500,522</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2,046,909</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0.72%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3"/>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8,299,914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11,260,934</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196"/>
        </w:trPr>
        <w:tc>
          <w:tcPr>
            <w:tcW w:w="2660" w:type="dxa"/>
            <w:vAlign w:val="bottom"/>
            <w:gridSpan w:val="14"/>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Ozy Media, Inc.</w:t>
            </w:r>
            <w:r>
              <w:rPr>
                <w:rFonts w:ascii="Arial" w:cs="Arial" w:eastAsia="Arial" w:hAnsi="Arial"/>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Mountain View,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Daily News and</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Information Site</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922,509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4,999,999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4,999,999</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6"/>
        </w:trPr>
        <w:tc>
          <w:tcPr>
            <w:tcW w:w="2660" w:type="dxa"/>
            <w:vAlign w:val="bottom"/>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1,090,909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3,000,200</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4,165,091</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0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Preferred shares, Series Seed</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1,573,000</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40" w:type="dxa"/>
            <w:vAlign w:val="bottom"/>
            <w:gridSpan w:val="13"/>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8,500,199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10,738,090</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196"/>
        </w:trPr>
        <w:tc>
          <w:tcPr>
            <w:tcW w:w="2660" w:type="dxa"/>
            <w:vAlign w:val="bottom"/>
            <w:tcBorders>
              <w:top w:val="single" w:sz="8" w:color="CCEEFF"/>
            </w:tcBorders>
            <w:gridSpan w:val="14"/>
          </w:tcPr>
          <w:p>
            <w:pPr>
              <w:ind w:left="20"/>
              <w:spacing w:after="0" w:line="197" w:lineRule="exact"/>
              <w:rPr>
                <w:sz w:val="20"/>
                <w:szCs w:val="20"/>
                <w:color w:val="auto"/>
              </w:rPr>
            </w:pPr>
            <w:r>
              <w:rPr>
                <w:rFonts w:ascii="Arial" w:cs="Arial" w:eastAsia="Arial" w:hAnsi="Arial"/>
                <w:sz w:val="14"/>
                <w:szCs w:val="14"/>
                <w:b w:val="1"/>
                <w:bCs w:val="1"/>
                <w:color w:val="auto"/>
              </w:rPr>
              <w:t>Declara, Inc.</w:t>
            </w:r>
            <w:r>
              <w:rPr>
                <w:rFonts w:ascii="Arial" w:cs="Arial" w:eastAsia="Arial" w:hAnsi="Arial"/>
                <w:sz w:val="22"/>
                <w:szCs w:val="22"/>
                <w:b w:val="1"/>
                <w:bCs w:val="1"/>
                <w:color w:val="auto"/>
                <w:vertAlign w:val="superscript"/>
              </w:rPr>
              <w:t>(1)</w:t>
            </w:r>
          </w:p>
        </w:tc>
        <w:tc>
          <w:tcPr>
            <w:tcW w:w="6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Palo Alto, CA</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Social Cognitive Learning</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5,358,195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9,999,999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10,019,825</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162"/>
        </w:trPr>
        <w:tc>
          <w:tcPr>
            <w:tcW w:w="2660" w:type="dxa"/>
            <w:vAlign w:val="bottom"/>
            <w:gridSpan w:val="14"/>
          </w:tcPr>
          <w:p>
            <w:pPr>
              <w:ind w:left="20"/>
              <w:spacing w:after="0" w:line="162" w:lineRule="exact"/>
              <w:rPr>
                <w:sz w:val="20"/>
                <w:szCs w:val="20"/>
                <w:color w:val="auto"/>
              </w:rPr>
            </w:pPr>
            <w:r>
              <w:rPr>
                <w:rFonts w:ascii="Arial" w:cs="Arial" w:eastAsia="Arial" w:hAnsi="Arial"/>
                <w:sz w:val="16"/>
                <w:szCs w:val="16"/>
                <w:b w:val="1"/>
                <w:bCs w:val="1"/>
                <w:color w:val="auto"/>
              </w:rPr>
              <w:t>JAMF Holdings, Inc.</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Minneapolis, MN</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Mobile Device</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Management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73,440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9,999,928</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9,999,590</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03"/>
        </w:trPr>
        <w:tc>
          <w:tcPr>
            <w:tcW w:w="2660" w:type="dxa"/>
            <w:vAlign w:val="bottom"/>
            <w:gridSpan w:val="14"/>
          </w:tcPr>
          <w:p>
            <w:pPr>
              <w:ind w:left="20"/>
              <w:spacing w:after="0" w:line="202" w:lineRule="exact"/>
              <w:rPr>
                <w:sz w:val="20"/>
                <w:szCs w:val="20"/>
                <w:color w:val="auto"/>
              </w:rPr>
            </w:pPr>
            <w:r>
              <w:rPr>
                <w:rFonts w:ascii="Arial" w:cs="Arial" w:eastAsia="Arial" w:hAnsi="Arial"/>
                <w:sz w:val="14"/>
                <w:szCs w:val="14"/>
                <w:b w:val="1"/>
                <w:bCs w:val="1"/>
                <w:color w:val="auto"/>
              </w:rPr>
              <w:t>Curious.com Inc.</w:t>
            </w:r>
            <w:r>
              <w:rPr>
                <w:rFonts w:ascii="Arial" w:cs="Arial" w:eastAsia="Arial" w:hAnsi="Arial"/>
                <w:sz w:val="23"/>
                <w:szCs w:val="23"/>
                <w:b w:val="1"/>
                <w:bCs w:val="1"/>
                <w:color w:val="auto"/>
                <w:vertAlign w:val="superscript"/>
              </w:rPr>
              <w:t>(1)</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Menlo Park, CA</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Online Education</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2,839,861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10,000,003</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9,996,311</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-5873750</wp:posOffset>
            </wp:positionV>
            <wp:extent cx="5213985"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-5213350</wp:posOffset>
            </wp:positionV>
            <wp:extent cx="5213985"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-3755390</wp:posOffset>
            </wp:positionV>
            <wp:extent cx="5213985"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-2426335</wp:posOffset>
            </wp:positionV>
            <wp:extent cx="5213985"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-1345565</wp:posOffset>
            </wp:positionV>
            <wp:extent cx="5213985"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 w:name="page17"/>
    <w:bookmarkEnd w:id="1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2"/>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Headquarters/Industry</w:t>
            </w:r>
          </w:p>
        </w:tc>
        <w:tc>
          <w:tcPr>
            <w:tcW w:w="80" w:type="dxa"/>
            <w:vAlign w:val="bottom"/>
          </w:tcPr>
          <w:p>
            <w:pPr>
              <w:spacing w:after="0"/>
              <w:rPr>
                <w:sz w:val="14"/>
                <w:szCs w:val="14"/>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82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660" w:type="dxa"/>
            <w:vAlign w:val="bottom"/>
            <w:tcBorders>
              <w:bottom w:val="single" w:sz="8" w:color="auto"/>
            </w:tcBorders>
            <w:gridSpan w:val="12"/>
            <w:vMerge w:val="continue"/>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96"/>
        </w:trPr>
        <w:tc>
          <w:tcPr>
            <w:tcW w:w="2660" w:type="dxa"/>
            <w:vAlign w:val="bottom"/>
            <w:gridSpan w:val="12"/>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PayNearMe, Inc.</w:t>
            </w:r>
            <w:r>
              <w:rPr>
                <w:rFonts w:ascii="Arial" w:cs="Arial" w:eastAsia="Arial" w:hAnsi="Arial"/>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Sunnyvale, CA</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Cash Payment Network</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3,914,535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w w:val="98"/>
              </w:rPr>
              <w:t>$10,000,401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$ 9,982,064</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StormWind, LLC</w:t>
            </w:r>
            <w:r>
              <w:rPr>
                <w:rFonts w:ascii="Arial" w:cs="Arial" w:eastAsia="Arial" w:hAnsi="Arial"/>
                <w:sz w:val="23"/>
                <w:szCs w:val="23"/>
                <w:b w:val="1"/>
                <w:bCs w:val="1"/>
                <w:color w:val="auto"/>
                <w:vertAlign w:val="superscript"/>
              </w:rPr>
              <w:t>(2)(5)</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Scottsdale, AZ</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Interactive Learning</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2,779,134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4,000,787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4,338,830</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3,279,629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2,019,687</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4,347,608</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0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366,666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391,592</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193"/>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Unit Warrants $1.76 Strike</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640" w:type="dxa"/>
            <w:vAlign w:val="bottom"/>
            <w:gridSpan w:val="11"/>
            <w:shd w:val="clear" w:color="auto" w:fill="CCEEFF"/>
          </w:tcPr>
          <w:p>
            <w:pPr>
              <w:ind w:left="180"/>
              <w:spacing w:after="0"/>
              <w:rPr>
                <w:sz w:val="20"/>
                <w:szCs w:val="20"/>
                <w:color w:val="auto"/>
              </w:rPr>
            </w:pPr>
            <w:r>
              <w:rPr>
                <w:rFonts w:ascii="Arial" w:cs="Arial" w:eastAsia="Arial" w:hAnsi="Arial"/>
                <w:sz w:val="16"/>
                <w:szCs w:val="16"/>
                <w:color w:val="auto"/>
              </w:rPr>
              <w:t>Price, Expiration Date 1/6/15</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568,753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6,130,474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9,078,030</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156"/>
        </w:trPr>
        <w:tc>
          <w:tcPr>
            <w:tcW w:w="2660" w:type="dxa"/>
            <w:vAlign w:val="bottom"/>
            <w:gridSpan w:val="12"/>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Chegg,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Santa Clara, CA</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Textbook Rental</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1,182,792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14,022,863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8,173,093</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165"/>
        </w:trPr>
        <w:tc>
          <w:tcPr>
            <w:tcW w:w="2660" w:type="dxa"/>
            <w:vAlign w:val="bottom"/>
            <w:gridSpan w:val="12"/>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Lytro,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Stock</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Mountain View, CA</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Consumer Electronics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2,533,784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7,500,001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7,500,001</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165"/>
        </w:trPr>
        <w:tc>
          <w:tcPr>
            <w:tcW w:w="2660" w:type="dxa"/>
            <w:vAlign w:val="bottom"/>
            <w:gridSpan w:val="12"/>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General Assembly Space,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126,552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2,999,978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3,125,467</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133,213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2,999,983</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2,999,957</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5,999,961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6,125,424</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156"/>
        </w:trPr>
        <w:tc>
          <w:tcPr>
            <w:tcW w:w="2660" w:type="dxa"/>
            <w:vAlign w:val="bottom"/>
            <w:gridSpan w:val="12"/>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Spotify Technology S.A.**</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Stockholm, Sweden</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Music Streaming Service</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3,658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3,598,472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5,676,873</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Learnist Inc. (f/k/a Grockit, Inc.)</w:t>
            </w:r>
            <w:r>
              <w:rPr>
                <w:rFonts w:ascii="Arial" w:cs="Arial" w:eastAsia="Arial" w:hAnsi="Arial"/>
                <w:sz w:val="23"/>
                <w:szCs w:val="23"/>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Online Learning Platform</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2,728,252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2,005,945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2,319,014</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0.81%</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1,731,501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1,503,670</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1,610,296</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20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F</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1,242,928</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1,450,000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1,450,000</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40" w:type="dxa"/>
            <w:vAlign w:val="bottom"/>
            <w:gridSpan w:val="11"/>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4,959,615</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5,379,310</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12"/>
          </w:tcPr>
          <w:p>
            <w:pPr>
              <w:ind w:left="20"/>
              <w:spacing w:after="0" w:line="155" w:lineRule="exact"/>
              <w:rPr>
                <w:sz w:val="20"/>
                <w:szCs w:val="20"/>
                <w:color w:val="auto"/>
              </w:rPr>
            </w:pPr>
            <w:r>
              <w:rPr>
                <w:rFonts w:ascii="Arial" w:cs="Arial" w:eastAsia="Arial" w:hAnsi="Arial"/>
                <w:sz w:val="16"/>
                <w:szCs w:val="16"/>
                <w:b w:val="1"/>
                <w:bCs w:val="1"/>
                <w:color w:val="auto"/>
              </w:rPr>
              <w:t>Knewton, Inc.</w:t>
            </w:r>
          </w:p>
        </w:tc>
        <w:tc>
          <w:tcPr>
            <w:tcW w:w="6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9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New York, NY</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Online Education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375,985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4,999,999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5,000,601</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162"/>
        </w:trPr>
        <w:tc>
          <w:tcPr>
            <w:tcW w:w="2660" w:type="dxa"/>
            <w:vAlign w:val="bottom"/>
            <w:gridSpan w:val="12"/>
          </w:tcPr>
          <w:p>
            <w:pPr>
              <w:ind w:left="20"/>
              <w:spacing w:after="0" w:line="162" w:lineRule="exact"/>
              <w:rPr>
                <w:sz w:val="20"/>
                <w:szCs w:val="20"/>
                <w:color w:val="auto"/>
              </w:rPr>
            </w:pPr>
            <w:r>
              <w:rPr>
                <w:rFonts w:ascii="Arial" w:cs="Arial" w:eastAsia="Arial" w:hAnsi="Arial"/>
                <w:sz w:val="16"/>
                <w:szCs w:val="16"/>
                <w:b w:val="1"/>
                <w:bCs w:val="1"/>
                <w:color w:val="auto"/>
              </w:rPr>
              <w:t>Course Hero, Inc.</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Redwood City, CA</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Online Education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2,145,509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5,000,001</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5,000,001</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162"/>
        </w:trPr>
        <w:tc>
          <w:tcPr>
            <w:tcW w:w="2660" w:type="dxa"/>
            <w:vAlign w:val="bottom"/>
            <w:gridSpan w:val="12"/>
          </w:tcPr>
          <w:p>
            <w:pPr>
              <w:ind w:left="20"/>
              <w:spacing w:after="0" w:line="162" w:lineRule="exact"/>
              <w:rPr>
                <w:sz w:val="20"/>
                <w:szCs w:val="20"/>
                <w:color w:val="auto"/>
              </w:rPr>
            </w:pPr>
            <w:r>
              <w:rPr>
                <w:rFonts w:ascii="Arial" w:cs="Arial" w:eastAsia="Arial" w:hAnsi="Arial"/>
                <w:sz w:val="16"/>
                <w:szCs w:val="16"/>
                <w:b w:val="1"/>
                <w:bCs w:val="1"/>
                <w:color w:val="auto"/>
              </w:rPr>
              <w:t>Lyft, Inc.</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Peer to Peer Ridesharing</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493,490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5,003,634</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4,999,054</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3"/>
        </w:trPr>
        <w:tc>
          <w:tcPr>
            <w:tcW w:w="2660" w:type="dxa"/>
            <w:vAlign w:val="bottom"/>
            <w:gridSpan w:val="12"/>
          </w:tcPr>
          <w:p>
            <w:pPr>
              <w:ind w:left="20"/>
              <w:spacing w:after="0" w:line="202" w:lineRule="exact"/>
              <w:rPr>
                <w:sz w:val="20"/>
                <w:szCs w:val="20"/>
                <w:color w:val="auto"/>
              </w:rPr>
            </w:pPr>
            <w:r>
              <w:rPr>
                <w:rFonts w:ascii="Arial" w:cs="Arial" w:eastAsia="Arial" w:hAnsi="Arial"/>
                <w:sz w:val="14"/>
                <w:szCs w:val="14"/>
                <w:b w:val="1"/>
                <w:bCs w:val="1"/>
                <w:color w:val="auto"/>
              </w:rPr>
              <w:t>GSV Sustainability Partners</w:t>
            </w:r>
            <w:r>
              <w:rPr>
                <w:rFonts w:ascii="Arial" w:cs="Arial" w:eastAsia="Arial" w:hAnsi="Arial"/>
                <w:sz w:val="23"/>
                <w:szCs w:val="23"/>
                <w:b w:val="1"/>
                <w:bCs w:val="1"/>
                <w:color w:val="auto"/>
                <w:vertAlign w:val="superscript"/>
              </w:rPr>
              <w:t>(2)</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Class A</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Woodside, CA</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Clean Technology</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4,851,256</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4,850,000</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10,000</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4,861,256</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4,860,000</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-4621530</wp:posOffset>
            </wp:positionV>
            <wp:extent cx="5213985"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-3189605</wp:posOffset>
            </wp:positionV>
            <wp:extent cx="5213985"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-1851660</wp:posOffset>
            </wp:positionV>
            <wp:extent cx="5213985"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7" w:name="page18"/>
    <w:bookmarkEnd w:id="1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0"/>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2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6"/>
              </w:rPr>
              <w:t>Headquarters/Industry</w:t>
            </w:r>
          </w:p>
        </w:tc>
        <w:tc>
          <w:tcPr>
            <w:tcW w:w="820" w:type="dxa"/>
            <w:vAlign w:val="bottom"/>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2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82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660" w:type="dxa"/>
            <w:vAlign w:val="bottom"/>
            <w:gridSpan w:val="10"/>
            <w:vMerge w:val="continue"/>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820" w:type="dxa"/>
            <w:vAlign w:val="bottom"/>
          </w:tcPr>
          <w:p>
            <w:pPr>
              <w:jc w:val="right"/>
              <w:ind w:right="12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96"/>
        </w:trPr>
        <w:tc>
          <w:tcPr>
            <w:tcW w:w="2660" w:type="dxa"/>
            <w:vAlign w:val="bottom"/>
            <w:tcBorders>
              <w:top w:val="single" w:sz="8" w:color="auto"/>
            </w:tcBorders>
            <w:gridSpan w:val="10"/>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Fullbridge, Inc.</w:t>
            </w:r>
            <w:r>
              <w:rPr>
                <w:rFonts w:ascii="Arial" w:cs="Arial" w:eastAsia="Arial" w:hAnsi="Arial"/>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5"/>
              </w:rPr>
              <w:t>Cambridge, MA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1"/>
              </w:rPr>
              <w:t>Business Education</w:t>
            </w:r>
          </w:p>
        </w:tc>
        <w:tc>
          <w:tcPr>
            <w:tcW w:w="820" w:type="dxa"/>
            <w:vAlign w:val="bottom"/>
          </w:tcPr>
          <w:p>
            <w:pPr>
              <w:jc w:val="right"/>
              <w:spacing w:after="0"/>
              <w:rPr>
                <w:sz w:val="20"/>
                <w:szCs w:val="20"/>
                <w:color w:val="auto"/>
              </w:rPr>
            </w:pPr>
            <w:r>
              <w:rPr>
                <w:rFonts w:ascii="Arial" w:cs="Arial" w:eastAsia="Arial" w:hAnsi="Arial"/>
                <w:sz w:val="16"/>
                <w:szCs w:val="16"/>
                <w:color w:val="auto"/>
              </w:rPr>
              <w:t>1,728,724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$ 3,193,444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$ 1,625,001</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0.57%</w:t>
            </w:r>
          </w:p>
        </w:tc>
        <w:tc>
          <w:tcPr>
            <w:tcW w:w="0" w:type="dxa"/>
            <w:vAlign w:val="bottom"/>
          </w:tcPr>
          <w:p>
            <w:pPr>
              <w:spacing w:after="0"/>
              <w:rPr>
                <w:sz w:val="1"/>
                <w:szCs w:val="1"/>
                <w:color w:val="auto"/>
              </w:rPr>
            </w:pPr>
          </w:p>
        </w:tc>
      </w:tr>
      <w:tr>
        <w:trPr>
          <w:trHeight w:val="206"/>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1,655,167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2,956,022</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3,111,714</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1.09%</w:t>
            </w:r>
          </w:p>
        </w:tc>
        <w:tc>
          <w:tcPr>
            <w:tcW w:w="0" w:type="dxa"/>
            <w:vAlign w:val="bottom"/>
          </w:tcPr>
          <w:p>
            <w:pPr>
              <w:spacing w:after="0"/>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w w:val="96"/>
              </w:rPr>
              <w:t>Common warrants, $0.91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9"/>
          </w:tcPr>
          <w:p>
            <w:pPr>
              <w:ind w:left="180"/>
              <w:spacing w:after="0"/>
              <w:rPr>
                <w:sz w:val="20"/>
                <w:szCs w:val="20"/>
                <w:color w:val="auto"/>
              </w:rPr>
            </w:pPr>
            <w:r>
              <w:rPr>
                <w:rFonts w:ascii="Arial" w:cs="Arial" w:eastAsia="Arial" w:hAnsi="Arial"/>
                <w:sz w:val="16"/>
                <w:szCs w:val="16"/>
                <w:color w:val="auto"/>
              </w:rPr>
              <w:t>Expiration Date 3/22/2020</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186,170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67,021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1,862</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196"/>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w w:val="96"/>
              </w:rPr>
              <w:t>Common warrants, $0.91 Strike Price,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9"/>
            <w:shd w:val="clear" w:color="auto" w:fill="CCEEFF"/>
          </w:tcPr>
          <w:p>
            <w:pPr>
              <w:ind w:left="180"/>
              <w:spacing w:after="0"/>
              <w:rPr>
                <w:sz w:val="20"/>
                <w:szCs w:val="20"/>
                <w:color w:val="auto"/>
              </w:rPr>
            </w:pPr>
            <w:r>
              <w:rPr>
                <w:rFonts w:ascii="Arial" w:cs="Arial" w:eastAsia="Arial" w:hAnsi="Arial"/>
                <w:sz w:val="16"/>
                <w:szCs w:val="16"/>
                <w:color w:val="auto"/>
              </w:rPr>
              <w:t>Expiration Date 12/11/2018</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9,799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w w:val="96"/>
              </w:rPr>
              <w:t>Common warrants, $0.91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9"/>
          </w:tcPr>
          <w:p>
            <w:pPr>
              <w:ind w:left="180"/>
              <w:spacing w:after="0"/>
              <w:rPr>
                <w:sz w:val="20"/>
                <w:szCs w:val="20"/>
                <w:color w:val="auto"/>
              </w:rPr>
            </w:pPr>
            <w:r>
              <w:rPr>
                <w:rFonts w:ascii="Arial" w:cs="Arial" w:eastAsia="Arial" w:hAnsi="Arial"/>
                <w:sz w:val="16"/>
                <w:szCs w:val="16"/>
                <w:color w:val="auto"/>
              </w:rPr>
              <w:t>Expiration Date 12/11/2018</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412,088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50,970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4,121</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196"/>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w w:val="96"/>
              </w:rPr>
              <w:t>Common warrants, $0.91 Strike Price,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9"/>
            <w:shd w:val="clear" w:color="auto" w:fill="CCEEFF"/>
          </w:tcPr>
          <w:p>
            <w:pPr>
              <w:ind w:left="180"/>
              <w:spacing w:after="0"/>
              <w:rPr>
                <w:sz w:val="20"/>
                <w:szCs w:val="20"/>
                <w:color w:val="auto"/>
              </w:rPr>
            </w:pPr>
            <w:r>
              <w:rPr>
                <w:rFonts w:ascii="Arial" w:cs="Arial" w:eastAsia="Arial" w:hAnsi="Arial"/>
                <w:sz w:val="16"/>
                <w:szCs w:val="16"/>
                <w:color w:val="auto"/>
              </w:rPr>
              <w:t>Expiration Date 5/16/2019</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192,308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23,244</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1,923</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w w:val="96"/>
              </w:rPr>
              <w:t>Common warrants, $0.91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9"/>
          </w:tcPr>
          <w:p>
            <w:pPr>
              <w:ind w:left="180"/>
              <w:spacing w:after="0"/>
              <w:rPr>
                <w:sz w:val="20"/>
                <w:szCs w:val="20"/>
                <w:color w:val="auto"/>
              </w:rPr>
            </w:pPr>
            <w:r>
              <w:rPr>
                <w:rFonts w:ascii="Arial" w:cs="Arial" w:eastAsia="Arial" w:hAnsi="Arial"/>
                <w:sz w:val="16"/>
                <w:szCs w:val="16"/>
                <w:color w:val="auto"/>
              </w:rPr>
              <w:t>Expiration Date 3/22/2020</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714,286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85,779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7,143</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196"/>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w w:val="96"/>
              </w:rPr>
              <w:t>Common warrants, $0.91 Strike Price,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640" w:type="dxa"/>
            <w:vAlign w:val="bottom"/>
            <w:gridSpan w:val="9"/>
            <w:shd w:val="clear" w:color="auto" w:fill="CCEEFF"/>
          </w:tcPr>
          <w:p>
            <w:pPr>
              <w:ind w:left="180"/>
              <w:spacing w:after="0"/>
              <w:rPr>
                <w:sz w:val="20"/>
                <w:szCs w:val="20"/>
                <w:color w:val="auto"/>
              </w:rPr>
            </w:pPr>
            <w:r>
              <w:rPr>
                <w:rFonts w:ascii="Arial" w:cs="Arial" w:eastAsia="Arial" w:hAnsi="Arial"/>
                <w:sz w:val="16"/>
                <w:szCs w:val="16"/>
                <w:color w:val="auto"/>
              </w:rPr>
              <w:t>Expiration Date 10/09/2018</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82,418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9,901</w:t>
            </w:r>
          </w:p>
        </w:tc>
        <w:tc>
          <w:tcPr>
            <w:tcW w:w="14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9"/>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6,396,180</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4,753,412</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1.66%</w:t>
            </w:r>
          </w:p>
        </w:tc>
        <w:tc>
          <w:tcPr>
            <w:tcW w:w="0" w:type="dxa"/>
            <w:vAlign w:val="bottom"/>
          </w:tcPr>
          <w:p>
            <w:pPr>
              <w:spacing w:after="0"/>
              <w:rPr>
                <w:sz w:val="1"/>
                <w:szCs w:val="1"/>
                <w:color w:val="auto"/>
              </w:rPr>
            </w:pPr>
          </w:p>
        </w:tc>
      </w:tr>
      <w:tr>
        <w:trPr>
          <w:trHeight w:val="196"/>
        </w:trPr>
        <w:tc>
          <w:tcPr>
            <w:tcW w:w="2660" w:type="dxa"/>
            <w:vAlign w:val="bottom"/>
            <w:gridSpan w:val="10"/>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Whittle Schools, LLC</w:t>
            </w:r>
            <w:r>
              <w:rPr>
                <w:rFonts w:ascii="Arial" w:cs="Arial" w:eastAsia="Arial" w:hAnsi="Arial"/>
                <w:sz w:val="22"/>
                <w:szCs w:val="22"/>
                <w:b w:val="1"/>
                <w:bCs w:val="1"/>
                <w:color w:val="auto"/>
                <w:vertAlign w:val="superscript"/>
              </w:rPr>
              <w:t>(1)(4)</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7"/>
              </w:rPr>
              <w:t>New York, NY</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3"/>
              </w:rPr>
              <w:t>Globally-focused</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1"/>
              </w:rPr>
              <w:t>Private School</w:t>
            </w:r>
          </w:p>
        </w:tc>
        <w:tc>
          <w:tcPr>
            <w:tcW w:w="820" w:type="dxa"/>
            <w:vAlign w:val="bottom"/>
          </w:tcPr>
          <w:p>
            <w:pPr>
              <w:jc w:val="right"/>
              <w:spacing w:after="0"/>
              <w:rPr>
                <w:sz w:val="20"/>
                <w:szCs w:val="20"/>
                <w:color w:val="auto"/>
              </w:rPr>
            </w:pPr>
            <w:r>
              <w:rPr>
                <w:rFonts w:ascii="Arial" w:cs="Arial" w:eastAsia="Arial" w:hAnsi="Arial"/>
                <w:sz w:val="16"/>
                <w:szCs w:val="16"/>
                <w:color w:val="auto"/>
              </w:rPr>
              <w:t>3,000,000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1.05%</w:t>
            </w:r>
          </w:p>
        </w:tc>
        <w:tc>
          <w:tcPr>
            <w:tcW w:w="0" w:type="dxa"/>
            <w:vAlign w:val="bottom"/>
          </w:tcPr>
          <w:p>
            <w:pPr>
              <w:spacing w:after="0"/>
              <w:rPr>
                <w:sz w:val="1"/>
                <w:szCs w:val="1"/>
                <w:color w:val="auto"/>
              </w:rPr>
            </w:pPr>
          </w:p>
        </w:tc>
      </w:tr>
      <w:tr>
        <w:trPr>
          <w:trHeight w:val="206"/>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1,577,097</w:t>
            </w: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0.52%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9"/>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4,577,097</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4,500,000</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1.57%</w:t>
            </w:r>
          </w:p>
        </w:tc>
        <w:tc>
          <w:tcPr>
            <w:tcW w:w="0" w:type="dxa"/>
            <w:vAlign w:val="bottom"/>
          </w:tcPr>
          <w:p>
            <w:pPr>
              <w:spacing w:after="0"/>
              <w:rPr>
                <w:sz w:val="1"/>
                <w:szCs w:val="1"/>
                <w:color w:val="auto"/>
              </w:rPr>
            </w:pPr>
          </w:p>
        </w:tc>
      </w:tr>
      <w:tr>
        <w:trPr>
          <w:trHeight w:val="196"/>
        </w:trPr>
        <w:tc>
          <w:tcPr>
            <w:tcW w:w="2660" w:type="dxa"/>
            <w:vAlign w:val="bottom"/>
            <w:gridSpan w:val="10"/>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CUX, Inc. (d/b/a CorpU)</w:t>
            </w:r>
            <w:r>
              <w:rPr>
                <w:rFonts w:ascii="Arial" w:cs="Arial" w:eastAsia="Arial" w:hAnsi="Arial"/>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rPr>
              <w:t>Convertible preferred shares,</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1"/>
              </w:rPr>
              <w:t>San Francisco,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9"/>
          </w:tcPr>
          <w:p>
            <w:pPr>
              <w:ind w:left="180"/>
              <w:spacing w:after="0"/>
              <w:rPr>
                <w:sz w:val="20"/>
                <w:szCs w:val="20"/>
                <w:color w:val="auto"/>
              </w:rPr>
            </w:pPr>
            <w:r>
              <w:rPr>
                <w:rFonts w:ascii="Arial" w:cs="Arial" w:eastAsia="Arial" w:hAnsi="Arial"/>
                <w:sz w:val="16"/>
                <w:szCs w:val="16"/>
                <w:color w:val="auto"/>
              </w:rPr>
              <w:t>Series C</w:t>
            </w: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1"/>
              </w:rPr>
              <w:t>Corporate Education</w:t>
            </w:r>
          </w:p>
        </w:tc>
        <w:tc>
          <w:tcPr>
            <w:tcW w:w="820" w:type="dxa"/>
            <w:vAlign w:val="bottom"/>
          </w:tcPr>
          <w:p>
            <w:pPr>
              <w:jc w:val="right"/>
              <w:spacing w:after="0"/>
              <w:rPr>
                <w:sz w:val="20"/>
                <w:szCs w:val="20"/>
                <w:color w:val="auto"/>
              </w:rPr>
            </w:pPr>
            <w:r>
              <w:rPr>
                <w:rFonts w:ascii="Arial" w:cs="Arial" w:eastAsia="Arial" w:hAnsi="Arial"/>
                <w:sz w:val="16"/>
                <w:szCs w:val="16"/>
                <w:color w:val="auto"/>
              </w:rPr>
              <w:t>615,763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2,006,077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2,292,582</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0.80%</w:t>
            </w:r>
          </w:p>
        </w:tc>
        <w:tc>
          <w:tcPr>
            <w:tcW w:w="0" w:type="dxa"/>
            <w:vAlign w:val="bottom"/>
          </w:tcPr>
          <w:p>
            <w:pPr>
              <w:spacing w:after="0"/>
              <w:rPr>
                <w:sz w:val="1"/>
                <w:szCs w:val="1"/>
                <w:color w:val="auto"/>
              </w:rPr>
            </w:pPr>
          </w:p>
        </w:tc>
      </w:tr>
      <w:tr>
        <w:trPr>
          <w:trHeight w:val="196"/>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Senior Subordinated Convertible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640" w:type="dxa"/>
            <w:vAlign w:val="bottom"/>
            <w:gridSpan w:val="9"/>
            <w:shd w:val="clear" w:color="auto" w:fill="CCEEFF"/>
          </w:tcPr>
          <w:p>
            <w:pPr>
              <w:ind w:left="180"/>
              <w:spacing w:after="0"/>
              <w:rPr>
                <w:sz w:val="20"/>
                <w:szCs w:val="20"/>
                <w:color w:val="auto"/>
              </w:rPr>
            </w:pPr>
            <w:r>
              <w:rPr>
                <w:rFonts w:ascii="Arial" w:cs="Arial" w:eastAsia="Arial" w:hAnsi="Arial"/>
                <w:sz w:val="16"/>
                <w:szCs w:val="16"/>
                <w:color w:val="auto"/>
              </w:rPr>
              <w:t>Promissory Note 8%</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0" w:type="dxa"/>
            <w:vAlign w:val="bottom"/>
            <w:shd w:val="clear" w:color="auto" w:fill="CCEEFF"/>
          </w:tcPr>
          <w:p>
            <w:pPr>
              <w:spacing w:after="0"/>
              <w:rPr>
                <w:sz w:val="22"/>
                <w:szCs w:val="22"/>
                <w:color w:val="auto"/>
              </w:rPr>
            </w:pPr>
          </w:p>
        </w:tc>
        <w:tc>
          <w:tcPr>
            <w:tcW w:w="2640" w:type="dxa"/>
            <w:vAlign w:val="bottom"/>
            <w:gridSpan w:val="9"/>
            <w:shd w:val="clear" w:color="auto" w:fill="CCEEFF"/>
          </w:tcPr>
          <w:p>
            <w:pPr>
              <w:ind w:left="180"/>
              <w:spacing w:after="0" w:line="254" w:lineRule="exact"/>
              <w:rPr>
                <w:sz w:val="20"/>
                <w:szCs w:val="20"/>
                <w:color w:val="auto"/>
              </w:rPr>
            </w:pPr>
            <w:r>
              <w:rPr>
                <w:rFonts w:ascii="Arial" w:cs="Arial" w:eastAsia="Arial" w:hAnsi="Arial"/>
                <w:sz w:val="16"/>
                <w:szCs w:val="16"/>
                <w:color w:val="auto"/>
              </w:rPr>
              <w:t>Due 11/26/2018</w:t>
            </w:r>
            <w:r>
              <w:rPr>
                <w:rFonts w:ascii="Arial" w:cs="Arial" w:eastAsia="Arial" w:hAnsi="Arial"/>
                <w:sz w:val="27"/>
                <w:szCs w:val="27"/>
                <w:color w:val="auto"/>
                <w:vertAlign w:val="superscript"/>
              </w:rPr>
              <w:t>(12)</w:t>
            </w:r>
            <w:r>
              <w:rPr>
                <w:rFonts w:ascii="Arial" w:cs="Arial" w:eastAsia="Arial" w:hAnsi="Arial"/>
                <w:sz w:val="16"/>
                <w:szCs w:val="16"/>
                <w:color w:val="auto"/>
              </w:rPr>
              <w:t>***</w:t>
            </w:r>
          </w:p>
        </w:tc>
        <w:tc>
          <w:tcPr>
            <w:tcW w:w="214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1,007,671</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0.35%</w:t>
            </w:r>
          </w:p>
        </w:tc>
        <w:tc>
          <w:tcPr>
            <w:tcW w:w="0" w:type="dxa"/>
            <w:vAlign w:val="bottom"/>
          </w:tcPr>
          <w:p>
            <w:pPr>
              <w:spacing w:after="0"/>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rPr>
              <w:t>Convertible preferred shares,</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9"/>
          </w:tcPr>
          <w:p>
            <w:pPr>
              <w:ind w:left="180"/>
              <w:spacing w:after="0"/>
              <w:rPr>
                <w:sz w:val="20"/>
                <w:szCs w:val="20"/>
                <w:color w:val="auto"/>
              </w:rPr>
            </w:pPr>
            <w:r>
              <w:rPr>
                <w:rFonts w:ascii="Arial" w:cs="Arial" w:eastAsia="Arial" w:hAnsi="Arial"/>
                <w:sz w:val="16"/>
                <w:szCs w:val="16"/>
                <w:color w:val="auto"/>
              </w:rPr>
              <w:t>Series D</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169,033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778,607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716,066</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0.25%</w:t>
            </w:r>
          </w:p>
        </w:tc>
        <w:tc>
          <w:tcPr>
            <w:tcW w:w="0" w:type="dxa"/>
            <w:vAlign w:val="bottom"/>
          </w:tcPr>
          <w:p>
            <w:pPr>
              <w:spacing w:after="0"/>
              <w:rPr>
                <w:sz w:val="1"/>
                <w:szCs w:val="1"/>
                <w:color w:val="auto"/>
              </w:rPr>
            </w:pPr>
          </w:p>
        </w:tc>
      </w:tr>
      <w:tr>
        <w:trPr>
          <w:trHeight w:val="196"/>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w w:val="96"/>
              </w:rPr>
              <w:t>Preferred warrants, $4.59 Strike Price,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640" w:type="dxa"/>
            <w:vAlign w:val="bottom"/>
            <w:gridSpan w:val="9"/>
            <w:shd w:val="clear" w:color="auto" w:fill="CCEEFF"/>
          </w:tcPr>
          <w:p>
            <w:pPr>
              <w:ind w:left="180"/>
              <w:spacing w:after="0"/>
              <w:rPr>
                <w:sz w:val="20"/>
                <w:szCs w:val="20"/>
                <w:color w:val="auto"/>
              </w:rPr>
            </w:pPr>
            <w:r>
              <w:rPr>
                <w:rFonts w:ascii="Arial" w:cs="Arial" w:eastAsia="Arial" w:hAnsi="Arial"/>
                <w:sz w:val="16"/>
                <w:szCs w:val="16"/>
                <w:color w:val="auto"/>
              </w:rPr>
              <w:t>Expiration Date 02/25/2018</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12,508</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9"/>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3,784,684</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4,028,827</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1.40%</w:t>
            </w:r>
          </w:p>
        </w:tc>
        <w:tc>
          <w:tcPr>
            <w:tcW w:w="0" w:type="dxa"/>
            <w:vAlign w:val="bottom"/>
          </w:tcPr>
          <w:p>
            <w:pPr>
              <w:spacing w:after="0"/>
              <w:rPr>
                <w:sz w:val="1"/>
                <w:szCs w:val="1"/>
                <w:color w:val="auto"/>
              </w:rPr>
            </w:pPr>
          </w:p>
        </w:tc>
      </w:tr>
      <w:tr>
        <w:trPr>
          <w:trHeight w:val="156"/>
        </w:trPr>
        <w:tc>
          <w:tcPr>
            <w:tcW w:w="2660" w:type="dxa"/>
            <w:vAlign w:val="bottom"/>
            <w:gridSpan w:val="10"/>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Parchment,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2"/>
              </w:rPr>
              <w:t>Scottsdale, AZ</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2"/>
              </w:rPr>
              <w:t>E-Transcript Exchange</w:t>
            </w:r>
          </w:p>
        </w:tc>
        <w:tc>
          <w:tcPr>
            <w:tcW w:w="820" w:type="dxa"/>
            <w:vAlign w:val="bottom"/>
          </w:tcPr>
          <w:p>
            <w:pPr>
              <w:jc w:val="right"/>
              <w:spacing w:after="0"/>
              <w:rPr>
                <w:sz w:val="20"/>
                <w:szCs w:val="20"/>
                <w:color w:val="auto"/>
              </w:rPr>
            </w:pPr>
            <w:r>
              <w:rPr>
                <w:rFonts w:ascii="Arial" w:cs="Arial" w:eastAsia="Arial" w:hAnsi="Arial"/>
                <w:sz w:val="16"/>
                <w:szCs w:val="16"/>
                <w:color w:val="auto"/>
              </w:rPr>
              <w:t>3,200,512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4,000,982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4,000,640</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1.40%</w:t>
            </w:r>
          </w:p>
        </w:tc>
        <w:tc>
          <w:tcPr>
            <w:tcW w:w="0" w:type="dxa"/>
            <w:vAlign w:val="bottom"/>
          </w:tcPr>
          <w:p>
            <w:pPr>
              <w:spacing w:after="0"/>
              <w:rPr>
                <w:sz w:val="1"/>
                <w:szCs w:val="1"/>
                <w:color w:val="auto"/>
              </w:rPr>
            </w:pPr>
          </w:p>
        </w:tc>
      </w:tr>
      <w:tr>
        <w:trPr>
          <w:trHeight w:val="165"/>
        </w:trPr>
        <w:tc>
          <w:tcPr>
            <w:tcW w:w="2660" w:type="dxa"/>
            <w:vAlign w:val="bottom"/>
            <w:gridSpan w:val="10"/>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Global Education Learning</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gridSpan w:val="8"/>
            <w:shd w:val="clear" w:color="auto" w:fill="CCEEFF"/>
          </w:tcPr>
          <w:p>
            <w:pPr>
              <w:ind w:left="180"/>
              <w:spacing w:after="0" w:line="223" w:lineRule="exact"/>
              <w:rPr>
                <w:sz w:val="20"/>
                <w:szCs w:val="20"/>
                <w:color w:val="auto"/>
              </w:rPr>
            </w:pPr>
            <w:r>
              <w:rPr>
                <w:rFonts w:ascii="Arial" w:cs="Arial" w:eastAsia="Arial" w:hAnsi="Arial"/>
                <w:sz w:val="15"/>
                <w:szCs w:val="15"/>
                <w:b w:val="1"/>
                <w:bCs w:val="1"/>
                <w:color w:val="auto"/>
              </w:rPr>
              <w:t>(Holdings) Ltd.</w:t>
            </w:r>
            <w:r>
              <w:rPr>
                <w:rFonts w:ascii="Arial" w:cs="Arial" w:eastAsia="Arial" w:hAnsi="Arial"/>
                <w:sz w:val="25"/>
                <w:szCs w:val="25"/>
                <w:b w:val="1"/>
                <w:bCs w:val="1"/>
                <w:color w:val="auto"/>
                <w:vertAlign w:val="superscript"/>
              </w:rPr>
              <w:t>(1)</w:t>
            </w:r>
            <w:r>
              <w:rPr>
                <w:rFonts w:ascii="Arial" w:cs="Arial" w:eastAsia="Arial" w:hAnsi="Arial"/>
                <w:sz w:val="15"/>
                <w:szCs w:val="15"/>
                <w:b w:val="1"/>
                <w:bCs w:val="1"/>
                <w:color w:val="auto"/>
              </w:rPr>
              <w:t>**</w:t>
            </w:r>
          </w:p>
        </w:tc>
        <w:tc>
          <w:tcPr>
            <w:tcW w:w="7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left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left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4"/>
              </w:rPr>
              <w:t>Hong Kong</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2"/>
              </w:rPr>
              <w:t>Education Technology</w:t>
            </w:r>
          </w:p>
        </w:tc>
        <w:tc>
          <w:tcPr>
            <w:tcW w:w="820" w:type="dxa"/>
            <w:vAlign w:val="bottom"/>
          </w:tcPr>
          <w:p>
            <w:pPr>
              <w:jc w:val="right"/>
              <w:spacing w:after="0"/>
              <w:rPr>
                <w:sz w:val="20"/>
                <w:szCs w:val="20"/>
                <w:color w:val="auto"/>
              </w:rPr>
            </w:pPr>
            <w:r>
              <w:rPr>
                <w:rFonts w:ascii="Arial" w:cs="Arial" w:eastAsia="Arial" w:hAnsi="Arial"/>
                <w:sz w:val="16"/>
                <w:szCs w:val="16"/>
                <w:color w:val="auto"/>
              </w:rPr>
              <w:t>2,126,475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4,335,769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3,995,221</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1.40%</w:t>
            </w:r>
          </w:p>
        </w:tc>
        <w:tc>
          <w:tcPr>
            <w:tcW w:w="0" w:type="dxa"/>
            <w:vAlign w:val="bottom"/>
          </w:tcPr>
          <w:p>
            <w:pPr>
              <w:spacing w:after="0"/>
              <w:rPr>
                <w:sz w:val="1"/>
                <w:szCs w:val="1"/>
                <w:color w:val="auto"/>
              </w:rPr>
            </w:pPr>
          </w:p>
        </w:tc>
      </w:tr>
      <w:tr>
        <w:trPr>
          <w:trHeight w:val="165"/>
        </w:trPr>
        <w:tc>
          <w:tcPr>
            <w:tcW w:w="2660" w:type="dxa"/>
            <w:vAlign w:val="bottom"/>
            <w:gridSpan w:val="10"/>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Dataminr,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7"/>
              </w:rPr>
              <w:t>New York, NY</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4"/>
              </w:rPr>
              <w:t>Social Media Analytics</w:t>
            </w:r>
          </w:p>
        </w:tc>
        <w:tc>
          <w:tcPr>
            <w:tcW w:w="820" w:type="dxa"/>
            <w:vAlign w:val="bottom"/>
          </w:tcPr>
          <w:p>
            <w:pPr>
              <w:jc w:val="right"/>
              <w:spacing w:after="0"/>
              <w:rPr>
                <w:sz w:val="20"/>
                <w:szCs w:val="20"/>
                <w:color w:val="auto"/>
              </w:rPr>
            </w:pPr>
            <w:r>
              <w:rPr>
                <w:rFonts w:ascii="Arial" w:cs="Arial" w:eastAsia="Arial" w:hAnsi="Arial"/>
                <w:sz w:val="16"/>
                <w:szCs w:val="16"/>
                <w:color w:val="auto"/>
              </w:rPr>
              <w:t>904,977</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2,063,356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2,869,320</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06"/>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301,369</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1,100,909</w:t>
            </w: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1,075,425</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0.38%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9"/>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3,164,265</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3,944,745</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-4029710</wp:posOffset>
            </wp:positionV>
            <wp:extent cx="5213985"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-3215005</wp:posOffset>
            </wp:positionV>
            <wp:extent cx="5213985"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-1731645</wp:posOffset>
            </wp:positionV>
            <wp:extent cx="5213985"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-145415</wp:posOffset>
            </wp:positionV>
            <wp:extent cx="5213985"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8" w:name="page19"/>
    <w:bookmarkEnd w:id="1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3"/>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2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6"/>
              </w:rPr>
              <w:t>Headquarters/Industry</w:t>
            </w:r>
          </w:p>
        </w:tc>
        <w:tc>
          <w:tcPr>
            <w:tcW w:w="820" w:type="dxa"/>
            <w:vAlign w:val="bottom"/>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82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660" w:type="dxa"/>
            <w:vAlign w:val="bottom"/>
            <w:gridSpan w:val="13"/>
            <w:vMerge w:val="continue"/>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820" w:type="dxa"/>
            <w:vAlign w:val="bottom"/>
          </w:tcPr>
          <w:p>
            <w:pPr>
              <w:jc w:val="right"/>
              <w:ind w:right="12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56"/>
        </w:trPr>
        <w:tc>
          <w:tcPr>
            <w:tcW w:w="2660" w:type="dxa"/>
            <w:vAlign w:val="bottom"/>
            <w:tcBorders>
              <w:top w:val="single" w:sz="8" w:color="auto"/>
            </w:tcBorders>
            <w:gridSpan w:val="13"/>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NestGSV, Inc. (d/b/a. GSV Labs,</w:t>
            </w:r>
          </w:p>
        </w:tc>
        <w:tc>
          <w:tcPr>
            <w:tcW w:w="60" w:type="dxa"/>
            <w:vAlign w:val="bottom"/>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gridSpan w:val="10"/>
            <w:shd w:val="clear" w:color="auto" w:fill="CCEEFF"/>
          </w:tcPr>
          <w:p>
            <w:pPr>
              <w:ind w:left="180"/>
              <w:spacing w:after="0" w:line="223" w:lineRule="exact"/>
              <w:rPr>
                <w:sz w:val="20"/>
                <w:szCs w:val="20"/>
                <w:color w:val="auto"/>
              </w:rPr>
            </w:pPr>
            <w:r>
              <w:rPr>
                <w:rFonts w:ascii="Arial" w:cs="Arial" w:eastAsia="Arial" w:hAnsi="Arial"/>
                <w:sz w:val="15"/>
                <w:szCs w:val="15"/>
                <w:b w:val="1"/>
                <w:bCs w:val="1"/>
                <w:color w:val="auto"/>
              </w:rPr>
              <w:t>Inc.),</w:t>
            </w:r>
            <w:r>
              <w:rPr>
                <w:rFonts w:ascii="Arial" w:cs="Arial" w:eastAsia="Arial" w:hAnsi="Arial"/>
                <w:sz w:val="25"/>
                <w:szCs w:val="25"/>
                <w:b w:val="1"/>
                <w:bCs w:val="1"/>
                <w:color w:val="auto"/>
                <w:vertAlign w:val="superscript"/>
              </w:rPr>
              <w:t>(2)</w:t>
            </w:r>
          </w:p>
        </w:tc>
        <w:tc>
          <w:tcPr>
            <w:tcW w:w="400" w:type="dxa"/>
            <w:vAlign w:val="bottom"/>
            <w:tcBorders>
              <w:top w:val="single" w:sz="8" w:color="CCEEFF"/>
            </w:tcBorders>
            <w:gridSpan w:val="2"/>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left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left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4"/>
              </w:rPr>
              <w:t>Redwood City,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40"/>
              <w:spacing w:after="0"/>
              <w:rPr>
                <w:sz w:val="20"/>
                <w:szCs w:val="20"/>
                <w:color w:val="auto"/>
              </w:rPr>
            </w:pPr>
            <w:r>
              <w:rPr>
                <w:rFonts w:ascii="Arial" w:cs="Arial" w:eastAsia="Arial" w:hAnsi="Arial"/>
                <w:sz w:val="16"/>
                <w:szCs w:val="16"/>
                <w:color w:val="auto"/>
                <w:w w:val="92"/>
              </w:rPr>
              <w:t>Incubator</w:t>
            </w:r>
          </w:p>
        </w:tc>
        <w:tc>
          <w:tcPr>
            <w:tcW w:w="820" w:type="dxa"/>
            <w:vAlign w:val="bottom"/>
          </w:tcPr>
          <w:p>
            <w:pPr>
              <w:jc w:val="right"/>
              <w:spacing w:after="0"/>
              <w:rPr>
                <w:sz w:val="20"/>
                <w:szCs w:val="20"/>
                <w:color w:val="auto"/>
              </w:rPr>
            </w:pPr>
            <w:r>
              <w:rPr>
                <w:rFonts w:ascii="Arial" w:cs="Arial" w:eastAsia="Arial" w:hAnsi="Arial"/>
                <w:sz w:val="16"/>
                <w:szCs w:val="16"/>
                <w:color w:val="auto"/>
              </w:rPr>
              <w:t>1,561,625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$ 2,005,730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$ 1,503,832</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0.53%</w:t>
            </w:r>
          </w:p>
        </w:tc>
        <w:tc>
          <w:tcPr>
            <w:tcW w:w="0" w:type="dxa"/>
            <w:vAlign w:val="bottom"/>
          </w:tcPr>
          <w:p>
            <w:pPr>
              <w:spacing w:after="0"/>
              <w:rPr>
                <w:sz w:val="1"/>
                <w:szCs w:val="1"/>
                <w:color w:val="auto"/>
              </w:rPr>
            </w:pPr>
          </w:p>
        </w:tc>
      </w:tr>
      <w:tr>
        <w:trPr>
          <w:trHeight w:val="206"/>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1,095,418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1,404,499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1,460,557</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0.51%</w:t>
            </w:r>
          </w:p>
        </w:tc>
        <w:tc>
          <w:tcPr>
            <w:tcW w:w="0" w:type="dxa"/>
            <w:vAlign w:val="bottom"/>
          </w:tcPr>
          <w:p>
            <w:pPr>
              <w:spacing w:after="0"/>
              <w:rPr>
                <w:sz w:val="1"/>
                <w:szCs w:val="1"/>
                <w:color w:val="auto"/>
              </w:rPr>
            </w:pPr>
          </w:p>
        </w:tc>
      </w:tr>
      <w:tr>
        <w:trPr>
          <w:trHeight w:val="20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1,000,000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1,021,778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440,000</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0.15%</w:t>
            </w:r>
          </w:p>
        </w:tc>
        <w:tc>
          <w:tcPr>
            <w:tcW w:w="0" w:type="dxa"/>
            <w:vAlign w:val="bottom"/>
          </w:tcPr>
          <w:p>
            <w:pPr>
              <w:spacing w:after="0"/>
              <w:rPr>
                <w:sz w:val="1"/>
                <w:szCs w:val="1"/>
                <w:color w:val="auto"/>
              </w:rPr>
            </w:pPr>
          </w:p>
        </w:tc>
      </w:tr>
      <w:tr>
        <w:trPr>
          <w:trHeight w:val="20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605,500</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265,980</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0.09%</w:t>
            </w:r>
          </w:p>
        </w:tc>
        <w:tc>
          <w:tcPr>
            <w:tcW w:w="0" w:type="dxa"/>
            <w:vAlign w:val="bottom"/>
          </w:tcPr>
          <w:p>
            <w:pPr>
              <w:spacing w:after="0"/>
              <w:rPr>
                <w:sz w:val="1"/>
                <w:szCs w:val="1"/>
                <w:color w:val="auto"/>
              </w:rPr>
            </w:pPr>
          </w:p>
        </w:tc>
      </w:tr>
      <w:tr>
        <w:trPr>
          <w:trHeight w:val="20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200,000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Warrant Series D – $1.33</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64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Strike Price, Expiration Date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6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10/6/2019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0.02%</w:t>
            </w:r>
          </w:p>
        </w:tc>
        <w:tc>
          <w:tcPr>
            <w:tcW w:w="0" w:type="dxa"/>
            <w:vAlign w:val="bottom"/>
          </w:tcPr>
          <w:p>
            <w:pPr>
              <w:spacing w:after="0"/>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warrants, Series C – $1.33</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Strike Price, Expiration Date</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60" w:type="dxa"/>
            <w:vAlign w:val="bottom"/>
            <w:gridSpan w:val="4"/>
          </w:tcPr>
          <w:p>
            <w:pPr>
              <w:ind w:left="200"/>
              <w:spacing w:after="0"/>
              <w:rPr>
                <w:sz w:val="20"/>
                <w:szCs w:val="20"/>
                <w:color w:val="auto"/>
              </w:rPr>
            </w:pPr>
            <w:r>
              <w:rPr>
                <w:rFonts w:ascii="Arial" w:cs="Arial" w:eastAsia="Arial" w:hAnsi="Arial"/>
                <w:sz w:val="16"/>
                <w:szCs w:val="16"/>
                <w:color w:val="auto"/>
              </w:rPr>
              <w:t>4/9/2019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187,500</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24,375</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5,038,507</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3,760,744</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1.31%</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13"/>
          </w:tcPr>
          <w:p>
            <w:pPr>
              <w:ind w:left="20"/>
              <w:spacing w:after="0" w:line="155" w:lineRule="exact"/>
              <w:rPr>
                <w:sz w:val="20"/>
                <w:szCs w:val="20"/>
                <w:color w:val="auto"/>
              </w:rPr>
            </w:pPr>
            <w:r>
              <w:rPr>
                <w:rFonts w:ascii="Arial" w:cs="Arial" w:eastAsia="Arial" w:hAnsi="Arial"/>
                <w:sz w:val="16"/>
                <w:szCs w:val="16"/>
                <w:b w:val="1"/>
                <w:bCs w:val="1"/>
                <w:color w:val="auto"/>
              </w:rPr>
              <w:t>Bloom Energy Corporation</w:t>
            </w:r>
          </w:p>
        </w:tc>
        <w:tc>
          <w:tcPr>
            <w:tcW w:w="6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4"/>
              </w:rPr>
              <w:t>Sunnyvale, CA</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4"/>
              </w:rPr>
              <w:t>Fuel Cell Energy</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201,589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3,855,601</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3,357,969</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1.17%</w:t>
            </w:r>
          </w:p>
        </w:tc>
        <w:tc>
          <w:tcPr>
            <w:tcW w:w="0" w:type="dxa"/>
            <w:vAlign w:val="bottom"/>
          </w:tcPr>
          <w:p>
            <w:pPr>
              <w:spacing w:after="0"/>
              <w:rPr>
                <w:sz w:val="1"/>
                <w:szCs w:val="1"/>
                <w:color w:val="auto"/>
              </w:rPr>
            </w:pPr>
          </w:p>
        </w:tc>
      </w:tr>
      <w:tr>
        <w:trPr>
          <w:trHeight w:val="162"/>
        </w:trPr>
        <w:tc>
          <w:tcPr>
            <w:tcW w:w="2660" w:type="dxa"/>
            <w:vAlign w:val="bottom"/>
            <w:gridSpan w:val="13"/>
          </w:tcPr>
          <w:p>
            <w:pPr>
              <w:ind w:left="20"/>
              <w:spacing w:after="0" w:line="162" w:lineRule="exact"/>
              <w:rPr>
                <w:sz w:val="20"/>
                <w:szCs w:val="20"/>
                <w:color w:val="auto"/>
              </w:rPr>
            </w:pPr>
            <w:r>
              <w:rPr>
                <w:rFonts w:ascii="Arial" w:cs="Arial" w:eastAsia="Arial" w:hAnsi="Arial"/>
                <w:sz w:val="16"/>
                <w:szCs w:val="16"/>
                <w:b w:val="1"/>
                <w:bCs w:val="1"/>
                <w:color w:val="auto"/>
              </w:rPr>
              <w:t>Gilt Groupe Holdings, Inc.</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40"/>
              <w:spacing w:after="0"/>
              <w:rPr>
                <w:sz w:val="20"/>
                <w:szCs w:val="20"/>
                <w:color w:val="auto"/>
              </w:rPr>
            </w:pPr>
            <w:r>
              <w:rPr>
                <w:rFonts w:ascii="Arial" w:cs="Arial" w:eastAsia="Arial" w:hAnsi="Arial"/>
                <w:sz w:val="16"/>
                <w:szCs w:val="16"/>
                <w:color w:val="auto"/>
                <w:w w:val="97"/>
              </w:rPr>
              <w:t>New York, NY</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88"/>
              </w:rPr>
              <w:t>e-Commerce Flash Sales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6,594,433</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3,168,108</w:t>
            </w:r>
          </w:p>
        </w:tc>
        <w:tc>
          <w:tcPr>
            <w:tcW w:w="740" w:type="dxa"/>
            <w:vAlign w:val="bottom"/>
            <w:tcBorders>
              <w:left w:val="single" w:sz="8" w:color="CCEEFF"/>
            </w:tcBorders>
            <w:gridSpan w:val="3"/>
            <w:shd w:val="clear" w:color="auto" w:fill="CCEEFF"/>
          </w:tcPr>
          <w:p>
            <w:pPr>
              <w:jc w:val="center"/>
              <w:ind w:left="99"/>
              <w:spacing w:after="0"/>
              <w:rPr>
                <w:sz w:val="20"/>
                <w:szCs w:val="20"/>
                <w:color w:val="auto"/>
              </w:rPr>
            </w:pPr>
            <w:r>
              <w:rPr>
                <w:rFonts w:ascii="Arial" w:cs="Arial" w:eastAsia="Arial" w:hAnsi="Arial"/>
                <w:sz w:val="16"/>
                <w:szCs w:val="16"/>
                <w:color w:val="auto"/>
                <w:w w:val="88"/>
              </w:rPr>
              <w:t>1.11%</w:t>
            </w:r>
          </w:p>
        </w:tc>
        <w:tc>
          <w:tcPr>
            <w:tcW w:w="0" w:type="dxa"/>
            <w:vAlign w:val="bottom"/>
          </w:tcPr>
          <w:p>
            <w:pPr>
              <w:spacing w:after="0"/>
              <w:rPr>
                <w:sz w:val="1"/>
                <w:szCs w:val="1"/>
                <w:color w:val="auto"/>
              </w:rPr>
            </w:pPr>
          </w:p>
        </w:tc>
      </w:tr>
      <w:tr>
        <w:trPr>
          <w:trHeight w:val="203"/>
        </w:trPr>
        <w:tc>
          <w:tcPr>
            <w:tcW w:w="2660" w:type="dxa"/>
            <w:vAlign w:val="bottom"/>
            <w:gridSpan w:val="13"/>
          </w:tcPr>
          <w:p>
            <w:pPr>
              <w:ind w:left="20"/>
              <w:spacing w:after="0" w:line="202" w:lineRule="exact"/>
              <w:rPr>
                <w:sz w:val="20"/>
                <w:szCs w:val="20"/>
                <w:color w:val="auto"/>
              </w:rPr>
            </w:pPr>
            <w:r>
              <w:rPr>
                <w:rFonts w:ascii="Arial" w:cs="Arial" w:eastAsia="Arial" w:hAnsi="Arial"/>
                <w:sz w:val="14"/>
                <w:szCs w:val="14"/>
                <w:b w:val="1"/>
                <w:bCs w:val="1"/>
                <w:color w:val="auto"/>
              </w:rPr>
              <w:t>SharesPost, Inc.</w:t>
            </w:r>
            <w:r>
              <w:rPr>
                <w:rFonts w:ascii="Arial" w:cs="Arial" w:eastAsia="Arial" w:hAnsi="Arial"/>
                <w:sz w:val="23"/>
                <w:szCs w:val="23"/>
                <w:b w:val="1"/>
                <w:bCs w:val="1"/>
                <w:color w:val="auto"/>
                <w:vertAlign w:val="superscript"/>
              </w:rPr>
              <w:t>(1)(6)</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3"/>
              </w:rPr>
              <w:t>San Bruno, CA</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8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2"/>
              </w:rPr>
              <w:t>Online Marketplace</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1"/>
              </w:rPr>
              <w:t>Finance</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1,771,653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2,259,716</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2,249,999</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0.79%</w:t>
            </w:r>
          </w:p>
        </w:tc>
        <w:tc>
          <w:tcPr>
            <w:tcW w:w="0" w:type="dxa"/>
            <w:vAlign w:val="bottom"/>
          </w:tcPr>
          <w:p>
            <w:pPr>
              <w:spacing w:after="0"/>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w w:val="96"/>
              </w:rPr>
              <w:t>Common warrants, $0.13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Expiration Date 6/15/2018</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770,934</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23,128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485,688</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2,282,844</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2,735,687</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0.96%</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13"/>
          </w:tcPr>
          <w:p>
            <w:pPr>
              <w:ind w:left="20"/>
              <w:spacing w:after="0" w:line="155" w:lineRule="exact"/>
              <w:rPr>
                <w:sz w:val="20"/>
                <w:szCs w:val="20"/>
                <w:color w:val="auto"/>
              </w:rPr>
            </w:pPr>
            <w:r>
              <w:rPr>
                <w:rFonts w:ascii="Arial" w:cs="Arial" w:eastAsia="Arial" w:hAnsi="Arial"/>
                <w:sz w:val="16"/>
                <w:szCs w:val="16"/>
                <w:b w:val="1"/>
                <w:bCs w:val="1"/>
                <w:color w:val="auto"/>
              </w:rPr>
              <w:t>DogVacay, Inc.</w:t>
            </w:r>
          </w:p>
        </w:tc>
        <w:tc>
          <w:tcPr>
            <w:tcW w:w="6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B-1</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3"/>
              </w:rPr>
              <w:t>Santa Monica, CA</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3"/>
              </w:rPr>
              <w:t>Dog Boarding</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514,562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2,506,119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2,505,917</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0.88%</w:t>
            </w:r>
          </w:p>
        </w:tc>
        <w:tc>
          <w:tcPr>
            <w:tcW w:w="0" w:type="dxa"/>
            <w:vAlign w:val="bottom"/>
          </w:tcPr>
          <w:p>
            <w:pPr>
              <w:spacing w:after="0"/>
              <w:rPr>
                <w:sz w:val="1"/>
                <w:szCs w:val="1"/>
                <w:color w:val="auto"/>
              </w:rPr>
            </w:pPr>
          </w:p>
        </w:tc>
      </w:tr>
      <w:tr>
        <w:trPr>
          <w:trHeight w:val="162"/>
        </w:trPr>
        <w:tc>
          <w:tcPr>
            <w:tcW w:w="2660" w:type="dxa"/>
            <w:vAlign w:val="bottom"/>
            <w:gridSpan w:val="13"/>
          </w:tcPr>
          <w:p>
            <w:pPr>
              <w:ind w:left="20"/>
              <w:spacing w:after="0" w:line="162" w:lineRule="exact"/>
              <w:rPr>
                <w:sz w:val="20"/>
                <w:szCs w:val="20"/>
                <w:color w:val="auto"/>
              </w:rPr>
            </w:pPr>
            <w:r>
              <w:rPr>
                <w:rFonts w:ascii="Arial" w:cs="Arial" w:eastAsia="Arial" w:hAnsi="Arial"/>
                <w:sz w:val="16"/>
                <w:szCs w:val="16"/>
                <w:b w:val="1"/>
                <w:bCs w:val="1"/>
                <w:color w:val="auto"/>
              </w:rPr>
              <w:t>DreamBox Learning, Inc.</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A-1</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5"/>
              </w:rPr>
              <w:t>Bellevue, WA</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40"/>
              <w:spacing w:after="0"/>
              <w:rPr>
                <w:sz w:val="20"/>
                <w:szCs w:val="20"/>
                <w:color w:val="auto"/>
              </w:rPr>
            </w:pPr>
            <w:r>
              <w:rPr>
                <w:rFonts w:ascii="Arial" w:cs="Arial" w:eastAsia="Arial" w:hAnsi="Arial"/>
                <w:sz w:val="16"/>
                <w:szCs w:val="16"/>
                <w:color w:val="auto"/>
                <w:w w:val="92"/>
              </w:rPr>
              <w:t>Education Technology</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7,159,221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1,502,362</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1,606,388</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0.56%</w:t>
            </w:r>
          </w:p>
        </w:tc>
        <w:tc>
          <w:tcPr>
            <w:tcW w:w="0" w:type="dxa"/>
            <w:vAlign w:val="bottom"/>
          </w:tcPr>
          <w:p>
            <w:pPr>
              <w:spacing w:after="0"/>
              <w:rPr>
                <w:sz w:val="1"/>
                <w:szCs w:val="1"/>
                <w:color w:val="auto"/>
              </w:rPr>
            </w:pPr>
          </w:p>
        </w:tc>
      </w:tr>
      <w:tr>
        <w:trPr>
          <w:trHeight w:val="20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3,579,610</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758,017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803,194</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4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2,260,379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2,409,582</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0.84%</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13"/>
          </w:tcPr>
          <w:p>
            <w:pPr>
              <w:ind w:left="20"/>
              <w:spacing w:after="0" w:line="155" w:lineRule="exact"/>
              <w:rPr>
                <w:sz w:val="20"/>
                <w:szCs w:val="20"/>
                <w:color w:val="auto"/>
              </w:rPr>
            </w:pPr>
            <w:r>
              <w:rPr>
                <w:rFonts w:ascii="Arial" w:cs="Arial" w:eastAsia="Arial" w:hAnsi="Arial"/>
                <w:sz w:val="16"/>
                <w:szCs w:val="16"/>
                <w:b w:val="1"/>
                <w:bCs w:val="1"/>
                <w:color w:val="auto"/>
                <w:w w:val="99"/>
              </w:rPr>
              <w:t>Circle Media (f/k/a. S3 Digital Corp.</w:t>
            </w:r>
          </w:p>
        </w:tc>
        <w:tc>
          <w:tcPr>
            <w:tcW w:w="6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tcBorders>
              <w:top w:val="single" w:sz="8" w:color="auto"/>
            </w:tcBorders>
            <w:gridSpan w:val="11"/>
          </w:tcPr>
          <w:p>
            <w:pPr>
              <w:ind w:left="180"/>
              <w:spacing w:after="0" w:line="223" w:lineRule="exact"/>
              <w:rPr>
                <w:sz w:val="20"/>
                <w:szCs w:val="20"/>
                <w:color w:val="auto"/>
              </w:rPr>
            </w:pPr>
            <w:r>
              <w:rPr>
                <w:rFonts w:ascii="Arial" w:cs="Arial" w:eastAsia="Arial" w:hAnsi="Arial"/>
                <w:sz w:val="15"/>
                <w:szCs w:val="15"/>
                <w:b w:val="1"/>
                <w:bCs w:val="1"/>
                <w:color w:val="auto"/>
              </w:rPr>
              <w:t>(d/b/a S3i))</w:t>
            </w:r>
            <w:r>
              <w:rPr>
                <w:rFonts w:ascii="Arial" w:cs="Arial" w:eastAsia="Arial" w:hAnsi="Arial"/>
                <w:sz w:val="25"/>
                <w:szCs w:val="25"/>
                <w:b w:val="1"/>
                <w:bCs w:val="1"/>
                <w:color w:val="auto"/>
                <w:vertAlign w:val="superscript"/>
              </w:rPr>
              <w:t>(1)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40"/>
              <w:spacing w:after="0"/>
              <w:rPr>
                <w:sz w:val="20"/>
                <w:szCs w:val="20"/>
                <w:color w:val="auto"/>
              </w:rPr>
            </w:pPr>
            <w:r>
              <w:rPr>
                <w:rFonts w:ascii="Arial" w:cs="Arial" w:eastAsia="Arial" w:hAnsi="Arial"/>
                <w:sz w:val="16"/>
                <w:szCs w:val="16"/>
                <w:color w:val="auto"/>
                <w:w w:val="97"/>
              </w:rPr>
              <w:t>New York, NY</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4"/>
              </w:rPr>
              <w:t>Sports Analytics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1,462,269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1,496,059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1,705,006</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0.60%</w:t>
            </w:r>
          </w:p>
        </w:tc>
        <w:tc>
          <w:tcPr>
            <w:tcW w:w="0" w:type="dxa"/>
            <w:vAlign w:val="bottom"/>
          </w:tcPr>
          <w:p>
            <w:pPr>
              <w:spacing w:after="0"/>
              <w:rPr>
                <w:sz w:val="1"/>
                <w:szCs w:val="1"/>
                <w:color w:val="auto"/>
              </w:rPr>
            </w:pPr>
          </w:p>
        </w:tc>
      </w:tr>
      <w:tr>
        <w:trPr>
          <w:trHeight w:val="20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Term Loan, 12%, 09/30/15***</w:t>
            </w:r>
          </w:p>
        </w:tc>
        <w:tc>
          <w:tcPr>
            <w:tcW w:w="214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272,500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283,901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288,114</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0.10%</w:t>
            </w:r>
          </w:p>
        </w:tc>
        <w:tc>
          <w:tcPr>
            <w:tcW w:w="0" w:type="dxa"/>
            <w:vAlign w:val="bottom"/>
          </w:tcPr>
          <w:p>
            <w:pPr>
              <w:spacing w:after="0"/>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w w:val="96"/>
              </w:rPr>
              <w:t>Preferred warrants, $1.17 Strike Price,</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Expiration Date 08/29/2021</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175,815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58,019</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0.02%</w:t>
            </w:r>
          </w:p>
        </w:tc>
        <w:tc>
          <w:tcPr>
            <w:tcW w:w="0" w:type="dxa"/>
            <w:vAlign w:val="bottom"/>
          </w:tcPr>
          <w:p>
            <w:pPr>
              <w:spacing w:after="0"/>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w w:val="96"/>
              </w:rPr>
              <w:t>Preferred warrants, $1.17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Expiration Date 09/30/2020</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160,806</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64,322</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0.02%</w:t>
            </w:r>
          </w:p>
        </w:tc>
        <w:tc>
          <w:tcPr>
            <w:tcW w:w="0" w:type="dxa"/>
            <w:vAlign w:val="bottom"/>
          </w:tcPr>
          <w:p>
            <w:pPr>
              <w:spacing w:after="0"/>
              <w:rPr>
                <w:sz w:val="1"/>
                <w:szCs w:val="1"/>
                <w:color w:val="auto"/>
              </w:rPr>
            </w:pPr>
          </w:p>
        </w:tc>
      </w:tr>
      <w:tr>
        <w:trPr>
          <w:trHeight w:val="196"/>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w w:val="96"/>
              </w:rPr>
              <w:t>Preferred warrants, $1.16 Strike Price,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Expiration Date 6/26/2021</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38,594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12,736</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w w:val="96"/>
              </w:rPr>
              <w:t>Preferred warrants, $1.00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Expiration Date 11/21/2017</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31,354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165,000</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1,811,314</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2,293,197</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0.80%</w:t>
            </w:r>
          </w:p>
        </w:tc>
        <w:tc>
          <w:tcPr>
            <w:tcW w:w="0" w:type="dxa"/>
            <w:vAlign w:val="bottom"/>
          </w:tcPr>
          <w:p>
            <w:pPr>
              <w:spacing w:after="0"/>
              <w:rPr>
                <w:sz w:val="1"/>
                <w:szCs w:val="1"/>
                <w:color w:val="auto"/>
              </w:rPr>
            </w:pPr>
          </w:p>
        </w:tc>
      </w:tr>
      <w:tr>
        <w:trPr>
          <w:trHeight w:val="196"/>
        </w:trPr>
        <w:tc>
          <w:tcPr>
            <w:tcW w:w="2660" w:type="dxa"/>
            <w:vAlign w:val="bottom"/>
            <w:tcBorders>
              <w:top w:val="single" w:sz="8" w:color="CCEEFF"/>
            </w:tcBorders>
            <w:gridSpan w:val="13"/>
          </w:tcPr>
          <w:p>
            <w:pPr>
              <w:ind w:left="20"/>
              <w:spacing w:after="0" w:line="197" w:lineRule="exact"/>
              <w:rPr>
                <w:sz w:val="20"/>
                <w:szCs w:val="20"/>
                <w:color w:val="auto"/>
              </w:rPr>
            </w:pPr>
            <w:r>
              <w:rPr>
                <w:rFonts w:ascii="Arial" w:cs="Arial" w:eastAsia="Arial" w:hAnsi="Arial"/>
                <w:sz w:val="14"/>
                <w:szCs w:val="14"/>
                <w:b w:val="1"/>
                <w:bCs w:val="1"/>
                <w:color w:val="auto"/>
              </w:rPr>
              <w:t>Maven Research, Inc.</w:t>
            </w:r>
            <w:r>
              <w:rPr>
                <w:rFonts w:ascii="Arial" w:cs="Arial" w:eastAsia="Arial" w:hAnsi="Arial"/>
                <w:sz w:val="22"/>
                <w:szCs w:val="22"/>
                <w:b w:val="1"/>
                <w:bCs w:val="1"/>
                <w:color w:val="auto"/>
                <w:vertAlign w:val="superscript"/>
              </w:rPr>
              <w:t>(1)</w:t>
            </w:r>
          </w:p>
        </w:tc>
        <w:tc>
          <w:tcPr>
            <w:tcW w:w="6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40"/>
              <w:spacing w:after="0"/>
              <w:rPr>
                <w:sz w:val="20"/>
                <w:szCs w:val="20"/>
                <w:color w:val="auto"/>
              </w:rPr>
            </w:pPr>
            <w:r>
              <w:rPr>
                <w:rFonts w:ascii="Arial" w:cs="Arial" w:eastAsia="Arial" w:hAnsi="Arial"/>
                <w:sz w:val="16"/>
                <w:szCs w:val="16"/>
                <w:color w:val="auto"/>
                <w:w w:val="91"/>
              </w:rPr>
              <w:t>San Francisco, CA</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3"/>
              </w:rPr>
              <w:t>Knowledge Networks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318,979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2,000,447</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1,999,998</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0.70%</w:t>
            </w:r>
          </w:p>
        </w:tc>
        <w:tc>
          <w:tcPr>
            <w:tcW w:w="0" w:type="dxa"/>
            <w:vAlign w:val="bottom"/>
          </w:tcPr>
          <w:p>
            <w:pPr>
              <w:spacing w:after="0"/>
              <w:rPr>
                <w:sz w:val="1"/>
                <w:szCs w:val="1"/>
                <w:color w:val="auto"/>
              </w:rPr>
            </w:pPr>
          </w:p>
        </w:tc>
      </w:tr>
      <w:tr>
        <w:trPr>
          <w:trHeight w:val="20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49,505</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217,206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249,691</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4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2,217,653</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2,249,689</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0.79%</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-5299075</wp:posOffset>
            </wp:positionV>
            <wp:extent cx="521398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-3583940</wp:posOffset>
            </wp:positionV>
            <wp:extent cx="521398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-2538095</wp:posOffset>
            </wp:positionV>
            <wp:extent cx="5213985" cy="291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-694055</wp:posOffset>
            </wp:positionV>
            <wp:extent cx="5213985" cy="163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734" w:gutter="0" w:footer="0" w:header="0"/>
        </w:sectPr>
      </w:pPr>
    </w:p>
    <w:bookmarkStart w:id="19" w:name="page20"/>
    <w:bookmarkEnd w:id="1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6"/>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2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6"/>
              </w:rPr>
              <w:t>Headquarters/Industry</w:t>
            </w:r>
          </w:p>
        </w:tc>
        <w:tc>
          <w:tcPr>
            <w:tcW w:w="820" w:type="dxa"/>
            <w:vAlign w:val="bottom"/>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8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88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660" w:type="dxa"/>
            <w:vAlign w:val="bottom"/>
            <w:gridSpan w:val="16"/>
            <w:vMerge w:val="continue"/>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820" w:type="dxa"/>
            <w:vAlign w:val="bottom"/>
          </w:tcPr>
          <w:p>
            <w:pPr>
              <w:jc w:val="right"/>
              <w:ind w:right="12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56"/>
        </w:trPr>
        <w:tc>
          <w:tcPr>
            <w:tcW w:w="2660" w:type="dxa"/>
            <w:vAlign w:val="bottom"/>
            <w:tcBorders>
              <w:top w:val="single" w:sz="8" w:color="auto"/>
            </w:tcBorders>
            <w:gridSpan w:val="16"/>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Clever, Inc.</w:t>
            </w:r>
          </w:p>
        </w:tc>
        <w:tc>
          <w:tcPr>
            <w:tcW w:w="60" w:type="dxa"/>
            <w:vAlign w:val="bottom"/>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Series B Preferred Stock</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1"/>
              </w:rPr>
              <w:t>San Francisco,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2"/>
              </w:rPr>
              <w:t>Education Software</w:t>
            </w:r>
          </w:p>
        </w:tc>
        <w:tc>
          <w:tcPr>
            <w:tcW w:w="820" w:type="dxa"/>
            <w:vAlign w:val="bottom"/>
          </w:tcPr>
          <w:p>
            <w:pPr>
              <w:jc w:val="right"/>
              <w:spacing w:after="0"/>
              <w:rPr>
                <w:sz w:val="20"/>
                <w:szCs w:val="20"/>
                <w:color w:val="auto"/>
              </w:rPr>
            </w:pPr>
            <w:r>
              <w:rPr>
                <w:rFonts w:ascii="Arial" w:cs="Arial" w:eastAsia="Arial" w:hAnsi="Arial"/>
                <w:sz w:val="16"/>
                <w:szCs w:val="16"/>
                <w:color w:val="auto"/>
              </w:rPr>
              <w:t>1,799,047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$ 2,000,001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$ 2,000,001</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0.70%</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AlwaysOn, Inc.</w:t>
            </w:r>
            <w:r>
              <w:rPr>
                <w:rFonts w:ascii="Arial" w:cs="Arial" w:eastAsia="Arial" w:hAnsi="Arial"/>
                <w:sz w:val="23"/>
                <w:szCs w:val="23"/>
                <w:b w:val="1"/>
                <w:bCs w:val="1"/>
                <w:color w:val="auto"/>
                <w:vertAlign w:val="superscript"/>
              </w:rPr>
              <w:t>(2)</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A-1</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1"/>
              </w:rPr>
              <w:t>Woodside,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3"/>
              </w:rPr>
              <w:t>Social Media</w:t>
            </w:r>
          </w:p>
        </w:tc>
        <w:tc>
          <w:tcPr>
            <w:tcW w:w="820" w:type="dxa"/>
            <w:vAlign w:val="bottom"/>
          </w:tcPr>
          <w:p>
            <w:pPr>
              <w:jc w:val="right"/>
              <w:spacing w:after="0"/>
              <w:rPr>
                <w:sz w:val="20"/>
                <w:szCs w:val="20"/>
                <w:color w:val="auto"/>
              </w:rPr>
            </w:pPr>
            <w:r>
              <w:rPr>
                <w:rFonts w:ascii="Arial" w:cs="Arial" w:eastAsia="Arial" w:hAnsi="Arial"/>
                <w:sz w:val="16"/>
                <w:szCs w:val="16"/>
                <w:color w:val="auto"/>
              </w:rPr>
              <w:t>4,465,925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876,023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491,252</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0.17%</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1,066,626</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1,027,391</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629,309</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0.22%</w:t>
            </w:r>
          </w:p>
        </w:tc>
        <w:tc>
          <w:tcPr>
            <w:tcW w:w="0" w:type="dxa"/>
            <w:vAlign w:val="bottom"/>
          </w:tcPr>
          <w:p>
            <w:pPr>
              <w:spacing w:after="0"/>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warrants Series A-1, $0.19</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15"/>
          </w:tcPr>
          <w:p>
            <w:pPr>
              <w:ind w:left="180"/>
              <w:spacing w:after="0"/>
              <w:rPr>
                <w:sz w:val="20"/>
                <w:szCs w:val="20"/>
                <w:color w:val="auto"/>
              </w:rPr>
            </w:pPr>
            <w:r>
              <w:rPr>
                <w:rFonts w:ascii="Arial" w:cs="Arial" w:eastAsia="Arial" w:hAnsi="Arial"/>
                <w:sz w:val="16"/>
                <w:szCs w:val="16"/>
                <w:color w:val="auto"/>
              </w:rPr>
              <w:t>strike price, expire 12/31/2014</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1,313,508</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196"/>
        </w:trPr>
        <w:tc>
          <w:tcPr>
            <w:tcW w:w="266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auto"/>
                <w:w w:val="90"/>
              </w:rPr>
              <w:t>Preferred warrants Series A, $1.00 strike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640" w:type="dxa"/>
            <w:vAlign w:val="bottom"/>
            <w:gridSpan w:val="15"/>
            <w:shd w:val="clear" w:color="auto" w:fill="CCEEFF"/>
          </w:tcPr>
          <w:p>
            <w:pPr>
              <w:ind w:left="180"/>
              <w:spacing w:after="0"/>
              <w:rPr>
                <w:sz w:val="20"/>
                <w:szCs w:val="20"/>
                <w:color w:val="auto"/>
              </w:rPr>
            </w:pPr>
            <w:r>
              <w:rPr>
                <w:rFonts w:ascii="Arial" w:cs="Arial" w:eastAsia="Arial" w:hAnsi="Arial"/>
                <w:sz w:val="16"/>
                <w:szCs w:val="16"/>
                <w:color w:val="auto"/>
              </w:rPr>
              <w:t>price, expire 1/9/2017</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109,375</w:t>
            </w: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1,903,414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1,120,561</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0.39%</w:t>
            </w:r>
          </w:p>
        </w:tc>
        <w:tc>
          <w:tcPr>
            <w:tcW w:w="0" w:type="dxa"/>
            <w:vAlign w:val="bottom"/>
          </w:tcPr>
          <w:p>
            <w:pPr>
              <w:spacing w:after="0"/>
              <w:rPr>
                <w:sz w:val="1"/>
                <w:szCs w:val="1"/>
                <w:color w:val="auto"/>
              </w:rPr>
            </w:pPr>
          </w:p>
        </w:tc>
      </w:tr>
      <w:tr>
        <w:trPr>
          <w:trHeight w:val="156"/>
        </w:trPr>
        <w:tc>
          <w:tcPr>
            <w:tcW w:w="2660" w:type="dxa"/>
            <w:vAlign w:val="bottom"/>
            <w:gridSpan w:val="16"/>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AliphCom, Inc. (d/b/a Jawbone)</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1"/>
              </w:rPr>
              <w:t>San Francisco,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2"/>
              </w:rPr>
              <w:t>Smart Device Company</w:t>
            </w:r>
          </w:p>
        </w:tc>
        <w:tc>
          <w:tcPr>
            <w:tcW w:w="820" w:type="dxa"/>
            <w:vAlign w:val="bottom"/>
          </w:tcPr>
          <w:p>
            <w:pPr>
              <w:jc w:val="right"/>
              <w:spacing w:after="0"/>
              <w:rPr>
                <w:sz w:val="20"/>
                <w:szCs w:val="20"/>
                <w:color w:val="auto"/>
              </w:rPr>
            </w:pPr>
            <w:r>
              <w:rPr>
                <w:rFonts w:ascii="Arial" w:cs="Arial" w:eastAsia="Arial" w:hAnsi="Arial"/>
                <w:sz w:val="16"/>
                <w:szCs w:val="16"/>
                <w:color w:val="auto"/>
              </w:rPr>
              <w:t>150,000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793,152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1,013,217</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0.35%</w:t>
            </w:r>
          </w:p>
        </w:tc>
        <w:tc>
          <w:tcPr>
            <w:tcW w:w="0" w:type="dxa"/>
            <w:vAlign w:val="bottom"/>
          </w:tcPr>
          <w:p>
            <w:pPr>
              <w:spacing w:after="0"/>
              <w:rPr>
                <w:sz w:val="1"/>
                <w:szCs w:val="1"/>
                <w:color w:val="auto"/>
              </w:rPr>
            </w:pPr>
          </w:p>
        </w:tc>
      </w:tr>
      <w:tr>
        <w:trPr>
          <w:trHeight w:val="165"/>
        </w:trPr>
        <w:tc>
          <w:tcPr>
            <w:tcW w:w="2660" w:type="dxa"/>
            <w:vAlign w:val="bottom"/>
            <w:gridSpan w:val="16"/>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Enjoy Technology,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4"/>
              </w:rPr>
              <w:t>Menlo Park,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2"/>
              </w:rPr>
              <w:t>Online Shopping</w:t>
            </w:r>
          </w:p>
        </w:tc>
        <w:tc>
          <w:tcPr>
            <w:tcW w:w="820" w:type="dxa"/>
            <w:vAlign w:val="bottom"/>
          </w:tcPr>
          <w:p>
            <w:pPr>
              <w:jc w:val="right"/>
              <w:spacing w:after="0"/>
              <w:rPr>
                <w:sz w:val="20"/>
                <w:szCs w:val="20"/>
                <w:color w:val="auto"/>
              </w:rPr>
            </w:pPr>
            <w:r>
              <w:rPr>
                <w:rFonts w:ascii="Arial" w:cs="Arial" w:eastAsia="Arial" w:hAnsi="Arial"/>
                <w:sz w:val="16"/>
                <w:szCs w:val="16"/>
                <w:color w:val="auto"/>
              </w:rPr>
              <w:t>879,198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1,002,440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1,002,440</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0.35%</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Strategic Data Command, LLC</w:t>
            </w:r>
            <w:r>
              <w:rPr>
                <w:rFonts w:ascii="Arial" w:cs="Arial" w:eastAsia="Arial" w:hAnsi="Arial"/>
                <w:sz w:val="23"/>
                <w:szCs w:val="23"/>
                <w:b w:val="1"/>
                <w:bCs w:val="1"/>
                <w:color w:val="auto"/>
                <w:vertAlign w:val="superscript"/>
              </w:rPr>
              <w:t>(1)(7)</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2"/>
              </w:rPr>
              <w:t>Sunnyvale,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2"/>
              </w:rPr>
              <w:t>Software Development</w:t>
            </w:r>
          </w:p>
        </w:tc>
        <w:tc>
          <w:tcPr>
            <w:tcW w:w="820" w:type="dxa"/>
            <w:vAlign w:val="bottom"/>
          </w:tcPr>
          <w:p>
            <w:pPr>
              <w:jc w:val="right"/>
              <w:spacing w:after="0"/>
              <w:rPr>
                <w:sz w:val="20"/>
                <w:szCs w:val="20"/>
                <w:color w:val="auto"/>
              </w:rPr>
            </w:pPr>
            <w:r>
              <w:rPr>
                <w:rFonts w:ascii="Arial" w:cs="Arial" w:eastAsia="Arial" w:hAnsi="Arial"/>
                <w:sz w:val="16"/>
                <w:szCs w:val="16"/>
                <w:color w:val="auto"/>
              </w:rPr>
              <w:t>800,000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1,001,650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1,000,000</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0.35%</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EdSurge, Inc.</w:t>
            </w:r>
            <w:r>
              <w:rPr>
                <w:rFonts w:ascii="Arial" w:cs="Arial" w:eastAsia="Arial" w:hAnsi="Arial"/>
                <w:sz w:val="23"/>
                <w:szCs w:val="23"/>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4"/>
              </w:rPr>
              <w:t>Burlingame,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3"/>
              </w:rPr>
              <w:t>Education Media Platform</w:t>
            </w:r>
          </w:p>
        </w:tc>
        <w:tc>
          <w:tcPr>
            <w:tcW w:w="820" w:type="dxa"/>
            <w:vAlign w:val="bottom"/>
          </w:tcPr>
          <w:p>
            <w:pPr>
              <w:jc w:val="right"/>
              <w:spacing w:after="0"/>
              <w:rPr>
                <w:sz w:val="20"/>
                <w:szCs w:val="20"/>
                <w:color w:val="auto"/>
              </w:rPr>
            </w:pPr>
            <w:r>
              <w:rPr>
                <w:rFonts w:ascii="Arial" w:cs="Arial" w:eastAsia="Arial" w:hAnsi="Arial"/>
                <w:sz w:val="16"/>
                <w:szCs w:val="16"/>
                <w:color w:val="auto"/>
              </w:rPr>
              <w:t>494,365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500,801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505,328</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0.18%</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Cricket Media (f/k/a ePals Inc.)**</w:t>
            </w:r>
            <w:r>
              <w:rPr>
                <w:rFonts w:ascii="Arial" w:cs="Arial" w:eastAsia="Arial" w:hAnsi="Arial"/>
                <w:sz w:val="23"/>
                <w:szCs w:val="23"/>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(8)</w:t>
            </w: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3"/>
              </w:rPr>
              <w:t>Herndon, VA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3"/>
              </w:rPr>
              <w:t>Online Education</w:t>
            </w:r>
          </w:p>
        </w:tc>
        <w:tc>
          <w:tcPr>
            <w:tcW w:w="820" w:type="dxa"/>
            <w:vAlign w:val="bottom"/>
          </w:tcPr>
          <w:p>
            <w:pPr>
              <w:jc w:val="right"/>
              <w:spacing w:after="0"/>
              <w:rPr>
                <w:sz w:val="20"/>
                <w:szCs w:val="20"/>
                <w:color w:val="auto"/>
              </w:rPr>
            </w:pPr>
            <w:r>
              <w:rPr>
                <w:rFonts w:ascii="Arial" w:cs="Arial" w:eastAsia="Arial" w:hAnsi="Arial"/>
                <w:sz w:val="16"/>
                <w:szCs w:val="16"/>
                <w:color w:val="auto"/>
              </w:rPr>
              <w:t>1,333,333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2,448,959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331,126</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0.12%</w:t>
            </w:r>
          </w:p>
        </w:tc>
        <w:tc>
          <w:tcPr>
            <w:tcW w:w="0" w:type="dxa"/>
            <w:vAlign w:val="bottom"/>
          </w:tcPr>
          <w:p>
            <w:pPr>
              <w:spacing w:after="0"/>
              <w:rPr>
                <w:sz w:val="1"/>
                <w:szCs w:val="1"/>
                <w:color w:val="auto"/>
              </w:rPr>
            </w:pPr>
          </w:p>
        </w:tc>
      </w:tr>
      <w:tr>
        <w:trPr>
          <w:trHeight w:val="165"/>
        </w:trPr>
        <w:tc>
          <w:tcPr>
            <w:tcW w:w="2660" w:type="dxa"/>
            <w:vAlign w:val="bottom"/>
            <w:gridSpan w:val="16"/>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Neuron Fuel,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AAI</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87"/>
              </w:rPr>
              <w:t>San Jose,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2"/>
              </w:rPr>
              <w:t>Computer Software</w:t>
            </w:r>
          </w:p>
        </w:tc>
        <w:tc>
          <w:tcPr>
            <w:tcW w:w="820" w:type="dxa"/>
            <w:vAlign w:val="bottom"/>
          </w:tcPr>
          <w:p>
            <w:pPr>
              <w:jc w:val="right"/>
              <w:spacing w:after="0"/>
              <w:rPr>
                <w:sz w:val="20"/>
                <w:szCs w:val="20"/>
                <w:color w:val="auto"/>
              </w:rPr>
            </w:pPr>
            <w:r>
              <w:rPr>
                <w:rFonts w:ascii="Arial" w:cs="Arial" w:eastAsia="Arial" w:hAnsi="Arial"/>
                <w:sz w:val="16"/>
                <w:szCs w:val="16"/>
                <w:color w:val="auto"/>
              </w:rPr>
              <w:t>250,000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262,530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246,160</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0.09%</w:t>
            </w:r>
          </w:p>
        </w:tc>
        <w:tc>
          <w:tcPr>
            <w:tcW w:w="0" w:type="dxa"/>
            <w:vAlign w:val="bottom"/>
          </w:tcPr>
          <w:p>
            <w:pPr>
              <w:spacing w:after="0"/>
              <w:rPr>
                <w:sz w:val="1"/>
                <w:szCs w:val="1"/>
                <w:color w:val="auto"/>
              </w:rPr>
            </w:pPr>
          </w:p>
        </w:tc>
      </w:tr>
      <w:tr>
        <w:trPr>
          <w:trHeight w:val="165"/>
        </w:trPr>
        <w:tc>
          <w:tcPr>
            <w:tcW w:w="2660" w:type="dxa"/>
            <w:vAlign w:val="bottom"/>
            <w:gridSpan w:val="16"/>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New Zoom,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1"/>
              </w:rPr>
              <w:t>San Francisco,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3"/>
              </w:rPr>
              <w:t>Retail Machines</w:t>
            </w:r>
          </w:p>
        </w:tc>
        <w:tc>
          <w:tcPr>
            <w:tcW w:w="820" w:type="dxa"/>
            <w:vAlign w:val="bottom"/>
          </w:tcPr>
          <w:p>
            <w:pPr>
              <w:jc w:val="right"/>
              <w:spacing w:after="0"/>
              <w:rPr>
                <w:sz w:val="20"/>
                <w:szCs w:val="20"/>
                <w:color w:val="auto"/>
              </w:rPr>
            </w:pPr>
            <w:r>
              <w:rPr>
                <w:rFonts w:ascii="Arial" w:cs="Arial" w:eastAsia="Arial" w:hAnsi="Arial"/>
                <w:sz w:val="16"/>
                <w:szCs w:val="16"/>
                <w:color w:val="auto"/>
              </w:rPr>
              <w:t>1,250,000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260,476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230,469</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0.08%</w:t>
            </w:r>
          </w:p>
        </w:tc>
        <w:tc>
          <w:tcPr>
            <w:tcW w:w="0" w:type="dxa"/>
            <w:vAlign w:val="bottom"/>
          </w:tcPr>
          <w:p>
            <w:pPr>
              <w:spacing w:after="0"/>
              <w:rPr>
                <w:sz w:val="1"/>
                <w:szCs w:val="1"/>
                <w:color w:val="auto"/>
              </w:rPr>
            </w:pPr>
          </w:p>
        </w:tc>
      </w:tr>
      <w:tr>
        <w:trPr>
          <w:trHeight w:val="165"/>
        </w:trPr>
        <w:tc>
          <w:tcPr>
            <w:tcW w:w="2660" w:type="dxa"/>
            <w:vAlign w:val="bottom"/>
            <w:gridSpan w:val="16"/>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w w:val="95"/>
              </w:rPr>
              <w:t>4C Insights (f/k/a The Echo Systems</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500" w:type="dxa"/>
            <w:vAlign w:val="bottom"/>
            <w:tcBorders>
              <w:top w:val="single" w:sz="8" w:color="auto"/>
            </w:tcBorders>
            <w:gridSpan w:val="14"/>
            <w:shd w:val="clear" w:color="auto" w:fill="CCEEFF"/>
          </w:tcPr>
          <w:p>
            <w:pPr>
              <w:ind w:left="180"/>
              <w:spacing w:after="0" w:line="183" w:lineRule="exact"/>
              <w:rPr>
                <w:sz w:val="20"/>
                <w:szCs w:val="20"/>
                <w:color w:val="auto"/>
              </w:rPr>
            </w:pPr>
            <w:r>
              <w:rPr>
                <w:rFonts w:ascii="Arial" w:cs="Arial" w:eastAsia="Arial" w:hAnsi="Arial"/>
                <w:sz w:val="16"/>
                <w:szCs w:val="16"/>
                <w:b w:val="1"/>
                <w:bCs w:val="1"/>
                <w:color w:val="auto"/>
              </w:rPr>
              <w:t>Corp.)</w:t>
            </w: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6"/>
              </w:rPr>
              <w:t>Chicago, IL</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3"/>
              </w:rPr>
              <w:t>Social Data Platform</w:t>
            </w:r>
          </w:p>
        </w:tc>
        <w:tc>
          <w:tcPr>
            <w:tcW w:w="820" w:type="dxa"/>
            <w:vAlign w:val="bottom"/>
          </w:tcPr>
          <w:p>
            <w:pPr>
              <w:jc w:val="right"/>
              <w:spacing w:after="0"/>
              <w:rPr>
                <w:sz w:val="20"/>
                <w:szCs w:val="20"/>
                <w:color w:val="auto"/>
              </w:rPr>
            </w:pPr>
            <w:r>
              <w:rPr>
                <w:rFonts w:ascii="Arial" w:cs="Arial" w:eastAsia="Arial" w:hAnsi="Arial"/>
                <w:sz w:val="16"/>
                <w:szCs w:val="16"/>
                <w:color w:val="auto"/>
              </w:rPr>
              <w:t>512,365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1,436,404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219,292</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0.08%</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Totus Solutions, Inc.</w:t>
            </w:r>
            <w:r>
              <w:rPr>
                <w:rFonts w:ascii="Arial" w:cs="Arial" w:eastAsia="Arial" w:hAnsi="Arial"/>
                <w:sz w:val="23"/>
                <w:szCs w:val="23"/>
                <w:b w:val="1"/>
                <w:bCs w:val="1"/>
                <w:color w:val="auto"/>
                <w:vertAlign w:val="superscript"/>
              </w:rPr>
              <w:t>(1)(10)</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7"/>
              </w:rPr>
              <w:t>Carrollton, TX</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rPr>
              <w:t>LED Lighting</w:t>
            </w:r>
          </w:p>
        </w:tc>
        <w:tc>
          <w:tcPr>
            <w:tcW w:w="820" w:type="dxa"/>
            <w:vAlign w:val="bottom"/>
          </w:tcPr>
          <w:p>
            <w:pPr>
              <w:jc w:val="right"/>
              <w:spacing w:after="0"/>
              <w:rPr>
                <w:sz w:val="20"/>
                <w:szCs w:val="20"/>
                <w:color w:val="auto"/>
              </w:rPr>
            </w:pPr>
            <w:r>
              <w:rPr>
                <w:rFonts w:ascii="Arial" w:cs="Arial" w:eastAsia="Arial" w:hAnsi="Arial"/>
                <w:sz w:val="16"/>
                <w:szCs w:val="16"/>
                <w:color w:val="auto"/>
              </w:rPr>
              <w:t>1,111,111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128,902</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0.05%</w:t>
            </w:r>
          </w:p>
        </w:tc>
        <w:tc>
          <w:tcPr>
            <w:tcW w:w="0" w:type="dxa"/>
            <w:vAlign w:val="bottom"/>
          </w:tcPr>
          <w:p>
            <w:pPr>
              <w:spacing w:after="0"/>
              <w:rPr>
                <w:sz w:val="1"/>
                <w:szCs w:val="1"/>
                <w:color w:val="auto"/>
              </w:rPr>
            </w:pPr>
          </w:p>
        </w:tc>
      </w:tr>
      <w:tr>
        <w:trPr>
          <w:trHeight w:val="196"/>
        </w:trPr>
        <w:tc>
          <w:tcPr>
            <w:tcW w:w="266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auto"/>
              </w:rPr>
              <w:t>Convertible Promissory Note 6%,</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15"/>
            <w:shd w:val="clear" w:color="auto" w:fill="CCEEFF"/>
          </w:tcPr>
          <w:p>
            <w:pPr>
              <w:ind w:left="180"/>
              <w:spacing w:after="0"/>
              <w:rPr>
                <w:sz w:val="20"/>
                <w:szCs w:val="20"/>
                <w:color w:val="auto"/>
              </w:rPr>
            </w:pPr>
            <w:r>
              <w:rPr>
                <w:rFonts w:ascii="Arial" w:cs="Arial" w:eastAsia="Arial" w:hAnsi="Arial"/>
                <w:sz w:val="16"/>
                <w:szCs w:val="16"/>
                <w:color w:val="auto"/>
              </w:rPr>
              <w:t>Expiration Date, 4/01/2016***</w:t>
            </w:r>
          </w:p>
        </w:tc>
        <w:tc>
          <w:tcPr>
            <w:tcW w:w="214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76,110</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76,430</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78,425</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0.03%</w:t>
            </w:r>
          </w:p>
        </w:tc>
        <w:tc>
          <w:tcPr>
            <w:tcW w:w="0" w:type="dxa"/>
            <w:vAlign w:val="bottom"/>
          </w:tcPr>
          <w:p>
            <w:pPr>
              <w:spacing w:after="0"/>
              <w:rPr>
                <w:sz w:val="1"/>
                <w:szCs w:val="1"/>
                <w:color w:val="auto"/>
              </w:rPr>
            </w:pPr>
          </w:p>
        </w:tc>
      </w:tr>
      <w:tr>
        <w:trPr>
          <w:trHeight w:val="20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869,265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2,184,422</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203"/>
        </w:trPr>
        <w:tc>
          <w:tcPr>
            <w:tcW w:w="266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1,130,735</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2,840,591</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6,101,443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207,327</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0.08%</w:t>
            </w:r>
          </w:p>
        </w:tc>
        <w:tc>
          <w:tcPr>
            <w:tcW w:w="0" w:type="dxa"/>
            <w:vAlign w:val="bottom"/>
          </w:tcPr>
          <w:p>
            <w:pPr>
              <w:spacing w:after="0"/>
              <w:rPr>
                <w:sz w:val="1"/>
                <w:szCs w:val="1"/>
                <w:color w:val="auto"/>
              </w:rPr>
            </w:pPr>
          </w:p>
        </w:tc>
      </w:tr>
      <w:tr>
        <w:trPr>
          <w:trHeight w:val="196"/>
        </w:trPr>
        <w:tc>
          <w:tcPr>
            <w:tcW w:w="2660" w:type="dxa"/>
            <w:vAlign w:val="bottom"/>
            <w:gridSpan w:val="16"/>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The rSmart Group, Inc.</w:t>
            </w:r>
            <w:r>
              <w:rPr>
                <w:rFonts w:ascii="Arial" w:cs="Arial" w:eastAsia="Arial" w:hAnsi="Arial"/>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2"/>
              </w:rPr>
              <w:t>Scottsdale, AZ</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2"/>
              </w:rPr>
              <w:t>Higher Education</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4"/>
              </w:rPr>
              <w:t>Learning Platform</w:t>
            </w:r>
          </w:p>
        </w:tc>
        <w:tc>
          <w:tcPr>
            <w:tcW w:w="820" w:type="dxa"/>
            <w:vAlign w:val="bottom"/>
          </w:tcPr>
          <w:p>
            <w:pPr>
              <w:jc w:val="right"/>
              <w:spacing w:after="0"/>
              <w:rPr>
                <w:sz w:val="20"/>
                <w:szCs w:val="20"/>
                <w:color w:val="auto"/>
              </w:rPr>
            </w:pPr>
            <w:r>
              <w:rPr>
                <w:rFonts w:ascii="Arial" w:cs="Arial" w:eastAsia="Arial" w:hAnsi="Arial"/>
                <w:sz w:val="16"/>
                <w:szCs w:val="16"/>
                <w:color w:val="auto"/>
              </w:rPr>
              <w:t>1,201,923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1,267,240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192,586</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-5166995</wp:posOffset>
            </wp:positionV>
            <wp:extent cx="5213985"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-681355</wp:posOffset>
            </wp:positionV>
            <wp:extent cx="5213985"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0" w:name="page21"/>
    <w:bookmarkEnd w:id="2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1714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40" w:type="dxa"/>
            <w:vAlign w:val="bottom"/>
          </w:tcPr>
          <w:p>
            <w:pPr>
              <w:spacing w:after="0"/>
              <w:rPr>
                <w:sz w:val="14"/>
                <w:szCs w:val="14"/>
                <w:color w:val="auto"/>
              </w:rPr>
            </w:pPr>
          </w:p>
        </w:tc>
        <w:tc>
          <w:tcPr>
            <w:tcW w:w="19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Headquarters/Industry</w:t>
            </w:r>
          </w:p>
        </w:tc>
        <w:tc>
          <w:tcPr>
            <w:tcW w:w="900" w:type="dxa"/>
            <w:vAlign w:val="bottom"/>
          </w:tcPr>
          <w:p>
            <w:pPr>
              <w:jc w:val="right"/>
              <w:ind w:right="201"/>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2660" w:type="dxa"/>
            <w:vAlign w:val="bottom"/>
            <w:gridSpan w:val="8"/>
            <w:vMerge w:val="continue"/>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900" w:type="dxa"/>
            <w:vAlign w:val="bottom"/>
          </w:tcPr>
          <w:p>
            <w:pPr>
              <w:jc w:val="right"/>
              <w:ind w:right="141"/>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56"/>
        </w:trPr>
        <w:tc>
          <w:tcPr>
            <w:tcW w:w="2660" w:type="dxa"/>
            <w:vAlign w:val="bottom"/>
            <w:tcBorders>
              <w:top w:val="single" w:sz="8" w:color="auto"/>
            </w:tcBorders>
            <w:gridSpan w:val="8"/>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Odesk Corporation</w:t>
            </w:r>
          </w:p>
        </w:tc>
        <w:tc>
          <w:tcPr>
            <w:tcW w:w="40" w:type="dxa"/>
            <w:vAlign w:val="bottom"/>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8"/>
          </w:tcPr>
          <w:p>
            <w:pPr>
              <w:ind w:left="20"/>
              <w:spacing w:after="0"/>
              <w:rPr>
                <w:sz w:val="20"/>
                <w:szCs w:val="20"/>
                <w:color w:val="auto"/>
              </w:rPr>
            </w:pPr>
            <w:r>
              <w:rPr>
                <w:rFonts w:ascii="Arial" w:cs="Arial" w:eastAsia="Arial" w:hAnsi="Arial"/>
                <w:sz w:val="16"/>
                <w:szCs w:val="16"/>
                <w:color w:val="auto"/>
              </w:rPr>
              <w:t>Common Shares</w:t>
            </w:r>
          </w:p>
        </w:tc>
        <w:tc>
          <w:tcPr>
            <w:tcW w:w="40" w:type="dxa"/>
            <w:vAlign w:val="bottom"/>
          </w:tcPr>
          <w:p>
            <w:pPr>
              <w:spacing w:after="0"/>
              <w:rPr>
                <w:sz w:val="16"/>
                <w:szCs w:val="16"/>
                <w:color w:val="auto"/>
              </w:rPr>
            </w:pPr>
          </w:p>
        </w:tc>
        <w:tc>
          <w:tcPr>
            <w:tcW w:w="1980" w:type="dxa"/>
            <w:vAlign w:val="bottom"/>
            <w:gridSpan w:val="3"/>
          </w:tcPr>
          <w:p>
            <w:pPr>
              <w:jc w:val="center"/>
              <w:ind w:right="60"/>
              <w:spacing w:after="0"/>
              <w:rPr>
                <w:sz w:val="20"/>
                <w:szCs w:val="20"/>
                <w:color w:val="auto"/>
              </w:rPr>
            </w:pPr>
            <w:r>
              <w:rPr>
                <w:rFonts w:ascii="Arial" w:cs="Arial" w:eastAsia="Arial" w:hAnsi="Arial"/>
                <w:sz w:val="16"/>
                <w:szCs w:val="16"/>
                <w:color w:val="auto"/>
                <w:w w:val="94"/>
              </w:rPr>
              <w:t>Redwood City, CA</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80" w:type="dxa"/>
            <w:vAlign w:val="bottom"/>
            <w:gridSpan w:val="3"/>
          </w:tcPr>
          <w:p>
            <w:pPr>
              <w:jc w:val="center"/>
              <w:ind w:right="80"/>
              <w:spacing w:after="0"/>
              <w:rPr>
                <w:sz w:val="20"/>
                <w:szCs w:val="20"/>
                <w:color w:val="auto"/>
              </w:rPr>
            </w:pPr>
            <w:r>
              <w:rPr>
                <w:rFonts w:ascii="Arial" w:cs="Arial" w:eastAsia="Arial" w:hAnsi="Arial"/>
                <w:sz w:val="16"/>
                <w:szCs w:val="16"/>
                <w:color w:val="auto"/>
                <w:w w:val="93"/>
              </w:rPr>
              <w:t>Online Workplace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80" w:type="dxa"/>
            <w:vAlign w:val="bottom"/>
            <w:gridSpan w:val="3"/>
          </w:tcPr>
          <w:p>
            <w:pPr>
              <w:jc w:val="center"/>
              <w:ind w:right="60"/>
              <w:spacing w:after="0"/>
              <w:rPr>
                <w:sz w:val="20"/>
                <w:szCs w:val="20"/>
                <w:color w:val="auto"/>
              </w:rPr>
            </w:pPr>
            <w:r>
              <w:rPr>
                <w:rFonts w:ascii="Arial" w:cs="Arial" w:eastAsia="Arial" w:hAnsi="Arial"/>
                <w:sz w:val="16"/>
                <w:szCs w:val="16"/>
                <w:color w:val="auto"/>
                <w:w w:val="93"/>
              </w:rPr>
              <w:t>Platform</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30,000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183,269</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156,196</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165"/>
        </w:trPr>
        <w:tc>
          <w:tcPr>
            <w:tcW w:w="2660" w:type="dxa"/>
            <w:vAlign w:val="bottom"/>
            <w:gridSpan w:val="8"/>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Earlyshares.com</w:t>
            </w:r>
          </w:p>
        </w:tc>
        <w:tc>
          <w:tcPr>
            <w:tcW w:w="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8"/>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6"/>
                <w:szCs w:val="16"/>
                <w:color w:val="auto"/>
              </w:rPr>
            </w:pPr>
          </w:p>
        </w:tc>
        <w:tc>
          <w:tcPr>
            <w:tcW w:w="1980" w:type="dxa"/>
            <w:vAlign w:val="bottom"/>
            <w:gridSpan w:val="3"/>
          </w:tcPr>
          <w:p>
            <w:pPr>
              <w:jc w:val="center"/>
              <w:ind w:right="80"/>
              <w:spacing w:after="0"/>
              <w:rPr>
                <w:sz w:val="20"/>
                <w:szCs w:val="20"/>
                <w:color w:val="auto"/>
              </w:rPr>
            </w:pPr>
            <w:r>
              <w:rPr>
                <w:rFonts w:ascii="Arial" w:cs="Arial" w:eastAsia="Arial" w:hAnsi="Arial"/>
                <w:sz w:val="16"/>
                <w:szCs w:val="16"/>
                <w:color w:val="auto"/>
                <w:w w:val="99"/>
              </w:rPr>
              <w:t>Miami, FL</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80" w:type="dxa"/>
            <w:vAlign w:val="bottom"/>
            <w:gridSpan w:val="3"/>
          </w:tcPr>
          <w:p>
            <w:pPr>
              <w:jc w:val="center"/>
              <w:ind w:right="80"/>
              <w:spacing w:after="0"/>
              <w:rPr>
                <w:sz w:val="20"/>
                <w:szCs w:val="20"/>
                <w:color w:val="auto"/>
              </w:rPr>
            </w:pPr>
            <w:r>
              <w:rPr>
                <w:rFonts w:ascii="Arial" w:cs="Arial" w:eastAsia="Arial" w:hAnsi="Arial"/>
                <w:sz w:val="16"/>
                <w:szCs w:val="16"/>
                <w:color w:val="auto"/>
                <w:w w:val="96"/>
              </w:rPr>
              <w:t>Equity Crowdfunding</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165,715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260,878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125,115</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6"/>
        </w:trPr>
        <w:tc>
          <w:tcPr>
            <w:tcW w:w="2660" w:type="dxa"/>
            <w:vAlign w:val="bottom"/>
            <w:gridSpan w:val="8"/>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Dailybreak, Inc.</w:t>
            </w:r>
            <w:r>
              <w:rPr>
                <w:rFonts w:ascii="Arial" w:cs="Arial" w:eastAsia="Arial" w:hAnsi="Arial"/>
                <w:sz w:val="23"/>
                <w:szCs w:val="23"/>
                <w:b w:val="1"/>
                <w:bCs w:val="1"/>
                <w:color w:val="auto"/>
                <w:vertAlign w:val="superscript"/>
              </w:rPr>
              <w:t>(1)</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8"/>
          </w:tcPr>
          <w:p>
            <w:pPr>
              <w:ind w:left="20"/>
              <w:spacing w:after="0"/>
              <w:rPr>
                <w:sz w:val="20"/>
                <w:szCs w:val="20"/>
                <w:color w:val="auto"/>
              </w:rPr>
            </w:pPr>
            <w:r>
              <w:rPr>
                <w:rFonts w:ascii="Arial" w:cs="Arial" w:eastAsia="Arial" w:hAnsi="Arial"/>
                <w:sz w:val="16"/>
                <w:szCs w:val="16"/>
                <w:color w:val="auto"/>
              </w:rPr>
              <w:t>Preferred shares, Series A-1</w:t>
            </w:r>
          </w:p>
        </w:tc>
        <w:tc>
          <w:tcPr>
            <w:tcW w:w="40" w:type="dxa"/>
            <w:vAlign w:val="bottom"/>
          </w:tcPr>
          <w:p>
            <w:pPr>
              <w:spacing w:after="0"/>
              <w:rPr>
                <w:sz w:val="16"/>
                <w:szCs w:val="16"/>
                <w:color w:val="auto"/>
              </w:rPr>
            </w:pPr>
          </w:p>
        </w:tc>
        <w:tc>
          <w:tcPr>
            <w:tcW w:w="1980" w:type="dxa"/>
            <w:vAlign w:val="bottom"/>
            <w:gridSpan w:val="3"/>
          </w:tcPr>
          <w:p>
            <w:pPr>
              <w:jc w:val="center"/>
              <w:ind w:right="60"/>
              <w:spacing w:after="0"/>
              <w:rPr>
                <w:sz w:val="20"/>
                <w:szCs w:val="20"/>
                <w:color w:val="auto"/>
              </w:rPr>
            </w:pPr>
            <w:r>
              <w:rPr>
                <w:rFonts w:ascii="Arial" w:cs="Arial" w:eastAsia="Arial" w:hAnsi="Arial"/>
                <w:sz w:val="16"/>
                <w:szCs w:val="16"/>
                <w:color w:val="auto"/>
                <w:w w:val="96"/>
              </w:rPr>
              <w:t>Boston, MA</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80" w:type="dxa"/>
            <w:vAlign w:val="bottom"/>
            <w:gridSpan w:val="3"/>
          </w:tcPr>
          <w:p>
            <w:pPr>
              <w:jc w:val="center"/>
              <w:ind w:right="80"/>
              <w:spacing w:after="0"/>
              <w:rPr>
                <w:sz w:val="20"/>
                <w:szCs w:val="20"/>
                <w:color w:val="auto"/>
              </w:rPr>
            </w:pPr>
            <w:r>
              <w:rPr>
                <w:rFonts w:ascii="Arial" w:cs="Arial" w:eastAsia="Arial" w:hAnsi="Arial"/>
                <w:sz w:val="16"/>
                <w:szCs w:val="16"/>
                <w:color w:val="auto"/>
                <w:w w:val="95"/>
              </w:rPr>
              <w:t>Social Advertising</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1,878,129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2,430,950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06"/>
        </w:trPr>
        <w:tc>
          <w:tcPr>
            <w:tcW w:w="2660" w:type="dxa"/>
            <w:vAlign w:val="bottom"/>
            <w:gridSpan w:val="8"/>
            <w:shd w:val="clear" w:color="auto" w:fill="CCEEFF"/>
          </w:tcPr>
          <w:p>
            <w:pPr>
              <w:ind w:left="20"/>
              <w:spacing w:after="0"/>
              <w:rPr>
                <w:sz w:val="20"/>
                <w:szCs w:val="20"/>
                <w:color w:val="auto"/>
              </w:rPr>
            </w:pPr>
            <w:r>
              <w:rPr>
                <w:rFonts w:ascii="Arial" w:cs="Arial" w:eastAsia="Arial" w:hAnsi="Arial"/>
                <w:sz w:val="16"/>
                <w:szCs w:val="16"/>
                <w:color w:val="auto"/>
              </w:rPr>
              <w:t>Preferred shares, Series A-2</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347,666</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426,254</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7"/>
          </w:tcPr>
          <w:p>
            <w:pPr>
              <w:ind w:left="180"/>
              <w:spacing w:after="0"/>
              <w:rPr>
                <w:sz w:val="20"/>
                <w:szCs w:val="20"/>
                <w:color w:val="auto"/>
              </w:rPr>
            </w:pPr>
            <w:r>
              <w:rPr>
                <w:rFonts w:ascii="Arial" w:cs="Arial" w:eastAsia="Arial" w:hAnsi="Arial"/>
                <w:sz w:val="16"/>
                <w:szCs w:val="16"/>
                <w:color w:val="auto"/>
              </w:rPr>
              <w:t>Total</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2,857,204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60" w:type="dxa"/>
            <w:vAlign w:val="bottom"/>
            <w:gridSpan w:val="8"/>
            <w:shd w:val="clear" w:color="auto" w:fill="CCEEFF"/>
          </w:tcPr>
          <w:p>
            <w:pPr>
              <w:ind w:left="20"/>
              <w:spacing w:after="0"/>
              <w:rPr>
                <w:sz w:val="20"/>
                <w:szCs w:val="20"/>
                <w:color w:val="auto"/>
              </w:rPr>
            </w:pPr>
            <w:r>
              <w:rPr>
                <w:rFonts w:ascii="Arial" w:cs="Arial" w:eastAsia="Arial" w:hAnsi="Arial"/>
                <w:sz w:val="16"/>
                <w:szCs w:val="16"/>
                <w:b w:val="1"/>
                <w:bCs w:val="1"/>
                <w:color w:val="auto"/>
              </w:rPr>
              <w:t>Total Portfolio Investments</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301,111,689</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370,984,317</w:t>
            </w:r>
          </w:p>
        </w:tc>
        <w:tc>
          <w:tcPr>
            <w:tcW w:w="80" w:type="dxa"/>
            <w:vAlign w:val="bottom"/>
            <w:tcBorders>
              <w:lef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129.76%</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8"/>
          </w:tcPr>
          <w:p>
            <w:pPr>
              <w:ind w:left="20"/>
              <w:spacing w:after="0" w:line="155" w:lineRule="exact"/>
              <w:rPr>
                <w:sz w:val="20"/>
                <w:szCs w:val="20"/>
                <w:color w:val="auto"/>
              </w:rPr>
            </w:pPr>
            <w:r>
              <w:rPr>
                <w:rFonts w:ascii="Arial" w:cs="Arial" w:eastAsia="Arial" w:hAnsi="Arial"/>
                <w:sz w:val="16"/>
                <w:szCs w:val="16"/>
                <w:b w:val="1"/>
                <w:bCs w:val="1"/>
                <w:color w:val="auto"/>
              </w:rPr>
              <w:t>U.S. Treasury</w:t>
            </w:r>
          </w:p>
        </w:tc>
        <w:tc>
          <w:tcPr>
            <w:tcW w:w="4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8"/>
            <w:shd w:val="clear" w:color="auto" w:fill="CCEEFF"/>
          </w:tcPr>
          <w:p>
            <w:pPr>
              <w:ind w:left="20"/>
              <w:spacing w:after="0"/>
              <w:rPr>
                <w:sz w:val="20"/>
                <w:szCs w:val="20"/>
                <w:color w:val="auto"/>
              </w:rPr>
            </w:pPr>
            <w:r>
              <w:rPr>
                <w:rFonts w:ascii="Arial" w:cs="Arial" w:eastAsia="Arial" w:hAnsi="Arial"/>
                <w:sz w:val="16"/>
                <w:szCs w:val="16"/>
                <w:color w:val="auto"/>
              </w:rPr>
              <w:t>U.S. Treasury Bill, 0%, due</w:t>
            </w:r>
          </w:p>
        </w:tc>
        <w:tc>
          <w:tcPr>
            <w:tcW w:w="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1/2/2015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100,000,000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100,001,692</w:t>
            </w:r>
          </w:p>
        </w:tc>
        <w:tc>
          <w:tcPr>
            <w:tcW w:w="1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100,000,056</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34.98%</w:t>
            </w:r>
          </w:p>
        </w:tc>
        <w:tc>
          <w:tcPr>
            <w:tcW w:w="0" w:type="dxa"/>
            <w:vAlign w:val="bottom"/>
          </w:tcPr>
          <w:p>
            <w:pPr>
              <w:spacing w:after="0"/>
              <w:rPr>
                <w:sz w:val="1"/>
                <w:szCs w:val="1"/>
                <w:color w:val="auto"/>
              </w:rPr>
            </w:pPr>
          </w:p>
        </w:tc>
      </w:tr>
      <w:tr>
        <w:trPr>
          <w:trHeight w:val="203"/>
        </w:trPr>
        <w:tc>
          <w:tcPr>
            <w:tcW w:w="2660" w:type="dxa"/>
            <w:vAlign w:val="bottom"/>
            <w:gridSpan w:val="8"/>
          </w:tcPr>
          <w:p>
            <w:pPr>
              <w:ind w:left="20"/>
              <w:spacing w:after="0" w:line="202" w:lineRule="exact"/>
              <w:rPr>
                <w:sz w:val="20"/>
                <w:szCs w:val="20"/>
                <w:color w:val="auto"/>
              </w:rPr>
            </w:pPr>
            <w:r>
              <w:rPr>
                <w:rFonts w:ascii="Arial" w:cs="Arial" w:eastAsia="Arial" w:hAnsi="Arial"/>
                <w:sz w:val="14"/>
                <w:szCs w:val="14"/>
                <w:b w:val="1"/>
                <w:bCs w:val="1"/>
                <w:color w:val="auto"/>
              </w:rPr>
              <w:t>U.S. Treasury Strips</w:t>
            </w:r>
            <w:r>
              <w:rPr>
                <w:rFonts w:ascii="Arial" w:cs="Arial" w:eastAsia="Arial" w:hAnsi="Arial"/>
                <w:sz w:val="23"/>
                <w:szCs w:val="23"/>
                <w:b w:val="1"/>
                <w:bCs w:val="1"/>
                <w:color w:val="auto"/>
                <w:vertAlign w:val="superscript"/>
              </w:rPr>
              <w:t>(11)</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8"/>
            <w:shd w:val="clear" w:color="auto" w:fill="CCEEFF"/>
          </w:tcPr>
          <w:p>
            <w:pPr>
              <w:ind w:left="20"/>
              <w:spacing w:after="0"/>
              <w:rPr>
                <w:sz w:val="20"/>
                <w:szCs w:val="20"/>
                <w:color w:val="auto"/>
              </w:rPr>
            </w:pPr>
            <w:r>
              <w:rPr>
                <w:rFonts w:ascii="Arial" w:cs="Arial" w:eastAsia="Arial" w:hAnsi="Arial"/>
                <w:sz w:val="16"/>
                <w:szCs w:val="16"/>
                <w:color w:val="auto"/>
                <w:w w:val="98"/>
              </w:rPr>
              <w:t>United States Treasury Strip Coupon,</w:t>
            </w:r>
          </w:p>
        </w:tc>
        <w:tc>
          <w:tcPr>
            <w:tcW w:w="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7"/>
            <w:shd w:val="clear" w:color="auto" w:fill="CCEEFF"/>
          </w:tcPr>
          <w:p>
            <w:pPr>
              <w:ind w:left="180"/>
              <w:spacing w:after="0"/>
              <w:rPr>
                <w:sz w:val="20"/>
                <w:szCs w:val="20"/>
                <w:color w:val="auto"/>
              </w:rPr>
            </w:pPr>
            <w:r>
              <w:rPr>
                <w:rFonts w:ascii="Arial" w:cs="Arial" w:eastAsia="Arial" w:hAnsi="Arial"/>
                <w:sz w:val="16"/>
                <w:szCs w:val="16"/>
                <w:color w:val="auto"/>
              </w:rPr>
              <w:t>0.00% due 08/15/2016</w:t>
            </w:r>
          </w:p>
        </w:tc>
        <w:tc>
          <w:tcPr>
            <w:tcW w:w="20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1,851,000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1,828,695</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1,834,674</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193"/>
        </w:trPr>
        <w:tc>
          <w:tcPr>
            <w:tcW w:w="2660" w:type="dxa"/>
            <w:vAlign w:val="bottom"/>
            <w:gridSpan w:val="8"/>
          </w:tcPr>
          <w:p>
            <w:pPr>
              <w:ind w:left="20"/>
              <w:spacing w:after="0"/>
              <w:rPr>
                <w:sz w:val="20"/>
                <w:szCs w:val="20"/>
                <w:color w:val="auto"/>
              </w:rPr>
            </w:pPr>
            <w:r>
              <w:rPr>
                <w:rFonts w:ascii="Arial" w:cs="Arial" w:eastAsia="Arial" w:hAnsi="Arial"/>
                <w:sz w:val="16"/>
                <w:szCs w:val="16"/>
                <w:color w:val="auto"/>
                <w:w w:val="98"/>
              </w:rPr>
              <w:t>United States Treasury Strip Coupon,</w:t>
            </w:r>
          </w:p>
        </w:tc>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7"/>
          </w:tcPr>
          <w:p>
            <w:pPr>
              <w:ind w:left="180"/>
              <w:spacing w:after="0"/>
              <w:rPr>
                <w:sz w:val="20"/>
                <w:szCs w:val="20"/>
                <w:color w:val="auto"/>
              </w:rPr>
            </w:pPr>
            <w:r>
              <w:rPr>
                <w:rFonts w:ascii="Arial" w:cs="Arial" w:eastAsia="Arial" w:hAnsi="Arial"/>
                <w:sz w:val="16"/>
                <w:szCs w:val="16"/>
                <w:color w:val="auto"/>
              </w:rPr>
              <w:t>0.00% due 02/15/2016</w:t>
            </w:r>
          </w:p>
        </w:tc>
        <w:tc>
          <w:tcPr>
            <w:tcW w:w="202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1,834,000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1,822,943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1,826,664</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196"/>
        </w:trPr>
        <w:tc>
          <w:tcPr>
            <w:tcW w:w="2660" w:type="dxa"/>
            <w:vAlign w:val="bottom"/>
            <w:gridSpan w:val="8"/>
            <w:shd w:val="clear" w:color="auto" w:fill="CCEEFF"/>
          </w:tcPr>
          <w:p>
            <w:pPr>
              <w:ind w:left="20"/>
              <w:spacing w:after="0"/>
              <w:rPr>
                <w:sz w:val="20"/>
                <w:szCs w:val="20"/>
                <w:color w:val="auto"/>
              </w:rPr>
            </w:pPr>
            <w:r>
              <w:rPr>
                <w:rFonts w:ascii="Arial" w:cs="Arial" w:eastAsia="Arial" w:hAnsi="Arial"/>
                <w:sz w:val="16"/>
                <w:szCs w:val="16"/>
                <w:color w:val="auto"/>
                <w:w w:val="98"/>
              </w:rPr>
              <w:t>United States Treasury Strip Coupon,</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7"/>
            <w:shd w:val="clear" w:color="auto" w:fill="CCEEFF"/>
          </w:tcPr>
          <w:p>
            <w:pPr>
              <w:ind w:left="180"/>
              <w:spacing w:after="0"/>
              <w:rPr>
                <w:sz w:val="20"/>
                <w:szCs w:val="20"/>
                <w:color w:val="auto"/>
              </w:rPr>
            </w:pPr>
            <w:r>
              <w:rPr>
                <w:rFonts w:ascii="Arial" w:cs="Arial" w:eastAsia="Arial" w:hAnsi="Arial"/>
                <w:sz w:val="16"/>
                <w:szCs w:val="16"/>
                <w:color w:val="auto"/>
              </w:rPr>
              <w:t>0.00% due 08/15/2015</w:t>
            </w:r>
          </w:p>
        </w:tc>
        <w:tc>
          <w:tcPr>
            <w:tcW w:w="20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1,823,000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1,819,165</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1,820,904</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193"/>
        </w:trPr>
        <w:tc>
          <w:tcPr>
            <w:tcW w:w="2660" w:type="dxa"/>
            <w:vAlign w:val="bottom"/>
            <w:gridSpan w:val="8"/>
          </w:tcPr>
          <w:p>
            <w:pPr>
              <w:ind w:left="20"/>
              <w:spacing w:after="0"/>
              <w:rPr>
                <w:sz w:val="20"/>
                <w:szCs w:val="20"/>
                <w:color w:val="auto"/>
              </w:rPr>
            </w:pPr>
            <w:r>
              <w:rPr>
                <w:rFonts w:ascii="Arial" w:cs="Arial" w:eastAsia="Arial" w:hAnsi="Arial"/>
                <w:sz w:val="16"/>
                <w:szCs w:val="16"/>
                <w:color w:val="auto"/>
                <w:w w:val="98"/>
              </w:rPr>
              <w:t>United States Treasury Strip Coupon,</w:t>
            </w:r>
          </w:p>
        </w:tc>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7"/>
          </w:tcPr>
          <w:p>
            <w:pPr>
              <w:ind w:left="180"/>
              <w:spacing w:after="0"/>
              <w:rPr>
                <w:sz w:val="20"/>
                <w:szCs w:val="20"/>
                <w:color w:val="auto"/>
              </w:rPr>
            </w:pPr>
            <w:r>
              <w:rPr>
                <w:rFonts w:ascii="Arial" w:cs="Arial" w:eastAsia="Arial" w:hAnsi="Arial"/>
                <w:sz w:val="16"/>
                <w:szCs w:val="16"/>
                <w:color w:val="auto"/>
              </w:rPr>
              <w:t>0.00% due 02/15/2015</w:t>
            </w:r>
          </w:p>
        </w:tc>
        <w:tc>
          <w:tcPr>
            <w:tcW w:w="202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1,816,000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1,815,529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1,815,800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7"/>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7,286,332</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7,298,042</w:t>
            </w:r>
          </w:p>
        </w:tc>
        <w:tc>
          <w:tcPr>
            <w:tcW w:w="80" w:type="dxa"/>
            <w:vAlign w:val="bottom"/>
            <w:tcBorders>
              <w:lef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60" w:type="dxa"/>
            <w:vAlign w:val="bottom"/>
            <w:gridSpan w:val="8"/>
          </w:tcPr>
          <w:p>
            <w:pPr>
              <w:ind w:left="20"/>
              <w:spacing w:after="0"/>
              <w:rPr>
                <w:sz w:val="20"/>
                <w:szCs w:val="20"/>
                <w:color w:val="auto"/>
              </w:rPr>
            </w:pPr>
            <w:r>
              <w:rPr>
                <w:rFonts w:ascii="Arial" w:cs="Arial" w:eastAsia="Arial" w:hAnsi="Arial"/>
                <w:sz w:val="16"/>
                <w:szCs w:val="16"/>
                <w:b w:val="1"/>
                <w:bCs w:val="1"/>
                <w:color w:val="auto"/>
              </w:rPr>
              <w:t>Total Investments</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87"/>
              </w:rPr>
              <w:t>408,399,713</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478,282,415</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167.29%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-2340610</wp:posOffset>
            </wp:positionV>
            <wp:extent cx="5213985"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-2066290</wp:posOffset>
            </wp:positionV>
            <wp:extent cx="5213985"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-351155</wp:posOffset>
            </wp:positionV>
            <wp:extent cx="5213985"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7" w:lineRule="auto"/>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300" w:right="519" w:hanging="272"/>
        <w:spacing w:after="0" w:line="277"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jc w:val="both"/>
        <w:ind w:left="300" w:right="519" w:hanging="272"/>
        <w:spacing w:after="0" w:line="264"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Denotes an Affiliate Investment. “Affiliate Investments” are investments in those companies that are “Affiliated Companies” of GSV Capital Corp., as defined in the Investment Company Act of 1940. A company is deemed to be an “Affiliate” of GSV Capital Corp. if GSV Capital Corp. owns 5% or more of the voting securities of such company.</w:t>
      </w:r>
    </w:p>
    <w:p>
      <w:pPr>
        <w:spacing w:after="0" w:line="73" w:lineRule="exact"/>
        <w:rPr>
          <w:rFonts w:ascii="Arial" w:cs="Arial" w:eastAsia="Arial" w:hAnsi="Arial"/>
          <w:sz w:val="18"/>
          <w:szCs w:val="18"/>
          <w:color w:val="auto"/>
        </w:rPr>
      </w:pPr>
    </w:p>
    <w:p>
      <w:pPr>
        <w:jc w:val="both"/>
        <w:ind w:left="300" w:right="519" w:hanging="272"/>
        <w:spacing w:after="0" w:line="286" w:lineRule="auto"/>
        <w:tabs>
          <w:tab w:leader="none" w:pos="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Denotes a Control Investment. “Control Investments” are investments in those companies that are “Controlled Companies” of GSV Capital Corp., as defined in the Investment Company Act of 1940. A company is deemed to be a “Controlled Company” of GSV Capital Corp. if GSV Capital Corp. owns 25% or more of the voting securities of such company.</w:t>
      </w:r>
    </w:p>
    <w:p>
      <w:pPr>
        <w:spacing w:after="0" w:line="57" w:lineRule="exact"/>
        <w:rPr>
          <w:rFonts w:ascii="Arial" w:cs="Arial" w:eastAsia="Arial" w:hAnsi="Arial"/>
          <w:sz w:val="17"/>
          <w:szCs w:val="17"/>
          <w:color w:val="auto"/>
        </w:rPr>
      </w:pPr>
    </w:p>
    <w:p>
      <w:pPr>
        <w:ind w:left="300" w:right="539" w:hanging="272"/>
        <w:spacing w:after="0" w:line="277"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wholly-owned subsidiary GSVC AV Holdings, Inc.</w:t>
      </w:r>
    </w:p>
    <w:p>
      <w:pPr>
        <w:spacing w:after="0" w:line="62" w:lineRule="exact"/>
        <w:rPr>
          <w:rFonts w:ascii="Arial" w:cs="Arial" w:eastAsia="Arial" w:hAnsi="Arial"/>
          <w:sz w:val="18"/>
          <w:szCs w:val="18"/>
          <w:color w:val="auto"/>
        </w:rPr>
      </w:pPr>
    </w:p>
    <w:p>
      <w:pPr>
        <w:ind w:left="300" w:right="519" w:hanging="272"/>
        <w:spacing w:after="0" w:line="308" w:lineRule="auto"/>
        <w:tabs>
          <w:tab w:leader="none" w:pos="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GSV Capital Corp.’s investment in Whittle Schools, LLC is held through its wholly-owned subsidiary GSVC WS Holdings, Inc. Whittle Schools, LLC is an investment whose economics are derived from the value of Avenues Global Holdings LLC.</w:t>
      </w:r>
    </w:p>
    <w:p>
      <w:pPr>
        <w:spacing w:after="0" w:line="38" w:lineRule="exact"/>
        <w:rPr>
          <w:rFonts w:ascii="Arial" w:cs="Arial" w:eastAsia="Arial" w:hAnsi="Arial"/>
          <w:sz w:val="17"/>
          <w:szCs w:val="17"/>
          <w:color w:val="auto"/>
        </w:rPr>
      </w:pPr>
    </w:p>
    <w:p>
      <w:pPr>
        <w:ind w:left="300" w:hanging="272"/>
        <w:spacing w:after="0"/>
        <w:tabs>
          <w:tab w:leader="none" w:pos="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wholly-owned subsidiary GSVC SW Holdings, Inc.</w:t>
      </w:r>
    </w:p>
    <w:p>
      <w:pPr>
        <w:spacing w:after="0" w:line="128" w:lineRule="exact"/>
        <w:rPr>
          <w:rFonts w:ascii="Arial" w:cs="Arial" w:eastAsia="Arial" w:hAnsi="Arial"/>
          <w:sz w:val="17"/>
          <w:szCs w:val="17"/>
          <w:color w:val="auto"/>
        </w:rPr>
      </w:pPr>
    </w:p>
    <w:p>
      <w:pPr>
        <w:ind w:left="300" w:hanging="272"/>
        <w:spacing w:after="0"/>
        <w:tabs>
          <w:tab w:leader="none" w:pos="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GSV Capital Corp.’s investment in SharesPost, Inc. is held through its wholly-owned subsidiary SPNPM Holdings, LLC.</w:t>
      </w:r>
    </w:p>
    <w:p>
      <w:pPr>
        <w:spacing w:after="0" w:line="200" w:lineRule="exact"/>
        <w:rPr>
          <w:sz w:val="20"/>
          <w:szCs w:val="20"/>
          <w:color w:val="auto"/>
        </w:rPr>
      </w:pPr>
    </w:p>
    <w:p>
      <w:pPr>
        <w:spacing w:after="0" w:line="361"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103" w:lineRule="exact"/>
        <w:rPr>
          <w:sz w:val="20"/>
          <w:szCs w:val="20"/>
          <w:color w:val="auto"/>
        </w:rPr>
      </w:pPr>
    </w:p>
    <w:p>
      <w:pPr>
        <w:ind w:left="280" w:right="539" w:hanging="272"/>
        <w:spacing w:after="0" w:line="277"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wholly-owned subsidiary GSVC SVDS Holdings, Inc.</w:t>
      </w:r>
    </w:p>
    <w:p>
      <w:pPr>
        <w:spacing w:after="0" w:line="62" w:lineRule="exact"/>
        <w:rPr>
          <w:rFonts w:ascii="Arial" w:cs="Arial" w:eastAsia="Arial" w:hAnsi="Arial"/>
          <w:sz w:val="18"/>
          <w:szCs w:val="18"/>
          <w:color w:val="auto"/>
        </w:rPr>
      </w:pPr>
    </w:p>
    <w:p>
      <w:pPr>
        <w:jc w:val="both"/>
        <w:ind w:left="280" w:right="519" w:hanging="272"/>
        <w:spacing w:after="0" w:line="293" w:lineRule="auto"/>
        <w:tabs>
          <w:tab w:leader="none" w:pos="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October 22, 2013, Cricket Media (f/k/a ePals Inc.), priced its initial public offering, selling 40,267,333 shares at a price of CAD $0.075 per share. GSV Capital Corp.’s shares in Cricket Media (f/k/a ePals Inc.), are subject to a lock-up agreement which expired on February 23, 2014. At December 31, 2014, GSV Capital Corp. valued Cricket Media (f/k/a ePals Inc.), based on its December 31, 2014 closing price less 17.5%. GSV Capital Corp.’s Chief Executive Officer, Michael Moe is a Board member of Cricket Media (f/k/a ePals Inc.), which subjects GSV Capital Corp. to insider trading restrictions under Canadian securities law. As such, the Company has applied a 17.5% discount to reflect the aforementioned trading restrictions.</w:t>
      </w:r>
    </w:p>
    <w:p>
      <w:pPr>
        <w:spacing w:after="0" w:line="56" w:lineRule="exact"/>
        <w:rPr>
          <w:rFonts w:ascii="Arial" w:cs="Arial" w:eastAsia="Arial" w:hAnsi="Arial"/>
          <w:sz w:val="16"/>
          <w:szCs w:val="16"/>
          <w:color w:val="auto"/>
        </w:rPr>
      </w:pPr>
    </w:p>
    <w:p>
      <w:pPr>
        <w:jc w:val="both"/>
        <w:ind w:left="280" w:right="519" w:hanging="272"/>
        <w:spacing w:after="0" w:line="255"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March 28, 2014, 2U, Inc. (f/k/a 2tor, Inc.) priced its initial public offering, selling 9,175,000 shares at a price of $13 per share. GSV Capital Corp.’s shares in 2U, Inc. (f/k/a 2tor, Inc.) are subject to a lock-up agreement which expired on September 24, 2014. At December 31, 2014, GSV Capital Corp. valued 2U, Inc. (f/k/a 2tor, Inc.), based on its December 31, 2014 closing price less 10.0%. Michael Moe is a Board member of 2U, Inc. (f/k/a 2tor, Inc.), which subjects GSV Capital Corp. to insider trading restrictions under U.S securities law. As such, the Company has applied a 10.0% discount to reflect the aforementioned trading restrictions.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(10)On November 20, 2014, Totus Solutions, Inc., conducted a 10:1 stock split.</w:t>
      </w:r>
    </w:p>
    <w:p>
      <w:pPr>
        <w:spacing w:after="0" w:line="117" w:lineRule="exact"/>
        <w:rPr>
          <w:sz w:val="20"/>
          <w:szCs w:val="20"/>
          <w:color w:val="auto"/>
        </w:rPr>
      </w:pPr>
    </w:p>
    <w:p>
      <w:pPr>
        <w:jc w:val="both"/>
        <w:ind w:left="300" w:right="519" w:hanging="296"/>
        <w:spacing w:after="0" w:line="279" w:lineRule="auto"/>
        <w:rPr>
          <w:sz w:val="20"/>
          <w:szCs w:val="20"/>
          <w:color w:val="auto"/>
        </w:rPr>
      </w:pPr>
      <w:r>
        <w:rPr>
          <w:rFonts w:ascii="Arial" w:cs="Arial" w:eastAsia="Arial" w:hAnsi="Arial"/>
          <w:sz w:val="17"/>
          <w:szCs w:val="17"/>
          <w:color w:val="auto"/>
        </w:rPr>
        <w:t>(11)Refer to “Note 9 — Long Term Liabilities.” In accordance with the terms of the Company’s Convertible Senior Notes payable, the Company deposited $10,867,500 in an escrow account with the Trustee. These funds were used to purchase U.S. Treasury Strips with an original cost of $10,845,236. At December 31, 2014, the remaining government securities are shown on the Condensed Consolidated Schedule of Investments and have an amortized cost of $7,286,332.</w:t>
      </w:r>
    </w:p>
    <w:p>
      <w:pPr>
        <w:spacing w:after="0" w:line="63" w:lineRule="exact"/>
        <w:rPr>
          <w:sz w:val="20"/>
          <w:szCs w:val="20"/>
          <w:color w:val="auto"/>
        </w:rPr>
      </w:pPr>
    </w:p>
    <w:p>
      <w:pPr>
        <w:jc w:val="both"/>
        <w:ind w:left="320" w:right="539" w:hanging="312"/>
        <w:spacing w:after="0" w:line="286"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Interest will accrue daily on the unpaid principal balance of the note. Accrued interest is not payable until the earlier of a) the closing of a subsequent equity offering by CUX, Inc., or b) the maturity of the note (November 26, 2018). Interest will compound annually beginning on November 26, 2015.</w:t>
      </w:r>
    </w:p>
    <w:p>
      <w:pPr>
        <w:spacing w:after="0" w:line="200" w:lineRule="exact"/>
        <w:rPr>
          <w:sz w:val="20"/>
          <w:szCs w:val="20"/>
          <w:color w:val="auto"/>
        </w:rPr>
      </w:pPr>
    </w:p>
    <w:p>
      <w:pPr>
        <w:spacing w:after="0" w:line="290"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2015 (Unaudited)</w:t>
      </w:r>
    </w:p>
    <w:p>
      <w:pPr>
        <w:spacing w:after="0" w:line="126" w:lineRule="exact"/>
        <w:rPr>
          <w:sz w:val="20"/>
          <w:szCs w:val="20"/>
          <w:color w:val="auto"/>
        </w:rPr>
      </w:pPr>
    </w:p>
    <w:p>
      <w:pPr>
        <w:ind w:left="40" w:right="2979"/>
        <w:spacing w:after="0" w:line="401"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w:t>
      </w:r>
      <w:r>
        <w:rPr>
          <w:rFonts w:ascii="Arial" w:cs="Arial" w:eastAsia="Arial" w:hAnsi="Arial"/>
          <w:sz w:val="18"/>
          <w:szCs w:val="18"/>
          <w:b w:val="1"/>
          <w:bCs w:val="1"/>
          <w:u w:val="single" w:color="auto"/>
          <w:color w:val="auto"/>
        </w:rPr>
        <w:t>Nature of Operations</w:t>
      </w:r>
    </w:p>
    <w:p>
      <w:pPr>
        <w:spacing w:after="0" w:line="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GSV Capital Corp. (the “Company,” “GSV Capital” or “GSV”) was formed in September 2010 as a Maryland corporation structured as an externally managed, non-diversified closed-end management investment company. The Company has elected to be treated as a business development company under the Investment Company Act of 1940, as amended (the “1940 Act”). The Company’s investment activities are managed by GSV Asset Management, LLC (“GSV Asset Management”), and GSV Capital Service Company, LLC (“GSV Capital Service Company”) provides the administrative services necessary for the Company to operate.</w:t>
      </w:r>
    </w:p>
    <w:p>
      <w:pPr>
        <w:spacing w:after="0" w:line="85"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Company’s date of inception is January 6, 2011, which is the date it commenced its development stage activities. The Company’s shares are currently listed on the NASDAQ Capital Market under the symbol “GSVC”. The Company began its investment operations during the second quarter of 2011.</w:t>
      </w:r>
    </w:p>
    <w:p>
      <w:pPr>
        <w:spacing w:after="0" w:line="73"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On April 13, 2012, the Company formed a wholly-owned subsidiary, GSV Capital Lending, LLC (“GCL”), a Delaware limited liability company, which was formed to originate portfolio loan investments within the state of California.</w:t>
      </w:r>
    </w:p>
    <w:p>
      <w:pPr>
        <w:spacing w:after="0" w:line="62"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On November 28, 2012, the Company formed the following wholly-owned subsidiaries: GSVC AE Holdings, Inc. (“GAE”), GSVC AV Holdings, Inc. (“GAV”), GSVC NG Holdings, Inc. (“GNG”), GSVC SW Holdings, Inc. (“GSW”) and GSVC WS Holdings, Inc. (“GWS”). On July 12, 2013, the Company formed a wholly-owned subsidiary, SPNPM Holdings LLC (“SPNPM”). On August 13, 2013, the Company formed a wholly-owned subsidiary, GSVC SVDS Holdings, Inc. (“SVDS”). Collectively, these entities are known as the “GSVC Holdings”, all Delaware corporations, formed to hold portfolio investments.</w:t>
      </w:r>
    </w:p>
    <w:p>
      <w:pPr>
        <w:spacing w:after="0" w:line="64"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Company’s investment objective is to maximize its portfolio’s total return, principally by seeking capital gains on its equity and equity-related investments. The Company invests principally in the equity securities of what it believes to be rapidly growing venture capital-backed emerging companies. The Company acquires its investments through direct investments with prospective portfolio companies, secondary marketplaces for private companies and negotiations with selling stockholders. The Company may also invest on an opportunistic basis in select publicly traded equity securities or certain non-U.S. companies that otherwise meet its investment criteria.</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Summary of Significant Accounting Policies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The interim condensed consolidated financial statements of the Company are prepared on the accrual basis of accounting in conformity with U.S. generally accepted accounting principles (“GAAP”) and pursuant to the requirements for reporting on Form 10-Q and Regulation S-X. In the opinion of management, all adjustments, all of which were of a normal recurring nature, considered necessary for the fair presentation of financial statements for the interim period have been included. The results of operations for the current period are not necessarily indicative of results that ultimately may be achieved for any other interim period or for the year ending December 31, 2015. The interim unaudited condensed consolidated financial statements and notes hereto should be read in conjunction with the audited financial statements and notes thereto contained in the Company’s Annual Report on Form 10-K for the year ended December 31, 2014.</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Under Article 6 of Regulation S-X and the American Institute of Certified Public Accountants’ Audit and Accounting Guide for Investment Companies, the Company is precluded from consolidating any entity other than another investment company, a controlled operating company which provides substantially all of its services and benefits to the Company and certain entities established for tax purposes where the Company</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 w:name="page24"/>
    <w:bookmarkEnd w:id="2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2015 (Unaudited)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60" w:right="519"/>
        <w:spacing w:after="0" w:line="264" w:lineRule="auto"/>
        <w:rPr>
          <w:sz w:val="20"/>
          <w:szCs w:val="20"/>
          <w:color w:val="auto"/>
        </w:rPr>
      </w:pPr>
      <w:r>
        <w:rPr>
          <w:rFonts w:ascii="Arial" w:cs="Arial" w:eastAsia="Arial" w:hAnsi="Arial"/>
          <w:sz w:val="18"/>
          <w:szCs w:val="18"/>
          <w:color w:val="auto"/>
        </w:rPr>
        <w:t>holds a 100% interest. Accordingly, the Company’s condensed consolidated financial statements include its accounts and the accounts of the GSVC Holdings and GCL, its wholly-owned subsidiaries. All intercompany balances and transactions have been eliminated in consolidation.</w:t>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jc w:val="both"/>
        <w:ind w:left="60" w:right="519" w:firstLine="270"/>
        <w:spacing w:after="0" w:line="302" w:lineRule="auto"/>
        <w:rPr>
          <w:sz w:val="20"/>
          <w:szCs w:val="20"/>
          <w:color w:val="auto"/>
        </w:rPr>
      </w:pPr>
      <w:r>
        <w:rPr>
          <w:rFonts w:ascii="Arial" w:cs="Arial" w:eastAsia="Arial" w:hAnsi="Arial"/>
          <w:sz w:val="16"/>
          <w:szCs w:val="16"/>
          <w:color w:val="auto"/>
        </w:rPr>
        <w:t>Certain prior period amounts in the Condensed Consolidated Financial Statements have been reclassified to conform to the current period presentation. The Company has reclassified certain prior period accounts on the Condensed Consolidated Statements of Assets and Liabilities and Condensed Consolidated Statements of Operations to simplify the presentation. Refer to the table below for the reclassifications to the December 31, 2014 Condensed 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-3810</wp:posOffset>
            </wp:positionV>
            <wp:extent cx="52057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000" w:type="dxa"/>
            <w:vAlign w:val="bottom"/>
          </w:tcPr>
          <w:p>
            <w:pPr>
              <w:jc w:val="right"/>
              <w:ind w:right="54"/>
              <w:spacing w:after="0"/>
              <w:rPr>
                <w:sz w:val="20"/>
                <w:szCs w:val="20"/>
                <w:color w:val="auto"/>
              </w:rPr>
            </w:pPr>
            <w:r>
              <w:rPr>
                <w:rFonts w:ascii="Arial" w:cs="Arial" w:eastAsia="Arial" w:hAnsi="Arial"/>
                <w:sz w:val="14"/>
                <w:szCs w:val="14"/>
                <w:b w:val="1"/>
                <w:bCs w:val="1"/>
                <w:color w:val="auto"/>
              </w:rPr>
              <w:t>Reclassified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74"/>
              <w:spacing w:after="0"/>
              <w:rPr>
                <w:sz w:val="20"/>
                <w:szCs w:val="20"/>
                <w:color w:val="auto"/>
              </w:rPr>
            </w:pPr>
            <w:r>
              <w:rPr>
                <w:rFonts w:ascii="Arial" w:cs="Arial" w:eastAsia="Arial" w:hAnsi="Arial"/>
                <w:sz w:val="14"/>
                <w:szCs w:val="14"/>
                <w:b w:val="1"/>
                <w:bCs w:val="1"/>
                <w:color w:val="auto"/>
                <w:w w:val="97"/>
              </w:rPr>
              <w:t>Prior Period</w:t>
            </w:r>
          </w:p>
        </w:tc>
      </w:tr>
      <w:tr>
        <w:trPr>
          <w:trHeight w:val="171"/>
        </w:trPr>
        <w:tc>
          <w:tcPr>
            <w:tcW w:w="5960" w:type="dxa"/>
            <w:vAlign w:val="bottom"/>
          </w:tcPr>
          <w:p>
            <w:pPr>
              <w:spacing w:after="0"/>
              <w:rPr>
                <w:sz w:val="14"/>
                <w:szCs w:val="14"/>
                <w:color w:val="auto"/>
              </w:rPr>
            </w:pPr>
          </w:p>
        </w:tc>
        <w:tc>
          <w:tcPr>
            <w:tcW w:w="10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Amounts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Amounts</w:t>
            </w:r>
          </w:p>
        </w:tc>
      </w:tr>
      <w:tr>
        <w:trPr>
          <w:trHeight w:val="21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financing costs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2,928,134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ind w:left="20"/>
              <w:spacing w:after="0"/>
              <w:rPr>
                <w:sz w:val="20"/>
                <w:szCs w:val="20"/>
                <w:color w:val="auto"/>
              </w:rPr>
            </w:pPr>
            <w:r>
              <w:rPr>
                <w:rFonts w:ascii="Arial" w:cs="Arial" w:eastAsia="Arial" w:hAnsi="Arial"/>
                <w:sz w:val="18"/>
                <w:szCs w:val="18"/>
                <w:color w:val="auto"/>
              </w:rPr>
              <w:t>Deferred credit facility fees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261,065</w:t>
            </w: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debt issuance costs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2,667,069</w:t>
            </w:r>
          </w:p>
        </w:tc>
      </w:tr>
      <w:tr>
        <w:trPr>
          <w:trHeight w:val="216"/>
        </w:trPr>
        <w:tc>
          <w:tcPr>
            <w:tcW w:w="596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1000" w:type="dxa"/>
            <w:vAlign w:val="bottom"/>
          </w:tcPr>
          <w:p>
            <w:pPr>
              <w:jc w:val="right"/>
              <w:spacing w:after="0"/>
              <w:rPr>
                <w:sz w:val="20"/>
                <w:szCs w:val="20"/>
                <w:color w:val="auto"/>
              </w:rPr>
            </w:pPr>
            <w:r>
              <w:rPr>
                <w:rFonts w:ascii="Arial" w:cs="Arial" w:eastAsia="Arial" w:hAnsi="Arial"/>
                <w:sz w:val="18"/>
                <w:szCs w:val="18"/>
                <w:color w:val="auto"/>
              </w:rPr>
              <w:t>596,926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179,556</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417,370</w:t>
            </w:r>
          </w:p>
        </w:tc>
      </w:tr>
    </w:tbl>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was no net effect on the total assets, liabilities, or net assets as of December 31, 2014 as a result of these reclassifications.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the table below for the reclassifications to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 the three months ended June 30, 2014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42"/>
              <w:spacing w:after="0"/>
              <w:rPr>
                <w:sz w:val="20"/>
                <w:szCs w:val="20"/>
                <w:color w:val="auto"/>
              </w:rPr>
            </w:pPr>
            <w:r>
              <w:rPr>
                <w:rFonts w:ascii="Arial" w:cs="Arial" w:eastAsia="Arial" w:hAnsi="Arial"/>
                <w:sz w:val="14"/>
                <w:szCs w:val="14"/>
                <w:b w:val="1"/>
                <w:bCs w:val="1"/>
                <w:color w:val="auto"/>
                <w:w w:val="88"/>
              </w:rPr>
              <w:t>Reclassified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17"/>
              <w:spacing w:after="0"/>
              <w:rPr>
                <w:sz w:val="20"/>
                <w:szCs w:val="20"/>
                <w:color w:val="auto"/>
              </w:rPr>
            </w:pPr>
            <w:r>
              <w:rPr>
                <w:rFonts w:ascii="Arial" w:cs="Arial" w:eastAsia="Arial" w:hAnsi="Arial"/>
                <w:sz w:val="14"/>
                <w:szCs w:val="14"/>
                <w:b w:val="1"/>
                <w:bCs w:val="1"/>
                <w:color w:val="auto"/>
                <w:w w:val="97"/>
              </w:rPr>
              <w:t>Prior Period</w:t>
            </w:r>
          </w:p>
        </w:tc>
        <w:tc>
          <w:tcPr>
            <w:tcW w:w="0" w:type="dxa"/>
            <w:vAlign w:val="bottom"/>
          </w:tcPr>
          <w:p>
            <w:pPr>
              <w:spacing w:after="0"/>
              <w:rPr>
                <w:sz w:val="1"/>
                <w:szCs w:val="1"/>
                <w:color w:val="auto"/>
              </w:rPr>
            </w:pPr>
          </w:p>
        </w:tc>
      </w:tr>
      <w:tr>
        <w:trPr>
          <w:trHeight w:val="171"/>
        </w:trPr>
        <w:tc>
          <w:tcPr>
            <w:tcW w:w="58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2"/>
              </w:rPr>
              <w:t>Amounts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2"/>
              </w:rPr>
              <w:t>Amounts</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186,028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22,341</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Insurance expense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60,303</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Investor relations expense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103,384</w:t>
            </w:r>
          </w:p>
        </w:tc>
        <w:tc>
          <w:tcPr>
            <w:tcW w:w="0" w:type="dxa"/>
            <w:vAlign w:val="bottom"/>
          </w:tcPr>
          <w:p>
            <w:pPr>
              <w:spacing w:after="0"/>
              <w:rPr>
                <w:sz w:val="1"/>
                <w:szCs w:val="1"/>
                <w:color w:val="auto"/>
              </w:rPr>
            </w:pPr>
          </w:p>
        </w:tc>
      </w:tr>
      <w:tr>
        <w:trPr>
          <w:trHeight w:val="288"/>
        </w:trPr>
        <w:tc>
          <w:tcPr>
            <w:tcW w:w="5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 the six months ended June 30, 2014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right="42"/>
              <w:spacing w:after="0"/>
              <w:rPr>
                <w:sz w:val="20"/>
                <w:szCs w:val="20"/>
                <w:color w:val="auto"/>
              </w:rPr>
            </w:pPr>
            <w:r>
              <w:rPr>
                <w:rFonts w:ascii="Arial" w:cs="Arial" w:eastAsia="Arial" w:hAnsi="Arial"/>
                <w:sz w:val="14"/>
                <w:szCs w:val="14"/>
                <w:b w:val="1"/>
                <w:bCs w:val="1"/>
                <w:color w:val="auto"/>
                <w:w w:val="88"/>
              </w:rPr>
              <w:t>Reclassified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17"/>
              <w:spacing w:after="0"/>
              <w:rPr>
                <w:sz w:val="20"/>
                <w:szCs w:val="20"/>
                <w:color w:val="auto"/>
              </w:rPr>
            </w:pPr>
            <w:r>
              <w:rPr>
                <w:rFonts w:ascii="Arial" w:cs="Arial" w:eastAsia="Arial" w:hAnsi="Arial"/>
                <w:sz w:val="14"/>
                <w:szCs w:val="14"/>
                <w:b w:val="1"/>
                <w:bCs w:val="1"/>
                <w:color w:val="auto"/>
                <w:w w:val="97"/>
              </w:rPr>
              <w:t>Prior Period</w:t>
            </w:r>
          </w:p>
        </w:tc>
        <w:tc>
          <w:tcPr>
            <w:tcW w:w="0" w:type="dxa"/>
            <w:vAlign w:val="bottom"/>
          </w:tcPr>
          <w:p>
            <w:pPr>
              <w:spacing w:after="0"/>
              <w:rPr>
                <w:sz w:val="1"/>
                <w:szCs w:val="1"/>
                <w:color w:val="auto"/>
              </w:rPr>
            </w:pPr>
          </w:p>
        </w:tc>
      </w:tr>
      <w:tr>
        <w:trPr>
          <w:trHeight w:val="171"/>
        </w:trPr>
        <w:tc>
          <w:tcPr>
            <w:tcW w:w="58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2"/>
              </w:rPr>
              <w:t>Amounts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2"/>
              </w:rPr>
              <w:t>Amounts</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318,927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40,592</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Insurance expense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120,039</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Investor relations expense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158,296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-685165</wp:posOffset>
            </wp:positionV>
            <wp:extent cx="521398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60" w:right="519" w:firstLine="270"/>
        <w:spacing w:after="0" w:line="297" w:lineRule="auto"/>
        <w:rPr>
          <w:sz w:val="20"/>
          <w:szCs w:val="20"/>
          <w:color w:val="auto"/>
        </w:rPr>
      </w:pPr>
      <w:r>
        <w:rPr>
          <w:rFonts w:ascii="Arial" w:cs="Arial" w:eastAsia="Arial" w:hAnsi="Arial"/>
          <w:sz w:val="16"/>
          <w:szCs w:val="16"/>
          <w:color w:val="auto"/>
        </w:rPr>
        <w:t>The preparation of condensed consolidated financial statements requires the Company to make a number of significant estimates. These include estimates of the fair value of certain assets and liabilities and other estimates that affect the reported amounts of certain assets and liabilities as of the date of the condensed consolidated financial statements and the reported amounts of certain revenues and expenses during the reported period. It is likely that changes in these estimates will occur in the near term. The Company’s estimates are inherently subjective in nature and actual results could differ materially from such estimates.</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The Company applies fair value accounting in accordance with GAAP. The Company generally values its assets on a quarterly basis, or more frequently if required under the 1940 Act.</w:t>
      </w:r>
    </w:p>
    <w:p>
      <w:pPr>
        <w:spacing w:after="0" w:line="62" w:lineRule="exact"/>
        <w:rPr>
          <w:sz w:val="20"/>
          <w:szCs w:val="20"/>
          <w:color w:val="auto"/>
        </w:rPr>
      </w:pPr>
    </w:p>
    <w:p>
      <w:pPr>
        <w:jc w:val="both"/>
        <w:ind w:left="60" w:right="519" w:firstLine="270"/>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w:t>
      </w:r>
    </w:p>
    <w:p>
      <w:pPr>
        <w:spacing w:after="0" w:line="200" w:lineRule="exact"/>
        <w:rPr>
          <w:sz w:val="20"/>
          <w:szCs w:val="20"/>
          <w:color w:val="auto"/>
        </w:rPr>
      </w:pPr>
    </w:p>
    <w:p>
      <w:pPr>
        <w:spacing w:after="0" w:line="3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2015 (Unaudited)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539"/>
        <w:spacing w:after="0" w:line="259" w:lineRule="auto"/>
        <w:rPr>
          <w:sz w:val="20"/>
          <w:szCs w:val="20"/>
          <w:color w:val="auto"/>
        </w:rPr>
      </w:pPr>
      <w:r>
        <w:rPr>
          <w:rFonts w:ascii="Arial" w:cs="Arial" w:eastAsia="Arial" w:hAnsi="Arial"/>
          <w:sz w:val="18"/>
          <w:szCs w:val="18"/>
          <w:color w:val="auto"/>
        </w:rPr>
        <w:t>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75" w:lineRule="exact"/>
        <w:rPr>
          <w:sz w:val="20"/>
          <w:szCs w:val="20"/>
          <w:color w:val="auto"/>
        </w:rPr>
      </w:pPr>
    </w:p>
    <w:p>
      <w:pPr>
        <w:jc w:val="both"/>
        <w:ind w:left="40" w:right="539" w:firstLine="270"/>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based on unadjusted quoted prices for identical assets or liabilities in an active market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ability to access at the measurement date.</w:t>
      </w:r>
    </w:p>
    <w:p>
      <w:pPr>
        <w:spacing w:after="0" w:line="54" w:lineRule="exact"/>
        <w:rPr>
          <w:sz w:val="20"/>
          <w:szCs w:val="20"/>
          <w:color w:val="auto"/>
        </w:rPr>
      </w:pPr>
    </w:p>
    <w:p>
      <w:pPr>
        <w:jc w:val="both"/>
        <w:ind w:left="40" w:right="519" w:firstLine="270"/>
        <w:spacing w:after="0" w:line="289" w:lineRule="auto"/>
        <w:rPr>
          <w:sz w:val="20"/>
          <w:szCs w:val="20"/>
          <w:color w:val="auto"/>
        </w:rPr>
      </w:pPr>
      <w:r>
        <w:rPr>
          <w:rFonts w:ascii="Arial" w:cs="Arial" w:eastAsia="Arial" w:hAnsi="Arial"/>
          <w:sz w:val="17"/>
          <w:szCs w:val="17"/>
          <w:b w:val="1"/>
          <w:bCs w:val="1"/>
          <w:color w:val="auto"/>
        </w:rPr>
        <w:t xml:space="preserve">Level 2 </w:t>
      </w:r>
      <w:r>
        <w:rPr>
          <w:rFonts w:ascii="Arial" w:cs="Arial" w:eastAsia="Arial" w:hAnsi="Arial"/>
          <w:sz w:val="17"/>
          <w:szCs w:val="17"/>
          <w:color w:val="auto"/>
        </w:rPr>
        <w:t>— Valuations based on observable inputs other than Level 1 prices, such as quoted prices for similar assets or</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quoted prices in markets that are not active; or other inputs that are observable or can be corroborated by observable market data at the measurement date for substantially the full term of the assets or liabilities.</w:t>
      </w:r>
    </w:p>
    <w:p>
      <w:pPr>
        <w:spacing w:after="0" w:line="50"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unobservable inputs that reflect management’s best estimate of what market participants would</w:t>
      </w:r>
      <w:r>
        <w:rPr>
          <w:rFonts w:ascii="Arial" w:cs="Arial" w:eastAsia="Arial" w:hAnsi="Arial"/>
          <w:sz w:val="18"/>
          <w:szCs w:val="18"/>
          <w:b w:val="1"/>
          <w:bCs w:val="1"/>
          <w:color w:val="auto"/>
        </w:rPr>
        <w:t xml:space="preserve"> </w:t>
      </w:r>
      <w:r>
        <w:rPr>
          <w:rFonts w:ascii="Arial" w:cs="Arial" w:eastAsia="Arial" w:hAnsi="Arial"/>
          <w:sz w:val="18"/>
          <w:szCs w:val="18"/>
          <w:color w:val="auto"/>
        </w:rPr>
        <w:t>use in pricing the asset or liability at the measurement date. Consideration is given to the risk inherent in the valuation technique and the risk inherent in the inputs to the model.</w:t>
      </w:r>
    </w:p>
    <w:p>
      <w:pPr>
        <w:spacing w:after="0" w:line="72"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3 may include changes in fair value that are attributable to both observable inputs (Levels 1 and 2) and unobservable inputs (Level 3).</w:t>
      </w:r>
    </w:p>
    <w:p>
      <w:pPr>
        <w:spacing w:after="0" w:line="50"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quarter in which the reclassifications occur. Refer to “Levelling Policy” for a detailed discussion of the levelling of the Company’s financial assets or liabilities and events that may cause a reclassification with the fair value hierarchy.</w:t>
      </w:r>
    </w:p>
    <w:p>
      <w:pPr>
        <w:spacing w:after="0" w:line="80"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Securities for which market quotations are readily available on an exchange are valued at the closing price of such security on the valuation date; however, if they are subject to restrictions upon sale (such as lock-up restrictions), they may be discounted accordingly.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50"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Securities for which reliable market quotations are not readily available or for which the pricing source does not provide a valuation or methodology or provides a valuation or methodology that, in the judgment of GSV Asset Management, the board of directors or the valuation committee of the board of directors (the “Valuation Committee”), does not represent fair value, shall each be valued as follows:</w:t>
      </w:r>
    </w:p>
    <w:p>
      <w:pPr>
        <w:spacing w:after="0" w:line="79" w:lineRule="exact"/>
        <w:rPr>
          <w:sz w:val="20"/>
          <w:szCs w:val="20"/>
          <w:color w:val="auto"/>
        </w:rPr>
      </w:pPr>
    </w:p>
    <w:p>
      <w:pPr>
        <w:ind w:left="540" w:right="539" w:hanging="26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responsible for the portfolio investment;</w:t>
      </w:r>
    </w:p>
    <w:p>
      <w:pPr>
        <w:spacing w:after="0" w:line="62" w:lineRule="exact"/>
        <w:rPr>
          <w:rFonts w:ascii="Arial" w:cs="Arial" w:eastAsia="Arial" w:hAnsi="Arial"/>
          <w:sz w:val="18"/>
          <w:szCs w:val="18"/>
          <w:color w:val="auto"/>
        </w:rPr>
      </w:pPr>
    </w:p>
    <w:p>
      <w:pPr>
        <w:ind w:left="540" w:hanging="262"/>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Preliminary valuation conclusions are then documented and discussed with GSV Asset Management senior management;</w:t>
      </w:r>
    </w:p>
    <w:p>
      <w:pPr>
        <w:spacing w:after="0" w:line="140" w:lineRule="exact"/>
        <w:rPr>
          <w:rFonts w:ascii="Arial" w:cs="Arial" w:eastAsia="Arial" w:hAnsi="Arial"/>
          <w:sz w:val="16"/>
          <w:szCs w:val="16"/>
          <w:color w:val="auto"/>
        </w:rPr>
      </w:pPr>
    </w:p>
    <w:p>
      <w:pPr>
        <w:jc w:val="both"/>
        <w:ind w:left="540" w:right="539" w:hanging="262"/>
        <w:spacing w:after="0" w:line="264"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or on behalf of, the Valuation Committee to conduct independent appraisals and review management’s preliminary valuations and make their own independent assessment, for all material investments;</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5" w:name="page26"/>
    <w:bookmarkEnd w:id="2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2015 (Unaudited)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560" w:right="519" w:hanging="262"/>
        <w:spacing w:after="0" w:line="264"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Valuation Committee discusses the valuations and recommends to the Company’s board of directors a fair value for each investment in the portfolio in good faith based on the input of GSV Asset Management and the independent third-party valuation firm; and,</w:t>
      </w:r>
    </w:p>
    <w:p>
      <w:pPr>
        <w:spacing w:after="0" w:line="73" w:lineRule="exact"/>
        <w:rPr>
          <w:rFonts w:ascii="Arial" w:cs="Arial" w:eastAsia="Arial" w:hAnsi="Arial"/>
          <w:sz w:val="18"/>
          <w:szCs w:val="18"/>
          <w:color w:val="auto"/>
        </w:rPr>
      </w:pPr>
    </w:p>
    <w:p>
      <w:pPr>
        <w:ind w:left="560" w:right="539" w:hanging="262"/>
        <w:spacing w:after="0" w:line="277"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board of directors then discusses the valuations recommended by the Valuation Committee and determines in good faith the fair value of each investment in the portfolio.</w:t>
      </w:r>
    </w:p>
    <w:p>
      <w:pPr>
        <w:spacing w:after="0" w:line="62" w:lineRule="exact"/>
        <w:rPr>
          <w:sz w:val="20"/>
          <w:szCs w:val="20"/>
          <w:color w:val="auto"/>
        </w:rPr>
      </w:pPr>
    </w:p>
    <w:p>
      <w:pPr>
        <w:jc w:val="both"/>
        <w:ind w:left="60" w:right="519" w:firstLine="270"/>
        <w:spacing w:after="0" w:line="272" w:lineRule="auto"/>
        <w:rPr>
          <w:sz w:val="20"/>
          <w:szCs w:val="20"/>
          <w:color w:val="auto"/>
        </w:rPr>
      </w:pPr>
      <w:r>
        <w:rPr>
          <w:rFonts w:ascii="Arial" w:cs="Arial" w:eastAsia="Arial" w:hAnsi="Arial"/>
          <w:sz w:val="17"/>
          <w:szCs w:val="17"/>
          <w:color w:val="auto"/>
        </w:rPr>
        <w:t>In making a good faith determination of the fair value of investments, the Company considers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The Company assigns a weighting based upon the relevance of each method to determine the fair value of each investment.</w:t>
      </w:r>
    </w:p>
    <w:p>
      <w:pPr>
        <w:spacing w:after="0" w:line="70"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 xml:space="preserve">The Company engages at least one independent valuation firm to perform valuations of its investments that are not publicly traded or for which there are no readily available market quotations. The Company considers the independent valuations provided by the valuation firm(s), among other factors, in making its fair value determinations. The table below shows the percentages of the Company’s </w:t>
      </w:r>
      <w:r>
        <w:rPr>
          <w:rFonts w:ascii="Arial" w:cs="Arial" w:eastAsia="Arial" w:hAnsi="Arial"/>
          <w:sz w:val="18"/>
          <w:szCs w:val="18"/>
          <w:u w:val="single" w:color="auto"/>
          <w:color w:val="auto"/>
        </w:rPr>
        <w:t>non-publicly traded investments</w:t>
      </w:r>
      <w:r>
        <w:rPr>
          <w:rFonts w:ascii="Arial" w:cs="Arial" w:eastAsia="Arial" w:hAnsi="Arial"/>
          <w:sz w:val="18"/>
          <w:szCs w:val="18"/>
          <w:color w:val="auto"/>
        </w:rPr>
        <w:t>, for which an independent valuation firm was engaged to perform valuations, during the current and 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52139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For the quarter ended March 31, 2014</w:t>
            </w:r>
          </w:p>
        </w:tc>
        <w:tc>
          <w:tcPr>
            <w:tcW w:w="2880" w:type="dxa"/>
            <w:vAlign w:val="bottom"/>
          </w:tcPr>
          <w:p>
            <w:pPr>
              <w:jc w:val="right"/>
              <w:ind w:right="70"/>
              <w:spacing w:after="0"/>
              <w:rPr>
                <w:sz w:val="20"/>
                <w:szCs w:val="20"/>
                <w:color w:val="auto"/>
              </w:rPr>
            </w:pPr>
            <w:r>
              <w:rPr>
                <w:rFonts w:ascii="Arial" w:cs="Arial" w:eastAsia="Arial" w:hAnsi="Arial"/>
                <w:sz w:val="18"/>
                <w:szCs w:val="18"/>
                <w:color w:val="auto"/>
              </w:rPr>
              <w:t>100%</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quarter ended June 30, 2014</w:t>
            </w:r>
          </w:p>
        </w:tc>
        <w:tc>
          <w:tcPr>
            <w:tcW w:w="2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For the quarter ended September 30, 2014</w:t>
            </w:r>
          </w:p>
        </w:tc>
        <w:tc>
          <w:tcPr>
            <w:tcW w:w="2880" w:type="dxa"/>
            <w:vAlign w:val="bottom"/>
          </w:tcPr>
          <w:p>
            <w:pPr>
              <w:jc w:val="right"/>
              <w:ind w:right="70"/>
              <w:spacing w:after="0"/>
              <w:rPr>
                <w:sz w:val="20"/>
                <w:szCs w:val="20"/>
                <w:color w:val="auto"/>
              </w:rPr>
            </w:pPr>
            <w:r>
              <w:rPr>
                <w:rFonts w:ascii="Arial" w:cs="Arial" w:eastAsia="Arial" w:hAnsi="Arial"/>
                <w:sz w:val="18"/>
                <w:szCs w:val="18"/>
                <w:color w:val="auto"/>
              </w:rPr>
              <w:t>100%</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quarter ended December 31, 2014</w:t>
            </w:r>
          </w:p>
        </w:tc>
        <w:tc>
          <w:tcPr>
            <w:tcW w:w="2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For the quarter ended March 31, 2015</w:t>
            </w:r>
          </w:p>
        </w:tc>
        <w:tc>
          <w:tcPr>
            <w:tcW w:w="2880" w:type="dxa"/>
            <w:vAlign w:val="bottom"/>
          </w:tcPr>
          <w:p>
            <w:pPr>
              <w:jc w:val="right"/>
              <w:ind w:right="70"/>
              <w:spacing w:after="0"/>
              <w:rPr>
                <w:sz w:val="20"/>
                <w:szCs w:val="20"/>
                <w:color w:val="auto"/>
              </w:rPr>
            </w:pPr>
            <w:r>
              <w:rPr>
                <w:rFonts w:ascii="Arial" w:cs="Arial" w:eastAsia="Arial" w:hAnsi="Arial"/>
                <w:sz w:val="18"/>
                <w:szCs w:val="18"/>
                <w:color w:val="auto"/>
              </w:rPr>
              <w:t>100%</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quarter ended June 30, 2015</w:t>
            </w:r>
          </w:p>
        </w:tc>
        <w:tc>
          <w:tcPr>
            <w:tcW w:w="2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r>
    </w:tbl>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17" w:lineRule="exact"/>
        <w:rPr>
          <w:sz w:val="20"/>
          <w:szCs w:val="20"/>
          <w:color w:val="auto"/>
        </w:rPr>
      </w:pPr>
    </w:p>
    <w:p>
      <w:pPr>
        <w:jc w:val="both"/>
        <w:ind w:left="60" w:right="519" w:firstLine="270"/>
        <w:spacing w:after="0" w:line="255" w:lineRule="auto"/>
        <w:rPr>
          <w:sz w:val="20"/>
          <w:szCs w:val="20"/>
          <w:color w:val="auto"/>
        </w:rPr>
      </w:pPr>
      <w:r>
        <w:rPr>
          <w:rFonts w:ascii="Arial" w:cs="Arial" w:eastAsia="Arial" w:hAnsi="Arial"/>
          <w:sz w:val="18"/>
          <w:szCs w:val="18"/>
          <w:color w:val="auto"/>
        </w:rPr>
        <w:t>Equity investments for which market quotations are readily available in an active market are generally valued at the most recently available closing market prices and are classified as Level 1 assets. However, equity investments with readily available market quotations that are subject to sales restrictions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85" w:lineRule="exact"/>
        <w:rPr>
          <w:sz w:val="20"/>
          <w:szCs w:val="20"/>
          <w:color w:val="auto"/>
        </w:rPr>
      </w:pPr>
    </w:p>
    <w:p>
      <w:pPr>
        <w:jc w:val="both"/>
        <w:ind w:left="60" w:right="519" w:firstLine="270"/>
        <w:spacing w:after="0" w:line="289" w:lineRule="auto"/>
        <w:rPr>
          <w:sz w:val="20"/>
          <w:szCs w:val="20"/>
          <w:color w:val="auto"/>
        </w:rPr>
      </w:pPr>
      <w:r>
        <w:rPr>
          <w:rFonts w:ascii="Arial" w:cs="Arial" w:eastAsia="Arial" w:hAnsi="Arial"/>
          <w:sz w:val="16"/>
          <w:szCs w:val="16"/>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relevant portfolio company’s most recently available historical and projected financial results, public market comparables, and other factors. The Company may also consider other events, including the transaction in which the Company acquired its securities, subsequent equity sales by the Portfolio Company, mergers or acquisitions affecting the portfolio company, or the completion of an initial public offering (“IPO”) by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200" w:lineRule="exact"/>
        <w:rPr>
          <w:sz w:val="20"/>
          <w:szCs w:val="20"/>
          <w:color w:val="auto"/>
        </w:rPr>
      </w:pPr>
    </w:p>
    <w:p>
      <w:pPr>
        <w:spacing w:after="0" w:line="30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2015 (Unaudited)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generally uses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 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Debt Investments</w:t>
      </w:r>
    </w:p>
    <w:p>
      <w:pPr>
        <w:spacing w:after="0" w:line="11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Given the nature of the Company’s current debt investments (excluding U.S. Treasuries), principally convertible and promissory notes issued by venture capital-backed portfolio companies, these investments are Level 3 assets because there is no known or accessible market or market indexes for these investment securities to be traded or exchanged. The Company values its debt investments at amortized cost plus accrued interest which approximates fair value.</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board of directors will ascribe value to warrants based on fair value analyses that can include discounted cash flow analyses, option pricing models, comparable analyses and other techniques as deemed appropriate.</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Levelling Policy</w:t>
      </w:r>
    </w:p>
    <w:p>
      <w:pPr>
        <w:spacing w:after="0" w:line="117"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The portfolio companies in which the Company invests periodically offer their shares in IPOs. The Company’s shares in the portfolio companies are typically subject to lock-up agreements for 180 days following the IPO. Upon the IPO date, the Company transfers its investment from Level 3 to Level 2 due to the presence of an active market, limited by the lock-up agreement. The Company prices the investment at the closing price on a public exchange as of the measurement date, subject to an appropriate DLOM. Once the lock-up expires, the Company typically transfers the investment from Level 2 to Level 1 and prices the investment based on the closing price on a public exchange as of the measurement date. In situations where the lock-up has expired, but other factors restrict the sale of the investment, the Company will consider the nature of any restrictions on the sale of the investment. The Company will classify the investment as either Level 2 subject to an appropriate DLOM to reflect the restrictions upon sale or as Level 1. The Company transfers investments between levels based on the fair value at the end of measurement period in accordance with ASC 820.</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Valuation of Other Financial Instruments</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carrying amounts of the Company’s other, non-investment, financial instruments, consisting of cash, receivables, accounts payable, and accrued expenses, approximate fair value due to their short-term nature. The embedded derivative liability is carried at fair value.</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Securities Transactions</w:t>
      </w:r>
    </w:p>
    <w:p>
      <w:pPr>
        <w:spacing w:after="0" w:line="117"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Securities transactions are accounted for on the date the transaction for the purchase or sale of the securities is entered into by the Company (i.e.,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2015 (Unaudited)</w:t>
      </w:r>
    </w:p>
    <w:p>
      <w:pPr>
        <w:spacing w:after="0" w:line="126" w:lineRule="exact"/>
        <w:rPr>
          <w:sz w:val="20"/>
          <w:szCs w:val="20"/>
          <w:color w:val="auto"/>
        </w:rPr>
      </w:pPr>
    </w:p>
    <w:p>
      <w:pPr>
        <w:ind w:left="40" w:right="1859"/>
        <w:spacing w:after="0" w:line="401"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 (continued) </w:t>
      </w:r>
      <w:r>
        <w:rPr>
          <w:rFonts w:ascii="Arial" w:cs="Arial" w:eastAsia="Arial" w:hAnsi="Arial"/>
          <w:sz w:val="18"/>
          <w:szCs w:val="18"/>
          <w:b w:val="1"/>
          <w:bCs w:val="1"/>
          <w:i w:val="1"/>
          <w:iCs w:val="1"/>
          <w:color w:val="auto"/>
        </w:rPr>
        <w:t>Portfolio Company Investment Classification</w:t>
      </w:r>
    </w:p>
    <w:p>
      <w:pPr>
        <w:spacing w:after="0" w:line="1"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GSV is a non-diversified company within the meaning of the 1940 Act. GSV classifies its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another person. Refer to the Condensed Consolidated Schedules of Investments as of June 30, 2015 and December 31, 2014, respectively, for details regarding the nature and composition of the Company’s portfolio.</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Company places its cash with U.S. Bank, N.A., and Silicon Valley Bank, and at times, cash held in these accounts may exceed the Federal Deposit Insurance Corporation insured limit. The Company may invest a portion of its cash in money market funds, within limitations of the 1940 Act.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17"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On December 31, 2013, the Company entered into a Loan and Security Agreement (the “Loan Agreement”) with Silicon Valley Bank, pursuant to which Silicon Valley Bank agreed to provide the Company with an $18 million credit facility (the “Credit Facility”). The Company recorded origination expenses related to the Credit Facility as deferred financing costs. These expenses are deferred and amortized as part of interest expense using the effective interest method over the respective expected life of the Credit Facility. In the event that the Company modifies or extinguishes the Credit Facility, it follows the guidance in ASC 470-50, Modification and Extinguishments (“ASC 470-50”). For modifications to or exchanges of the Credit Facility, any unamortized deferred costs are expensed. As of June 30, 2015, $146,238 remains to be amortized and is included within deferred financing costs on the Condensed Consolidated Statements of Assets and Liabilities.</w:t>
      </w:r>
    </w:p>
    <w:p>
      <w:pPr>
        <w:spacing w:after="0" w:line="71"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On September 17, 2013, the Company issued $69 million aggregate principal amount of the Convertible Senior Notes, which bear interest at a fixed rate of 5.25% per year and mature on September 15, 2018 (the “Convertible Senior Notes”) (including $9 million aggregate principal amount issued pursuant to the exercise of the initial purchasers’ option to purchase additional Convertible Senior Notes). The Company recorded origination expenses related to the Convertible Senior Notes as deferred financing costs. These expenses are deferred and amortized as part of interest expense using the effective interest method over the respective life of the Convertible Senior Notes. In the event that the Company modifies or extinguishes its debt before maturity, it follows the guidance in ASC 470-50. For extinguishments of the Convertible Senior Notes, any unamortized deferred costs are deducted from the basis of the debt in determining the gain or loss from the extinguishment. Proceeds from the issuance of the Convertible Senior Notes were offset by offering costs of approximately $3,585,929</w:t>
      </w:r>
      <w:r>
        <w:rPr>
          <w:rFonts w:ascii="Arial" w:cs="Arial" w:eastAsia="Arial" w:hAnsi="Arial"/>
          <w:sz w:val="16"/>
          <w:szCs w:val="16"/>
          <w:i w:val="1"/>
          <w:iCs w:val="1"/>
          <w:color w:val="auto"/>
        </w:rPr>
        <w:t>.</w:t>
      </w:r>
      <w:r>
        <w:rPr>
          <w:rFonts w:ascii="Arial" w:cs="Arial" w:eastAsia="Arial" w:hAnsi="Arial"/>
          <w:sz w:val="16"/>
          <w:szCs w:val="16"/>
          <w:color w:val="auto"/>
        </w:rPr>
        <w:t xml:space="preserve"> As of June 30, 2015, $2,310,277 remains to be amortized and is included within deferred financing costs on the Condensed Consolidated Statements of Assets and Liabilities.</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As of June 30, 2015, and December 31, 2014, respectively, the Company had Restricted Cash of $41,181 and $48,889 which is included on the Condensed Consolidated Statements of Assets and Liabilities. Restricted Cash consists of excess funds remaining in escrow after the purchase of the government securities that will be used to make the scheduled interest payments on the Convertible Senior Notes. See Note 9 for further detail. As of June 30, 2015, and December 31, 2014, restricted cash included a $25,000 deposit for the Company’s fidelity bond.</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2015 (Unaudited)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Gains or losses on the sale of investments are determined using the specific identification method.</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Interest: </w:t>
      </w:r>
      <w:r>
        <w:rPr>
          <w:rFonts w:ascii="Arial" w:cs="Arial" w:eastAsia="Arial" w:hAnsi="Arial"/>
          <w:sz w:val="17"/>
          <w:szCs w:val="17"/>
          <w:color w:val="auto"/>
        </w:rPr>
        <w:t>Interest income, adjusted for amortization of premium and accretion of discount, is recorded on an accrual basis.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Dividend income is recognized on the ex-dividend date.</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 Transaction Costs and Escrow Deposits</w:t>
      </w:r>
    </w:p>
    <w:p>
      <w:pPr>
        <w:spacing w:after="0" w:line="117"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Commissions and other costs associated with an investment transaction, including legal expenses not reimbursed by the issuer, are included in the cost basis of purchases and deducted from the proceeds of sales. The Company makes certain acquisitions on the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These transactions are reflected on the Statement of Assets and Liabilities as Escrow deposits. At June 30, 2015, and December 31, 2014, the Company had no Escrow deposits.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Unrealized Appreciation or Depreciation on Investments</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Unrealized appreciation or depreciation is calculated as the difference between the fair value of the investment and the cost basis of such investment.</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117" w:lineRule="exact"/>
        <w:rPr>
          <w:sz w:val="20"/>
          <w:szCs w:val="20"/>
          <w:color w:val="auto"/>
        </w:rPr>
      </w:pPr>
    </w:p>
    <w:p>
      <w:pPr>
        <w:jc w:val="both"/>
        <w:ind w:left="40" w:right="539" w:firstLine="270"/>
        <w:spacing w:after="0" w:line="297" w:lineRule="auto"/>
        <w:rPr>
          <w:sz w:val="20"/>
          <w:szCs w:val="20"/>
          <w:color w:val="auto"/>
        </w:rPr>
      </w:pPr>
      <w:r>
        <w:rPr>
          <w:rFonts w:ascii="Arial" w:cs="Arial" w:eastAsia="Arial" w:hAnsi="Arial"/>
          <w:sz w:val="16"/>
          <w:szCs w:val="16"/>
          <w:color w:val="auto"/>
        </w:rPr>
        <w:t>The Company uses the asset and liability method of accounting for income taxes. Deferred tax assets and liabilities are recorded for tax loss carryforwards and temporary differences between the tax basis of assets and liabilities and their reported amounts in the condensed consolidated financial statements, using statutory tax rates in effect for the year in which the temporary differences are expected to reverse. Certain tax attributes may be subject to limitations on timing and usage. A valuation allowance is provided against deferred tax assets when it is more likely than not that some portion or all of the deferred tax assets will not be realized.</w:t>
      </w:r>
    </w:p>
    <w:p>
      <w:pPr>
        <w:spacing w:after="0" w:line="50"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The Company evaluates tax positions taken or expected to be taken in the course of preparing its condensed consolidated financial statements to determine whether the tax positions meet the “more-likely-than-not” threshold of being sustained by the applicable tax authority. The Company only recognizes the tax benefits of uncertain tax positions that meet the “more-likely-than-not” threshold. The Company classifies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w:t>
      </w:r>
    </w:p>
    <w:p>
      <w:pPr>
        <w:spacing w:after="0" w:line="70"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The Company was taxed as a regular corporation (a “C corporation”) under subchapter C of the Internal Revenue Code of 1986, as amended, (“the Code”), for its 2012 taxable year. In September 2014 the Company filed its 2013 tax return as a regulated investment company (a “RIC”) and is seeking to be granted RIC status for its 2013 taxable year, however, the Company will not be eligible to elect to be treated as a RIC for the 2013 taxable year unless it is certified by the Securities and Exchange Commission (the “SEC”) as “principally engaged in the furnishing of capital to other corporations which are principally engaged in the development or exploitation of inventions, technological improvements, new processes, or products not previously generally available” for the 2013 taxable year (such certification, an “SEC Certification”).</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2015 (Unaudited)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519"/>
        <w:spacing w:after="0" w:line="271" w:lineRule="auto"/>
        <w:rPr>
          <w:sz w:val="20"/>
          <w:szCs w:val="20"/>
          <w:color w:val="auto"/>
        </w:rPr>
      </w:pPr>
      <w:r>
        <w:rPr>
          <w:rFonts w:ascii="Arial" w:cs="Arial" w:eastAsia="Arial" w:hAnsi="Arial"/>
          <w:sz w:val="17"/>
          <w:szCs w:val="17"/>
          <w:color w:val="auto"/>
        </w:rPr>
        <w:t>Although the Company filed an application with the SEC for an SEC Certification for the 2013 taxable year, there can be no assurance that it will receive an SEC Certification. In the event that the Company does not receive such SEC Certification or is otherwise unable to meet all of the qualifications to be treated as a RIC for 2013, it will be taxed as a C Corporation for the 2013 taxable year. Should the Company not qualify as a RIC for 2013, it intends to elect to be treated as a RIC for its 2014 taxable year and 2015 taxable year, if the Company’s management determines that it is in its best interests to do so. For example, it may not be in the Company’s best interests in the event that it experiences large operating losses or has large loss carryforwards. If the Company opts not to do so or is unable to qualify, it will continue to be taxed as a C corporation under the Code for its 2014 taxable year and 2015 taxable year. Refer to Note 8 for further details.</w:t>
      </w:r>
    </w:p>
    <w:p>
      <w:pPr>
        <w:spacing w:after="0" w:line="71"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6"/>
          <w:szCs w:val="16"/>
          <w:color w:val="auto"/>
        </w:rPr>
        <w:t>In order to qualify as a RIC, among other things, the Company is required to distribute to its stockholders on a timely basis at least 90% of investment company taxable income, as defined by the Code, for each year, and meet certain asset diversification requirements on a quarterly basis. So long as the Company qualifies and maintains its status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condensed consolidated financial statements of the Company. Included in the Company’s condensed consolidated financial statements, the GSVC Holdings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condensed consolidated financial statements. At the present time, the Company cannot assure its investors that it will be eligible to elect to be taxed as a RIC for its 2013 taxable year. If it is not treated as a RIC for 2013, the Company will be taxed as a C corporation under the Code for the 2013 taxable year. Until such time as it qualifies and elects to be taxed as a RIC, the Company will provide for income taxes, if any, as a C Corp. The Company intends to elect to be taxed as a RIC for its 2014 taxable year and 2015 taxable year, if management determines that it is in the Company’s best interests to do so.</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117"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Basic earnings (loss) per common share, is computed using the weighted average number of shares outstanding for the period presented. Diluted earnings per share is computed by dividing net income (loss) for the period adjusted to include the pre-tax effects of interest incurred on potentially dilutive securities, by the weighted average number of common shares outstanding plus any potentially dilutive shares outstanding during the period. The Company used the if-converted method in accordance with ASC 260 to determine the number of potentially dilutive shares outstanding. Refer to Note 5 for further detail.</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Capital Accounts</w:t>
      </w:r>
    </w:p>
    <w:p>
      <w:pPr>
        <w:spacing w:after="0" w:line="117"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color w:val="auto"/>
        </w:rPr>
        <w:t>Certain capital accounts including undistributed net investment income or loss, accumulated net realized gain or loss, net unrealized appreciation or depreciation, and paid-in capital in excess of par, are adjusted, at least annually, for permanent differences between book and tax. In addition, the character of income and gains to be distributed is determined in accordance with income tax regulations that may differ from GAAP. GAAP requires that certain components of net assets relating to permanent differences are to be reclassified between financial statement reporting and tax reporting. These reclassifications have no effect on the net assets or net asset value per share and are intended to enable the Company’s stockholders to determine the amount of accumulated and undistributed earnings they potentially could receive in the future and on which they could be taxed.</w:t>
      </w:r>
    </w:p>
    <w:p>
      <w:pPr>
        <w:spacing w:after="0" w:line="200" w:lineRule="exact"/>
        <w:rPr>
          <w:sz w:val="20"/>
          <w:szCs w:val="20"/>
          <w:color w:val="auto"/>
        </w:rPr>
      </w:pPr>
    </w:p>
    <w:p>
      <w:pPr>
        <w:spacing w:after="0" w:line="30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2015 (Unaudited)</w:t>
      </w:r>
    </w:p>
    <w:p>
      <w:pPr>
        <w:spacing w:after="0" w:line="126" w:lineRule="exact"/>
        <w:rPr>
          <w:sz w:val="20"/>
          <w:szCs w:val="20"/>
          <w:color w:val="auto"/>
        </w:rPr>
      </w:pPr>
    </w:p>
    <w:p>
      <w:pPr>
        <w:ind w:left="40" w:right="1859"/>
        <w:spacing w:after="0" w:line="401"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 (continued) </w:t>
      </w:r>
      <w:r>
        <w:rPr>
          <w:rFonts w:ascii="Arial" w:cs="Arial" w:eastAsia="Arial" w:hAnsi="Arial"/>
          <w:sz w:val="18"/>
          <w:szCs w:val="18"/>
          <w:b w:val="1"/>
          <w:bCs w:val="1"/>
          <w:i w:val="1"/>
          <w:iCs w:val="1"/>
          <w:color w:val="auto"/>
        </w:rPr>
        <w:t>Recently Adopted Accounting Standards</w:t>
      </w:r>
    </w:p>
    <w:p>
      <w:pPr>
        <w:spacing w:after="0" w:line="1"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In April 2015, the Financial Accounting Standards Board issued Accounting Standards Update 2015-03, Interest — Imputation of Interest (Topic 835): Simplifying the Presentation of Debt Issuance Costs (“ASU 2015-03”). ASU 2015-03 requires companies to present debt issuance costs related to a recognized debt liability in the Condensed Consolidated Statement of Assets and Liabilities as a direct deduction from the carrying amount of that debt liability, consistent with debt discounts. Public companies are required to apply ASU 2015-03 retrospectively for interim and annual reporting periods beginning after December 15, 2015.</w:t>
      </w:r>
    </w:p>
    <w:p>
      <w:pPr>
        <w:spacing w:after="0" w:line="50"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Company does not believe that the adoption of any recently issued accounting standards, had or will have a material impact on its current financial position and results of operations.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RELATED-PARTY ARRANGEMENTS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Investment Advisory Agreement</w:t>
      </w:r>
    </w:p>
    <w:p>
      <w:pPr>
        <w:spacing w:after="0" w:line="121"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The Company entered into an investment advisory agreement with GSV Asset Management (the “Advisory Agreement”) in connection with its IPO. Pursuant to the Advisory Agreement, GSV Asset Management will be paid a base annual fee of 2% of gross assets, and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Incentive Fees</w:t>
      </w:r>
    </w:p>
    <w:p>
      <w:pPr>
        <w:spacing w:after="0" w:line="117"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The Company did not pay GSV Asset Management any incentive fees for the three and six months ended June 30, 2015 and 2014 under the terms of the Advisory Agreement. The Company has not paid GSV Asset Management any incentive fees since inception under the terms of the Advisory Agreement. However for GAAP purposes, in accordance with the AICPA’s TPA (TIS 6910.2), the Company is required to accrue incentive fees as if the Company had fully liquidated the entire investment portfolio at the fair value stated on the Condensed Consolidated Statements of Assets and Liabilities as of June 30, 2015 and December 31, 2014. This accrual considers both the hypothetical liquidation of the Company’s portfolio described previously, as well as the Company’s actual cumulative realized gains and losses since inception.</w:t>
      </w:r>
    </w:p>
    <w:p>
      <w:pPr>
        <w:spacing w:after="0" w:line="70"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For the three and six months ended June 30, 2015, the Company accrued incentive fees of $1,565,339, and $9,777,067, respectively, for financial statement purposes. For the three and six months ended June 30, 2014, the Company accrued incentive fees of $844,633, and $1,814,285, respectively, for financial statement purposes.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Management Fees</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GSV Asset Management earned $2,010,385 and $3,931,513 in management fees for the three and six months ended June 30, 2015, respectively. GSV Asset Management earned $1,933,663 and $3,689,859 in management fees for the three and six months ended June 30, 2014, respectively.</w:t>
      </w:r>
    </w:p>
    <w:p>
      <w:pPr>
        <w:spacing w:after="0" w:line="73"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As of June 30, 2015, the Company was owed $1,124 from GSV Asset Management for reimbursement of expenses paid for by the Company that were the responsibility of GSV Asset Management. In addition as of June 30, 2015, the Company owed GSV Asset Management $29,325 for reimbursement of other expenses.</w:t>
      </w:r>
    </w:p>
    <w:p>
      <w:pPr>
        <w:spacing w:after="0" w:line="73"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As of December 31, 2014, the Company was owed $204,825 from GSV Asset Management for reimbursement of expenses paid for by the Company that were the responsibility of GSV Asset Management. In addition as of December 31, 2014, the Company owed GSV Asset Management $23,396 for reimbursement of other expenses.</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 w:name="page32"/>
    <w:bookmarkEnd w:id="31"/>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June 30, 2015 (Unaudited)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2 — RELATED-PARTY ARRANGEMENTS – (continued)</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Administration Agreement</w:t>
      </w:r>
    </w:p>
    <w:p>
      <w:pPr>
        <w:spacing w:after="0" w:line="121" w:lineRule="exact"/>
        <w:rPr>
          <w:sz w:val="20"/>
          <w:szCs w:val="20"/>
          <w:color w:val="auto"/>
        </w:rPr>
      </w:pPr>
    </w:p>
    <w:p>
      <w:pPr>
        <w:jc w:val="both"/>
        <w:ind w:left="180" w:right="519" w:firstLine="270"/>
        <w:spacing w:after="0" w:line="291" w:lineRule="auto"/>
        <w:rPr>
          <w:sz w:val="20"/>
          <w:szCs w:val="20"/>
          <w:color w:val="auto"/>
        </w:rPr>
      </w:pPr>
      <w:r>
        <w:rPr>
          <w:rFonts w:ascii="Arial" w:cs="Arial" w:eastAsia="Arial" w:hAnsi="Arial"/>
          <w:sz w:val="16"/>
          <w:szCs w:val="16"/>
          <w:color w:val="auto"/>
        </w:rPr>
        <w:t>The Company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in connection with its IPO and ongoing operations. The Company reimburses GSV Capital Service Company an allocable portion of overhead and other expenses in performing its obligations under the Administration Agreement. There were $785,036 and $1,587,432 in such costs incurred under the Administration Agreement for the three and six months ended June 30, 2015, respectively. There were $929,701 and $1,838,233 in such costs incurred under the Administration Agreement for the three and six months ended June 30, 2014, respectively.</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License Agreement</w:t>
      </w:r>
    </w:p>
    <w:p>
      <w:pPr>
        <w:spacing w:after="0" w:line="121" w:lineRule="exact"/>
        <w:rPr>
          <w:sz w:val="20"/>
          <w:szCs w:val="20"/>
          <w:color w:val="auto"/>
        </w:rPr>
      </w:pPr>
    </w:p>
    <w:p>
      <w:pPr>
        <w:jc w:val="both"/>
        <w:ind w:left="180" w:right="519" w:firstLine="270"/>
        <w:spacing w:after="0" w:line="279" w:lineRule="auto"/>
        <w:rPr>
          <w:sz w:val="20"/>
          <w:szCs w:val="20"/>
          <w:color w:val="auto"/>
        </w:rPr>
      </w:pPr>
      <w:r>
        <w:rPr>
          <w:rFonts w:ascii="Arial" w:cs="Arial" w:eastAsia="Arial" w:hAnsi="Arial"/>
          <w:sz w:val="17"/>
          <w:szCs w:val="17"/>
          <w:color w:val="auto"/>
        </w:rPr>
        <w:t>The Company entered into a license agreement with GSV Asset Management pursuant to which GSV Asset Management has agreed to grant the Company a non-exclusive, royalty-free license to use the name “GSV.” Under this agreement, the Company has the right to use the GSV name for so long as the Advisory Agreement with GSV Asset Management is in effect. Other than with respect to this limited license, the Company has no legal right to the “GSV” name.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Investments in Controlled and Affiliated Portfolio Companies</w:t>
      </w:r>
    </w:p>
    <w:p>
      <w:pPr>
        <w:spacing w:after="0" w:line="121" w:lineRule="exact"/>
        <w:rPr>
          <w:sz w:val="20"/>
          <w:szCs w:val="20"/>
          <w:color w:val="auto"/>
        </w:rPr>
      </w:pPr>
    </w:p>
    <w:p>
      <w:pPr>
        <w:jc w:val="both"/>
        <w:ind w:left="180" w:right="539" w:firstLine="270"/>
        <w:spacing w:after="0" w:line="277" w:lineRule="auto"/>
        <w:rPr>
          <w:sz w:val="20"/>
          <w:szCs w:val="20"/>
          <w:color w:val="auto"/>
        </w:rPr>
      </w:pPr>
      <w:r>
        <w:rPr>
          <w:rFonts w:ascii="Arial" w:cs="Arial" w:eastAsia="Arial" w:hAnsi="Arial"/>
          <w:sz w:val="18"/>
          <w:szCs w:val="18"/>
          <w:color w:val="auto"/>
        </w:rPr>
        <w:t>Under the 1940 Act, the Company’s investments in Controlled and Affiliated portfolio companies are deemed to be related-party transactions.</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INVESTMENTS AT FAIR VALUE</w:t>
      </w:r>
    </w:p>
    <w:p>
      <w:pPr>
        <w:spacing w:after="0" w:line="121" w:lineRule="exact"/>
        <w:rPr>
          <w:sz w:val="20"/>
          <w:szCs w:val="20"/>
          <w:color w:val="auto"/>
        </w:rPr>
      </w:pPr>
    </w:p>
    <w:p>
      <w:pPr>
        <w:jc w:val="both"/>
        <w:ind w:left="180" w:right="519" w:firstLine="270"/>
        <w:spacing w:after="0" w:line="293" w:lineRule="auto"/>
        <w:rPr>
          <w:sz w:val="20"/>
          <w:szCs w:val="20"/>
          <w:color w:val="auto"/>
        </w:rPr>
      </w:pPr>
      <w:r>
        <w:rPr>
          <w:rFonts w:ascii="Arial" w:cs="Arial" w:eastAsia="Arial" w:hAnsi="Arial"/>
          <w:sz w:val="16"/>
          <w:szCs w:val="16"/>
          <w:color w:val="auto"/>
        </w:rPr>
        <w:t>The Company’s investments in portfolio companies consist primarily of equity securities (such as common stock, preferred stock and warrants to purchase common and preferred stock) and to a lesser extent, debt securities, issued by private and publicly traded companies. The Company may from time to time, invest in U.S. Treasury Securities. Non-portfolio investments represent investments in U.S. Treasury Securities. At June 30, 2015, the Company had 100 positions in 52 portfolio companies. At December 31, 2014, the Company had 99 positions in 52 portfolio companies. The following table summarizes the composition of the Company’s investment portfolio by security type at cost and fair value as of June 30, 2015 and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2540</wp:posOffset>
            </wp:positionV>
            <wp:extent cx="521398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June 30, 2015 (Unaudited)</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432"/>
              <w:spacing w:after="0"/>
              <w:rPr>
                <w:sz w:val="20"/>
                <w:szCs w:val="20"/>
                <w:color w:val="auto"/>
              </w:rPr>
            </w:pPr>
            <w:r>
              <w:rPr>
                <w:rFonts w:ascii="Arial" w:cs="Arial" w:eastAsia="Arial" w:hAnsi="Arial"/>
                <w:sz w:val="14"/>
                <w:szCs w:val="14"/>
                <w:b w:val="1"/>
                <w:bCs w:val="1"/>
                <w:color w:val="auto"/>
              </w:rPr>
              <w:t>December 31, 2014</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Fair Value</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55,076,035</w:t>
            </w:r>
          </w:p>
        </w:tc>
        <w:tc>
          <w:tcPr>
            <w:tcW w:w="28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92,430,652</w:t>
            </w:r>
          </w:p>
        </w:tc>
        <w:tc>
          <w:tcPr>
            <w:tcW w:w="28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55,085,728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85,598,467</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199,875,489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217,983,919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190,308,932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193,847,045</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Investments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2,404,320</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2,506,014</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1,360,331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1,374,210</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Warrants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301,196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694,314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301,196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904,345</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Subtotal – Private Portfolio Companies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257,657,040</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313,614,899</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247,056,187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281,724,067</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48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40,775,805</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76,727,760</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54,055,502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89,260,250</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48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w w:val="94"/>
              </w:rPr>
              <w:t>Total Private and Publicly Traded Portfolio</w:t>
            </w: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480" w:type="dxa"/>
            <w:vAlign w:val="bottom"/>
          </w:tcPr>
          <w:p>
            <w:pPr>
              <w:ind w:left="200"/>
              <w:spacing w:after="0"/>
              <w:rPr>
                <w:sz w:val="20"/>
                <w:szCs w:val="20"/>
                <w:color w:val="auto"/>
              </w:rPr>
            </w:pPr>
            <w:r>
              <w:rPr>
                <w:rFonts w:ascii="Arial" w:cs="Arial" w:eastAsia="Arial" w:hAnsi="Arial"/>
                <w:sz w:val="18"/>
                <w:szCs w:val="18"/>
                <w:b w:val="1"/>
                <w:bCs w:val="1"/>
                <w:color w:val="auto"/>
              </w:rPr>
              <w:t>Companies:</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298,432,845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390,342,659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301,111,689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370,984,317</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Non-Portfolio Investments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105,487,111</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105,499,681</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107,288,024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107,298,098</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403,919,956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495,842,340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408,399,713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478,282,415</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1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4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4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-1517015</wp:posOffset>
            </wp:positionV>
            <wp:extent cx="5213985" cy="146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-1234440</wp:posOffset>
            </wp:positionV>
            <wp:extent cx="5213985" cy="291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-805180</wp:posOffset>
            </wp:positionV>
            <wp:extent cx="5213985" cy="1803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32" w:name="page33"/>
    <w:bookmarkEnd w:id="32"/>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June 30, 2015 (Unaudited)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21" w:lineRule="exact"/>
        <w:rPr>
          <w:sz w:val="20"/>
          <w:szCs w:val="20"/>
          <w:color w:val="auto"/>
        </w:rPr>
      </w:pPr>
    </w:p>
    <w:p>
      <w:pPr>
        <w:ind w:left="180" w:right="539" w:firstLine="270"/>
        <w:spacing w:after="0" w:line="308" w:lineRule="auto"/>
        <w:rPr>
          <w:sz w:val="20"/>
          <w:szCs w:val="20"/>
          <w:color w:val="auto"/>
        </w:rPr>
      </w:pPr>
      <w:r>
        <w:rPr>
          <w:rFonts w:ascii="Arial" w:cs="Arial" w:eastAsia="Arial" w:hAnsi="Arial"/>
          <w:sz w:val="17"/>
          <w:szCs w:val="17"/>
          <w:color w:val="auto"/>
        </w:rPr>
        <w:t>The fair values of the Company’s investments disaggregated into the three levels of the fair value hierarchy based upon the lowest level of significant input used in the valuation as of June 30, 2015 and December 31, 2014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-8890</wp:posOffset>
            </wp:positionV>
            <wp:extent cx="521398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w w:val="93"/>
              </w:rPr>
              <w:t>As of June 30, 2015 (Unaudited)</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1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80" w:type="dxa"/>
            <w:vAlign w:val="bottom"/>
          </w:tcPr>
          <w:p>
            <w:pPr>
              <w:spacing w:after="0"/>
              <w:rPr>
                <w:sz w:val="10"/>
                <w:szCs w:val="10"/>
                <w:color w:val="auto"/>
              </w:rPr>
            </w:pPr>
          </w:p>
        </w:tc>
        <w:tc>
          <w:tcPr>
            <w:tcW w:w="12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00" w:type="dxa"/>
            <w:vAlign w:val="bottom"/>
          </w:tcPr>
          <w:p>
            <w:pPr>
              <w:spacing w:after="0"/>
              <w:rPr>
                <w:sz w:val="10"/>
                <w:szCs w:val="10"/>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5"/>
              </w:rPr>
              <w:t>Significant Other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Total</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92,430,652</w:t>
            </w:r>
          </w:p>
        </w:tc>
        <w:tc>
          <w:tcPr>
            <w:tcW w:w="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92,430,652</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217,983,919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217,983,919</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Debt Investments</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2,506,014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2,506,014</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694,314</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Subtotal – Private Portfolio Companies</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313,614,899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313,614,899</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38,508,261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38,219,499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76,727,760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38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Total Private and Publicly Traded</w:t>
            </w: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Portfolio Companies:</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38,508,261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38,219,499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313,614,899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390,342,659</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8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100,001,569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100,001,569</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U.S. Treasury Strips</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5,498,112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5,498,112</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$ 144,007,942</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38,219,499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313,614,899</w:t>
            </w: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495,842,340</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rPr>
              <w:t>As of December 31, 2014</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1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80" w:type="dxa"/>
            <w:vAlign w:val="bottom"/>
          </w:tcPr>
          <w:p>
            <w:pPr>
              <w:spacing w:after="0"/>
              <w:rPr>
                <w:sz w:val="10"/>
                <w:szCs w:val="10"/>
                <w:color w:val="auto"/>
              </w:rPr>
            </w:pPr>
          </w:p>
        </w:tc>
        <w:tc>
          <w:tcPr>
            <w:tcW w:w="12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Total</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85,598,467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85,598,467</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193,847,045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193,847,045</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Debt Investments</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1,374,210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1,374,210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904,345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904,345</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Subtotal – Private Portfolio Companies</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281,724,067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281,724,067</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65,586,615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23,673,635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89,260,250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38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Total Private and Publicly Traded</w:t>
            </w: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Portfolio Companies:</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65,586,615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23,673,635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281,724,067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370,984,317</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U.S. Treasury Bill</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100,000,056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100,000,056</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Strips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7,298,042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7,298,042</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$ 172,884,713</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23,673,635</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281,724,067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478,282,415</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Embedded Derivative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1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w w:val="99"/>
              </w:rPr>
              <w:t>30</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3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3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-5119370</wp:posOffset>
            </wp:positionV>
            <wp:extent cx="5213985"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-4407535</wp:posOffset>
            </wp:positionV>
            <wp:extent cx="5213985"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-3841115</wp:posOffset>
            </wp:positionV>
            <wp:extent cx="5213985"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-2263140</wp:posOffset>
            </wp:positionV>
            <wp:extent cx="5213985"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-1551305</wp:posOffset>
            </wp:positionV>
            <wp:extent cx="5213985"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-1268730</wp:posOffset>
            </wp:positionV>
            <wp:extent cx="5213985" cy="1803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-668020</wp:posOffset>
            </wp:positionV>
            <wp:extent cx="5213985"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-3781425</wp:posOffset>
            </wp:positionV>
            <wp:extent cx="52139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33" w:name="page34"/>
    <w:bookmarkEnd w:id="3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2015 (Unaudited)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Significant Unobservable Inputs for Level 3 Assets and Liabilities</w:t>
      </w:r>
    </w:p>
    <w:p>
      <w:pPr>
        <w:spacing w:after="0" w:line="121" w:lineRule="exact"/>
        <w:rPr>
          <w:sz w:val="20"/>
          <w:szCs w:val="20"/>
          <w:color w:val="auto"/>
        </w:rPr>
      </w:pPr>
    </w:p>
    <w:p>
      <w:pPr>
        <w:jc w:val="both"/>
        <w:ind w:left="60" w:right="519" w:firstLine="270"/>
        <w:spacing w:after="0" w:line="290" w:lineRule="auto"/>
        <w:rPr>
          <w:sz w:val="20"/>
          <w:szCs w:val="20"/>
          <w:color w:val="auto"/>
        </w:rPr>
      </w:pPr>
      <w:r>
        <w:rPr>
          <w:rFonts w:ascii="Arial" w:cs="Arial" w:eastAsia="Arial" w:hAnsi="Arial"/>
          <w:sz w:val="16"/>
          <w:szCs w:val="16"/>
          <w:color w:val="auto"/>
        </w:rPr>
        <w:t>In accordance with ASC 820, the tables below provide quantitative information about the Company’s fair value measurements of its Level 3 assets and liabilities as of June 30, 2015, and December 31, 2014. In addition to the techniques and inputs noted in the table below, according to the Company’s valuation policy, the Company may also use other valuation techniques and methodologies when determining the Company’s fair value measurements. The below table is not intended to be all-inclusive, but rather provides information on the significant Level 3 inputs as they relate to the Company’s fair value measurements. To the extent an unobservable input is not reflected in the table below, such input is deemed insignificant with respect to the Company’s Level 3 fair value measurements as of June 30, 2015 and December 31, 2014. Significant changes in the inputs in isolation would result in a significant change in the fair value measurement, depending on the input and the materiality of the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wp:posOffset>
            </wp:positionV>
            <wp:extent cx="52139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 of June 30, 2015 (Unaudited)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7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Asset (Liability)</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4"/>
                <w:szCs w:val="14"/>
                <w:b w:val="1"/>
                <w:bCs w:val="1"/>
                <w:color w:val="auto"/>
              </w:rPr>
              <w:t>Fair Value</w:t>
            </w:r>
          </w:p>
        </w:tc>
        <w:tc>
          <w:tcPr>
            <w:tcW w:w="16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Valuation Techniques</w:t>
            </w:r>
          </w:p>
        </w:tc>
        <w:tc>
          <w:tcPr>
            <w:tcW w:w="160" w:type="dxa"/>
            <w:vAlign w:val="bottom"/>
            <w:tcBorders>
              <w:top w:val="single" w:sz="8" w:color="auto"/>
            </w:tcBorders>
          </w:tcPr>
          <w:p>
            <w:pPr>
              <w:spacing w:after="0"/>
              <w:rPr>
                <w:sz w:val="10"/>
                <w:szCs w:val="10"/>
                <w:color w:val="auto"/>
              </w:rPr>
            </w:pPr>
          </w:p>
        </w:tc>
        <w:tc>
          <w:tcPr>
            <w:tcW w:w="17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Unobservable inputs</w:t>
            </w:r>
          </w:p>
        </w:tc>
        <w:tc>
          <w:tcPr>
            <w:tcW w:w="16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Range</w:t>
            </w:r>
          </w:p>
        </w:tc>
        <w:tc>
          <w:tcPr>
            <w:tcW w:w="0" w:type="dxa"/>
            <w:vAlign w:val="bottom"/>
          </w:tcPr>
          <w:p>
            <w:pPr>
              <w:spacing w:after="0"/>
              <w:rPr>
                <w:sz w:val="1"/>
                <w:szCs w:val="1"/>
                <w:color w:val="auto"/>
              </w:rPr>
            </w:pPr>
          </w:p>
        </w:tc>
      </w:tr>
      <w:tr>
        <w:trPr>
          <w:trHeight w:val="171"/>
        </w:trPr>
        <w:tc>
          <w:tcPr>
            <w:tcW w:w="17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86"/>
        </w:trPr>
        <w:tc>
          <w:tcPr>
            <w:tcW w:w="1760" w:type="dxa"/>
            <w:vAlign w:val="bottom"/>
          </w:tcPr>
          <w:p>
            <w:pPr>
              <w:jc w:val="center"/>
              <w:spacing w:after="0"/>
              <w:rPr>
                <w:sz w:val="20"/>
                <w:szCs w:val="20"/>
                <w:color w:val="auto"/>
              </w:rPr>
            </w:pPr>
            <w:r>
              <w:rPr>
                <w:rFonts w:ascii="Arial" w:cs="Arial" w:eastAsia="Arial" w:hAnsi="Arial"/>
                <w:sz w:val="16"/>
                <w:szCs w:val="16"/>
                <w:color w:val="auto"/>
                <w:w w:val="92"/>
              </w:rPr>
              <w:t>Common stock in</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w w:val="97"/>
              </w:rPr>
              <w:t>92,430,652</w:t>
            </w:r>
          </w:p>
        </w:tc>
        <w:tc>
          <w:tcPr>
            <w:tcW w:w="16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160" w:type="dxa"/>
            <w:vAlign w:val="bottom"/>
          </w:tcPr>
          <w:p>
            <w:pPr>
              <w:spacing w:after="0"/>
              <w:rPr>
                <w:sz w:val="16"/>
                <w:szCs w:val="16"/>
                <w:color w:val="auto"/>
              </w:rPr>
            </w:pPr>
          </w:p>
        </w:tc>
        <w:tc>
          <w:tcPr>
            <w:tcW w:w="1740" w:type="dxa"/>
            <w:vAlign w:val="bottom"/>
          </w:tcPr>
          <w:p>
            <w:pPr>
              <w:jc w:val="center"/>
              <w:spacing w:after="0" w:line="187" w:lineRule="exact"/>
              <w:rPr>
                <w:sz w:val="20"/>
                <w:szCs w:val="20"/>
                <w:color w:val="auto"/>
              </w:rPr>
            </w:pPr>
            <w:r>
              <w:rPr>
                <w:rFonts w:ascii="Arial" w:cs="Arial" w:eastAsia="Arial" w:hAnsi="Arial"/>
                <w:sz w:val="13"/>
                <w:szCs w:val="13"/>
                <w:color w:val="auto"/>
              </w:rPr>
              <w:t>Precedent transactions</w:t>
            </w:r>
            <w:r>
              <w:rPr>
                <w:rFonts w:ascii="Arial" w:cs="Arial" w:eastAsia="Arial" w:hAnsi="Arial"/>
                <w:sz w:val="21"/>
                <w:szCs w:val="21"/>
                <w:color w:val="auto"/>
                <w:vertAlign w:val="superscript"/>
              </w:rPr>
              <w:t>(1)</w:t>
            </w:r>
          </w:p>
        </w:tc>
        <w:tc>
          <w:tcPr>
            <w:tcW w:w="1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3"/>
        </w:trPr>
        <w:tc>
          <w:tcPr>
            <w:tcW w:w="1760" w:type="dxa"/>
            <w:vAlign w:val="bottom"/>
          </w:tcPr>
          <w:p>
            <w:pPr>
              <w:jc w:val="center"/>
              <w:spacing w:after="0"/>
              <w:rPr>
                <w:sz w:val="20"/>
                <w:szCs w:val="20"/>
                <w:color w:val="auto"/>
              </w:rPr>
            </w:pPr>
            <w:r>
              <w:rPr>
                <w:rFonts w:ascii="Arial" w:cs="Arial" w:eastAsia="Arial" w:hAnsi="Arial"/>
                <w:sz w:val="16"/>
                <w:szCs w:val="16"/>
                <w:color w:val="auto"/>
                <w:w w:val="90"/>
              </w:rPr>
              <w:t>private companies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0"/>
              </w:rPr>
              <w:t>Income approach</w:t>
            </w:r>
          </w:p>
        </w:tc>
        <w:tc>
          <w:tcPr>
            <w:tcW w:w="16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Revenue multiples</w:t>
            </w:r>
          </w:p>
        </w:tc>
        <w:tc>
          <w:tcPr>
            <w:tcW w:w="16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1.3x – 1.5x(1.4x)</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6"/>
              </w:rPr>
              <w:t>EBIT multiples</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10.0x(10.0x)</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1"/>
              </w:rPr>
              <w:t>Discount rate</w:t>
            </w:r>
          </w:p>
        </w:tc>
        <w:tc>
          <w:tcPr>
            <w:tcW w:w="1700" w:type="dxa"/>
            <w:vAlign w:val="bottom"/>
            <w:gridSpan w:val="2"/>
          </w:tcPr>
          <w:p>
            <w:pPr>
              <w:jc w:val="center"/>
              <w:ind w:left="119"/>
              <w:spacing w:after="0"/>
              <w:rPr>
                <w:sz w:val="20"/>
                <w:szCs w:val="20"/>
                <w:color w:val="auto"/>
              </w:rPr>
            </w:pPr>
            <w:r>
              <w:rPr>
                <w:rFonts w:ascii="Arial" w:cs="Arial" w:eastAsia="Arial" w:hAnsi="Arial"/>
                <w:sz w:val="16"/>
                <w:szCs w:val="16"/>
                <w:color w:val="auto"/>
                <w:w w:val="93"/>
              </w:rPr>
              <w:t>35%(35%)</w:t>
            </w:r>
          </w:p>
        </w:tc>
        <w:tc>
          <w:tcPr>
            <w:tcW w:w="0" w:type="dxa"/>
            <w:vAlign w:val="bottom"/>
          </w:tcPr>
          <w:p>
            <w:pPr>
              <w:spacing w:after="0"/>
              <w:rPr>
                <w:sz w:val="1"/>
                <w:szCs w:val="1"/>
                <w:color w:val="auto"/>
              </w:rPr>
            </w:pPr>
          </w:p>
        </w:tc>
      </w:tr>
      <w:tr>
        <w:trPr>
          <w:trHeight w:val="202"/>
        </w:trPr>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4"/>
              </w:rPr>
              <w:t>Liquidation Value</w:t>
            </w:r>
          </w:p>
        </w:tc>
        <w:tc>
          <w:tcPr>
            <w:tcW w:w="16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4"/>
              </w:rPr>
              <w:t>Liquidation Value</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4"/>
        </w:trPr>
        <w:tc>
          <w:tcPr>
            <w:tcW w:w="1760" w:type="dxa"/>
            <w:vAlign w:val="bottom"/>
          </w:tcPr>
          <w:p>
            <w:pPr>
              <w:jc w:val="center"/>
              <w:spacing w:after="0"/>
              <w:rPr>
                <w:sz w:val="20"/>
                <w:szCs w:val="20"/>
                <w:color w:val="auto"/>
              </w:rPr>
            </w:pPr>
            <w:r>
              <w:rPr>
                <w:rFonts w:ascii="Arial" w:cs="Arial" w:eastAsia="Arial" w:hAnsi="Arial"/>
                <w:sz w:val="16"/>
                <w:szCs w:val="16"/>
                <w:color w:val="auto"/>
                <w:w w:val="92"/>
              </w:rPr>
              <w:t>Preferred stock in private</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w w:val="87"/>
              </w:rPr>
              <w:t>217,983,919</w:t>
            </w: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160" w:type="dxa"/>
            <w:vAlign w:val="bottom"/>
          </w:tcPr>
          <w:p>
            <w:pPr>
              <w:spacing w:after="0"/>
              <w:rPr>
                <w:sz w:val="17"/>
                <w:szCs w:val="17"/>
                <w:color w:val="auto"/>
              </w:rPr>
            </w:pPr>
          </w:p>
        </w:tc>
        <w:tc>
          <w:tcPr>
            <w:tcW w:w="1740" w:type="dxa"/>
            <w:vAlign w:val="bottom"/>
          </w:tcPr>
          <w:p>
            <w:pPr>
              <w:jc w:val="center"/>
              <w:spacing w:after="0" w:line="203" w:lineRule="exact"/>
              <w:rPr>
                <w:sz w:val="20"/>
                <w:szCs w:val="20"/>
                <w:color w:val="auto"/>
              </w:rPr>
            </w:pPr>
            <w:r>
              <w:rPr>
                <w:rFonts w:ascii="Arial" w:cs="Arial" w:eastAsia="Arial" w:hAnsi="Arial"/>
                <w:sz w:val="14"/>
                <w:szCs w:val="14"/>
                <w:color w:val="auto"/>
              </w:rPr>
              <w:t>Precedent transactions</w:t>
            </w:r>
            <w:r>
              <w:rPr>
                <w:rFonts w:ascii="Arial" w:cs="Arial" w:eastAsia="Arial" w:hAnsi="Arial"/>
                <w:sz w:val="23"/>
                <w:szCs w:val="23"/>
                <w:color w:val="auto"/>
                <w:vertAlign w:val="superscript"/>
              </w:rPr>
              <w:t>(1)</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3"/>
        </w:trPr>
        <w:tc>
          <w:tcPr>
            <w:tcW w:w="1760" w:type="dxa"/>
            <w:vAlign w:val="bottom"/>
          </w:tcPr>
          <w:p>
            <w:pPr>
              <w:jc w:val="center"/>
              <w:spacing w:after="0"/>
              <w:rPr>
                <w:sz w:val="20"/>
                <w:szCs w:val="20"/>
                <w:color w:val="auto"/>
              </w:rPr>
            </w:pPr>
            <w:r>
              <w:rPr>
                <w:rFonts w:ascii="Arial" w:cs="Arial" w:eastAsia="Arial" w:hAnsi="Arial"/>
                <w:sz w:val="16"/>
                <w:szCs w:val="16"/>
                <w:color w:val="auto"/>
                <w:w w:val="90"/>
              </w:rPr>
              <w:t>companies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0"/>
              </w:rPr>
              <w:t>Income approach</w:t>
            </w:r>
          </w:p>
        </w:tc>
        <w:tc>
          <w:tcPr>
            <w:tcW w:w="16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Revenue multiples</w:t>
            </w:r>
          </w:p>
        </w:tc>
        <w:tc>
          <w:tcPr>
            <w:tcW w:w="16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1.0x – 6.0x(2.8x)</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6"/>
              </w:rPr>
              <w:t>EBIT multiples</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4"/>
              </w:rPr>
              <w:t>10.0x – 65.1x(24.4x)</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1"/>
              </w:rPr>
              <w:t>Discount rate</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30% – 50%(40%)</w:t>
            </w:r>
          </w:p>
        </w:tc>
        <w:tc>
          <w:tcPr>
            <w:tcW w:w="0" w:type="dxa"/>
            <w:vAlign w:val="bottom"/>
          </w:tcPr>
          <w:p>
            <w:pPr>
              <w:spacing w:after="0"/>
              <w:rPr>
                <w:sz w:val="1"/>
                <w:szCs w:val="1"/>
                <w:color w:val="auto"/>
              </w:rPr>
            </w:pPr>
          </w:p>
        </w:tc>
      </w:tr>
      <w:tr>
        <w:trPr>
          <w:trHeight w:val="203"/>
        </w:trPr>
        <w:tc>
          <w:tcPr>
            <w:tcW w:w="1760" w:type="dxa"/>
            <w:vAlign w:val="bottom"/>
          </w:tcPr>
          <w:p>
            <w:pPr>
              <w:jc w:val="center"/>
              <w:spacing w:after="0"/>
              <w:rPr>
                <w:sz w:val="20"/>
                <w:szCs w:val="20"/>
                <w:color w:val="auto"/>
              </w:rPr>
            </w:pPr>
            <w:r>
              <w:rPr>
                <w:rFonts w:ascii="Arial" w:cs="Arial" w:eastAsia="Arial" w:hAnsi="Arial"/>
                <w:sz w:val="16"/>
                <w:szCs w:val="16"/>
                <w:color w:val="auto"/>
                <w:w w:val="91"/>
              </w:rPr>
              <w:t>Debt Investments</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2,506,014</w:t>
            </w: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16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Amortized Cost</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1760" w:type="dxa"/>
            <w:vAlign w:val="bottom"/>
          </w:tcPr>
          <w:p>
            <w:pPr>
              <w:jc w:val="center"/>
              <w:spacing w:after="0"/>
              <w:rPr>
                <w:sz w:val="20"/>
                <w:szCs w:val="20"/>
                <w:color w:val="auto"/>
              </w:rPr>
            </w:pPr>
            <w:r>
              <w:rPr>
                <w:rFonts w:ascii="Arial" w:cs="Arial" w:eastAsia="Arial" w:hAnsi="Arial"/>
                <w:sz w:val="16"/>
                <w:szCs w:val="16"/>
                <w:color w:val="auto"/>
                <w:w w:val="89"/>
              </w:rPr>
              <w:t>Warrants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Term to expiration</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694,314</w:t>
            </w: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5"/>
              </w:rPr>
              <w:t>Option pricing model</w:t>
            </w:r>
          </w:p>
        </w:tc>
        <w:tc>
          <w:tcPr>
            <w:tcW w:w="16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87"/>
              </w:rPr>
              <w:t>(Years)</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1.50 – 3.00(2.59)</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Strike price</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0.13 – 4.59(1.20)</w:t>
            </w:r>
          </w:p>
        </w:tc>
        <w:tc>
          <w:tcPr>
            <w:tcW w:w="0" w:type="dxa"/>
            <w:vAlign w:val="bottom"/>
          </w:tcPr>
          <w:p>
            <w:pPr>
              <w:spacing w:after="0"/>
              <w:rPr>
                <w:sz w:val="1"/>
                <w:szCs w:val="1"/>
                <w:color w:val="auto"/>
              </w:rPr>
            </w:pPr>
          </w:p>
        </w:tc>
      </w:tr>
      <w:tr>
        <w:trPr>
          <w:trHeight w:val="206"/>
        </w:trPr>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ind w:left="600"/>
              <w:spacing w:after="0"/>
              <w:rPr>
                <w:sz w:val="20"/>
                <w:szCs w:val="20"/>
                <w:color w:val="auto"/>
              </w:rPr>
            </w:pPr>
            <w:r>
              <w:rPr>
                <w:rFonts w:ascii="Arial" w:cs="Arial" w:eastAsia="Arial" w:hAnsi="Arial"/>
                <w:sz w:val="16"/>
                <w:szCs w:val="16"/>
                <w:color w:val="auto"/>
              </w:rPr>
              <w:t>Volatility</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30% – 50%(38%)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175260</wp:posOffset>
            </wp:positionV>
            <wp:extent cx="6172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left="4580" w:right="1379" w:hanging="4552"/>
        <w:spacing w:after="0" w:line="935" w:lineRule="auto"/>
        <w:tabs>
          <w:tab w:leader="none" w:pos="299"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Precedent transactions include recent rounds of financing, recent purchases made by the Company, and tender offers.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-289560</wp:posOffset>
            </wp:positionV>
            <wp:extent cx="6114415" cy="596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4" w:name="page35"/>
    <w:bookmarkEnd w:id="3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2015 (Unaudited)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 of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 (Liability)</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Valuation Techniques</w:t>
            </w:r>
          </w:p>
        </w:tc>
        <w:tc>
          <w:tcPr>
            <w:tcW w:w="1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Unobservable inputs</w:t>
            </w:r>
          </w:p>
        </w:tc>
        <w:tc>
          <w:tcPr>
            <w:tcW w:w="16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Range (Average)</w:t>
            </w:r>
          </w:p>
        </w:tc>
        <w:tc>
          <w:tcPr>
            <w:tcW w:w="0" w:type="dxa"/>
            <w:vAlign w:val="bottom"/>
          </w:tcPr>
          <w:p>
            <w:pPr>
              <w:spacing w:after="0"/>
              <w:rPr>
                <w:sz w:val="1"/>
                <w:szCs w:val="1"/>
                <w:color w:val="auto"/>
              </w:rPr>
            </w:pPr>
          </w:p>
        </w:tc>
      </w:tr>
      <w:tr>
        <w:trPr>
          <w:trHeight w:val="185"/>
        </w:trPr>
        <w:tc>
          <w:tcPr>
            <w:tcW w:w="1720" w:type="dxa"/>
            <w:vAlign w:val="bottom"/>
          </w:tcPr>
          <w:p>
            <w:pPr>
              <w:jc w:val="center"/>
              <w:spacing w:after="0"/>
              <w:rPr>
                <w:sz w:val="20"/>
                <w:szCs w:val="20"/>
                <w:color w:val="auto"/>
              </w:rPr>
            </w:pPr>
            <w:r>
              <w:rPr>
                <w:rFonts w:ascii="Arial" w:cs="Arial" w:eastAsia="Arial" w:hAnsi="Arial"/>
                <w:sz w:val="16"/>
                <w:szCs w:val="16"/>
                <w:color w:val="auto"/>
                <w:w w:val="93"/>
              </w:rPr>
              <w:t>Common stock in private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87"/>
              </w:rPr>
              <w:t>Precedent</w:t>
            </w: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720" w:type="dxa"/>
            <w:vAlign w:val="bottom"/>
          </w:tcPr>
          <w:p>
            <w:pPr>
              <w:jc w:val="center"/>
              <w:spacing w:after="0"/>
              <w:rPr>
                <w:sz w:val="20"/>
                <w:szCs w:val="20"/>
                <w:color w:val="auto"/>
              </w:rPr>
            </w:pPr>
            <w:r>
              <w:rPr>
                <w:rFonts w:ascii="Arial" w:cs="Arial" w:eastAsia="Arial" w:hAnsi="Arial"/>
                <w:sz w:val="16"/>
                <w:szCs w:val="16"/>
                <w:color w:val="auto"/>
                <w:w w:val="90"/>
              </w:rPr>
              <w:t>companies</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w w:val="97"/>
              </w:rPr>
              <w:t>85,598,467</w:t>
            </w:r>
          </w:p>
        </w:tc>
        <w:tc>
          <w:tcPr>
            <w:tcW w:w="16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180" w:type="dxa"/>
            <w:vAlign w:val="bottom"/>
          </w:tcPr>
          <w:p>
            <w:pPr>
              <w:spacing w:after="0"/>
              <w:rPr>
                <w:sz w:val="21"/>
                <w:szCs w:val="21"/>
                <w:color w:val="auto"/>
              </w:rPr>
            </w:pPr>
          </w:p>
        </w:tc>
        <w:tc>
          <w:tcPr>
            <w:tcW w:w="1720" w:type="dxa"/>
            <w:vAlign w:val="bottom"/>
          </w:tcPr>
          <w:p>
            <w:pPr>
              <w:jc w:val="center"/>
              <w:spacing w:after="0" w:line="244" w:lineRule="exact"/>
              <w:rPr>
                <w:sz w:val="20"/>
                <w:szCs w:val="20"/>
                <w:color w:val="auto"/>
              </w:rPr>
            </w:pPr>
            <w:r>
              <w:rPr>
                <w:rFonts w:ascii="Arial" w:cs="Arial" w:eastAsia="Arial" w:hAnsi="Arial"/>
                <w:sz w:val="16"/>
                <w:szCs w:val="16"/>
                <w:color w:val="auto"/>
                <w:w w:val="84"/>
              </w:rPr>
              <w:t>transactions</w:t>
            </w:r>
            <w:r>
              <w:rPr>
                <w:rFonts w:ascii="Arial" w:cs="Arial" w:eastAsia="Arial" w:hAnsi="Arial"/>
                <w:sz w:val="27"/>
                <w:szCs w:val="27"/>
                <w:color w:val="auto"/>
                <w:w w:val="84"/>
                <w:vertAlign w:val="superscript"/>
              </w:rPr>
              <w:t>(1)</w:t>
            </w:r>
          </w:p>
        </w:tc>
        <w:tc>
          <w:tcPr>
            <w:tcW w:w="16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0"/>
              </w:rPr>
              <w:t>Income approach</w:t>
            </w: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1"/>
              </w:rPr>
              <w:t>Revenue multiples</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1.1x – 5.9x(3.0x)</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10.20x –</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6"/>
              </w:rPr>
              <w:t>EBIT multiples</w:t>
            </w:r>
          </w:p>
        </w:tc>
        <w:tc>
          <w:tcPr>
            <w:tcW w:w="160" w:type="dxa"/>
            <w:vAlign w:val="bottom"/>
          </w:tcPr>
          <w:p>
            <w:pPr>
              <w:spacing w:after="0"/>
              <w:rPr>
                <w:sz w:val="17"/>
                <w:szCs w:val="17"/>
                <w:color w:val="auto"/>
              </w:rPr>
            </w:pPr>
          </w:p>
        </w:tc>
        <w:tc>
          <w:tcPr>
            <w:tcW w:w="1540" w:type="dxa"/>
            <w:vAlign w:val="bottom"/>
          </w:tcPr>
          <w:p>
            <w:pPr>
              <w:ind w:left="320"/>
              <w:spacing w:after="0"/>
              <w:rPr>
                <w:sz w:val="20"/>
                <w:szCs w:val="20"/>
                <w:color w:val="auto"/>
              </w:rPr>
            </w:pPr>
            <w:r>
              <w:rPr>
                <w:rFonts w:ascii="Arial" w:cs="Arial" w:eastAsia="Arial" w:hAnsi="Arial"/>
                <w:sz w:val="16"/>
                <w:szCs w:val="16"/>
                <w:color w:val="auto"/>
              </w:rPr>
              <w:t>18.90x(16.70x)</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Discount rate</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30% – 40%(37%)</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4"/>
              </w:rPr>
              <w:t>Liquidation Value</w:t>
            </w: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4"/>
              </w:rPr>
              <w:t>Liquidation Value</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2"/>
        </w:trPr>
        <w:tc>
          <w:tcPr>
            <w:tcW w:w="1720" w:type="dxa"/>
            <w:vAlign w:val="bottom"/>
          </w:tcPr>
          <w:p>
            <w:pPr>
              <w:jc w:val="center"/>
              <w:spacing w:after="0"/>
              <w:rPr>
                <w:sz w:val="20"/>
                <w:szCs w:val="20"/>
                <w:color w:val="auto"/>
              </w:rPr>
            </w:pPr>
            <w:r>
              <w:rPr>
                <w:rFonts w:ascii="Arial" w:cs="Arial" w:eastAsia="Arial" w:hAnsi="Arial"/>
                <w:sz w:val="16"/>
                <w:szCs w:val="16"/>
                <w:color w:val="auto"/>
                <w:w w:val="92"/>
              </w:rPr>
              <w:t>Preferred stock in private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87"/>
              </w:rPr>
              <w:t>Precedent</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720" w:type="dxa"/>
            <w:vAlign w:val="bottom"/>
          </w:tcPr>
          <w:p>
            <w:pPr>
              <w:jc w:val="center"/>
              <w:spacing w:after="0"/>
              <w:rPr>
                <w:sz w:val="20"/>
                <w:szCs w:val="20"/>
                <w:color w:val="auto"/>
              </w:rPr>
            </w:pPr>
            <w:r>
              <w:rPr>
                <w:rFonts w:ascii="Arial" w:cs="Arial" w:eastAsia="Arial" w:hAnsi="Arial"/>
                <w:sz w:val="16"/>
                <w:szCs w:val="16"/>
                <w:color w:val="auto"/>
                <w:w w:val="90"/>
              </w:rPr>
              <w:t>companies</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w w:val="87"/>
              </w:rPr>
              <w:t>193,847,045</w:t>
            </w:r>
          </w:p>
        </w:tc>
        <w:tc>
          <w:tcPr>
            <w:tcW w:w="16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180" w:type="dxa"/>
            <w:vAlign w:val="bottom"/>
          </w:tcPr>
          <w:p>
            <w:pPr>
              <w:spacing w:after="0"/>
              <w:rPr>
                <w:sz w:val="21"/>
                <w:szCs w:val="21"/>
                <w:color w:val="auto"/>
              </w:rPr>
            </w:pPr>
          </w:p>
        </w:tc>
        <w:tc>
          <w:tcPr>
            <w:tcW w:w="1720" w:type="dxa"/>
            <w:vAlign w:val="bottom"/>
          </w:tcPr>
          <w:p>
            <w:pPr>
              <w:jc w:val="center"/>
              <w:spacing w:after="0" w:line="244" w:lineRule="exact"/>
              <w:rPr>
                <w:sz w:val="20"/>
                <w:szCs w:val="20"/>
                <w:color w:val="auto"/>
              </w:rPr>
            </w:pPr>
            <w:r>
              <w:rPr>
                <w:rFonts w:ascii="Arial" w:cs="Arial" w:eastAsia="Arial" w:hAnsi="Arial"/>
                <w:sz w:val="16"/>
                <w:szCs w:val="16"/>
                <w:color w:val="auto"/>
                <w:w w:val="84"/>
              </w:rPr>
              <w:t>transactions</w:t>
            </w:r>
            <w:r>
              <w:rPr>
                <w:rFonts w:ascii="Arial" w:cs="Arial" w:eastAsia="Arial" w:hAnsi="Arial"/>
                <w:sz w:val="27"/>
                <w:szCs w:val="27"/>
                <w:color w:val="auto"/>
                <w:w w:val="84"/>
                <w:vertAlign w:val="superscript"/>
              </w:rPr>
              <w:t>(1)</w:t>
            </w:r>
          </w:p>
        </w:tc>
        <w:tc>
          <w:tcPr>
            <w:tcW w:w="16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0"/>
              </w:rPr>
              <w:t>Income approach</w:t>
            </w: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1"/>
              </w:rPr>
              <w:t>Revenue multiples</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1.5x – 5.3x(3.5x)</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6"/>
              </w:rPr>
              <w:t>EBIT multiples</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10.0x – 25.0x(18.1x)</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Discount rate</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35% – 45%(40%)</w:t>
            </w:r>
          </w:p>
        </w:tc>
        <w:tc>
          <w:tcPr>
            <w:tcW w:w="0" w:type="dxa"/>
            <w:vAlign w:val="bottom"/>
          </w:tcPr>
          <w:p>
            <w:pPr>
              <w:spacing w:after="0"/>
              <w:rPr>
                <w:sz w:val="1"/>
                <w:szCs w:val="1"/>
                <w:color w:val="auto"/>
              </w:rPr>
            </w:pPr>
          </w:p>
        </w:tc>
      </w:tr>
      <w:tr>
        <w:trPr>
          <w:trHeight w:val="203"/>
        </w:trPr>
        <w:tc>
          <w:tcPr>
            <w:tcW w:w="1720" w:type="dxa"/>
            <w:vAlign w:val="bottom"/>
          </w:tcPr>
          <w:p>
            <w:pPr>
              <w:jc w:val="center"/>
              <w:spacing w:after="0"/>
              <w:rPr>
                <w:sz w:val="20"/>
                <w:szCs w:val="20"/>
                <w:color w:val="auto"/>
              </w:rPr>
            </w:pPr>
            <w:r>
              <w:rPr>
                <w:rFonts w:ascii="Arial" w:cs="Arial" w:eastAsia="Arial" w:hAnsi="Arial"/>
                <w:sz w:val="16"/>
                <w:szCs w:val="16"/>
                <w:color w:val="auto"/>
                <w:w w:val="91"/>
              </w:rPr>
              <w:t>Debt Investments</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1,374,210</w:t>
            </w:r>
          </w:p>
        </w:tc>
        <w:tc>
          <w:tcPr>
            <w:tcW w:w="1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87"/>
              </w:rPr>
              <w:t>Precedent transactions</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1720" w:type="dxa"/>
            <w:vAlign w:val="bottom"/>
          </w:tcPr>
          <w:p>
            <w:pPr>
              <w:jc w:val="center"/>
              <w:spacing w:after="0"/>
              <w:rPr>
                <w:sz w:val="20"/>
                <w:szCs w:val="20"/>
                <w:color w:val="auto"/>
              </w:rPr>
            </w:pPr>
            <w:r>
              <w:rPr>
                <w:rFonts w:ascii="Arial" w:cs="Arial" w:eastAsia="Arial" w:hAnsi="Arial"/>
                <w:sz w:val="16"/>
                <w:szCs w:val="16"/>
                <w:color w:val="auto"/>
                <w:w w:val="89"/>
              </w:rPr>
              <w:t>Warrants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Term to expiration</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904,345</w:t>
            </w:r>
          </w:p>
        </w:tc>
        <w:tc>
          <w:tcPr>
            <w:tcW w:w="1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5"/>
              </w:rPr>
              <w:t>Option pricing model</w:t>
            </w: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1"/>
              </w:rPr>
              <w:t>(Years)</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2.00 – 3.00(2.55)</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4"/>
              </w:rPr>
              <w:t>Strike price</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0.13 – 4.59(1.24)</w:t>
            </w:r>
          </w:p>
        </w:tc>
        <w:tc>
          <w:tcPr>
            <w:tcW w:w="0" w:type="dxa"/>
            <w:vAlign w:val="bottom"/>
          </w:tcPr>
          <w:p>
            <w:pPr>
              <w:spacing w:after="0"/>
              <w:rPr>
                <w:sz w:val="1"/>
                <w:szCs w:val="1"/>
                <w:color w:val="auto"/>
              </w:rPr>
            </w:pPr>
          </w:p>
        </w:tc>
      </w:tr>
      <w:tr>
        <w:trPr>
          <w:trHeight w:val="206"/>
        </w:trPr>
        <w:tc>
          <w:tcPr>
            <w:tcW w:w="1720" w:type="dxa"/>
            <w:vAlign w:val="bottom"/>
            <w:vMerge w:val="restart"/>
          </w:tcPr>
          <w:p>
            <w:pPr>
              <w:jc w:val="center"/>
              <w:spacing w:after="0"/>
              <w:rPr>
                <w:sz w:val="20"/>
                <w:szCs w:val="20"/>
                <w:color w:val="auto"/>
              </w:rPr>
            </w:pPr>
            <w:r>
              <w:rPr>
                <w:rFonts w:ascii="Arial" w:cs="Arial" w:eastAsia="Arial" w:hAnsi="Arial"/>
                <w:sz w:val="16"/>
                <w:szCs w:val="16"/>
                <w:color w:val="auto"/>
                <w:w w:val="92"/>
              </w:rPr>
              <w:t>Embedded Derivative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7"/>
              </w:rPr>
              <w:t>Binomial Lattice</w:t>
            </w: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rPr>
              <w:t>Volatility</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30% – 50%(38%)</w:t>
            </w:r>
          </w:p>
        </w:tc>
        <w:tc>
          <w:tcPr>
            <w:tcW w:w="0" w:type="dxa"/>
            <w:vAlign w:val="bottom"/>
          </w:tcPr>
          <w:p>
            <w:pPr>
              <w:spacing w:after="0"/>
              <w:rPr>
                <w:sz w:val="1"/>
                <w:szCs w:val="1"/>
                <w:color w:val="auto"/>
              </w:rPr>
            </w:pPr>
          </w:p>
        </w:tc>
      </w:tr>
      <w:tr>
        <w:trPr>
          <w:trHeight w:val="199"/>
        </w:trPr>
        <w:tc>
          <w:tcPr>
            <w:tcW w:w="1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6"/>
              </w:rPr>
              <w:t>Model</w:t>
            </w: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Strike Price</w:t>
            </w:r>
          </w:p>
        </w:tc>
        <w:tc>
          <w:tcPr>
            <w:tcW w:w="1700" w:type="dxa"/>
            <w:vAlign w:val="bottom"/>
            <w:gridSpan w:val="2"/>
          </w:tcPr>
          <w:p>
            <w:pPr>
              <w:jc w:val="center"/>
              <w:ind w:left="139"/>
              <w:spacing w:after="0"/>
              <w:rPr>
                <w:sz w:val="20"/>
                <w:szCs w:val="20"/>
                <w:color w:val="auto"/>
              </w:rPr>
            </w:pPr>
            <w:r>
              <w:rPr>
                <w:rFonts w:ascii="Arial" w:cs="Arial" w:eastAsia="Arial" w:hAnsi="Arial"/>
                <w:sz w:val="16"/>
                <w:szCs w:val="16"/>
                <w:color w:val="auto"/>
                <w:w w:val="89"/>
              </w:rPr>
              <w:t>16.26</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rPr>
              <w:t>Volatility</w:t>
            </w:r>
          </w:p>
        </w:tc>
        <w:tc>
          <w:tcPr>
            <w:tcW w:w="1700" w:type="dxa"/>
            <w:vAlign w:val="bottom"/>
            <w:gridSpan w:val="2"/>
          </w:tcPr>
          <w:p>
            <w:pPr>
              <w:jc w:val="center"/>
              <w:ind w:left="119"/>
              <w:spacing w:after="0"/>
              <w:rPr>
                <w:sz w:val="20"/>
                <w:szCs w:val="20"/>
                <w:color w:val="auto"/>
              </w:rPr>
            </w:pPr>
            <w:r>
              <w:rPr>
                <w:rFonts w:ascii="Arial" w:cs="Arial" w:eastAsia="Arial" w:hAnsi="Arial"/>
                <w:sz w:val="16"/>
                <w:szCs w:val="16"/>
                <w:color w:val="auto"/>
                <w:w w:val="93"/>
              </w:rPr>
              <w:t>50%</w:t>
            </w:r>
          </w:p>
        </w:tc>
        <w:tc>
          <w:tcPr>
            <w:tcW w:w="0" w:type="dxa"/>
            <w:vAlign w:val="bottom"/>
          </w:tcPr>
          <w:p>
            <w:pPr>
              <w:spacing w:after="0"/>
              <w:rPr>
                <w:sz w:val="1"/>
                <w:szCs w:val="1"/>
                <w:color w:val="auto"/>
              </w:rPr>
            </w:pPr>
          </w:p>
        </w:tc>
      </w:tr>
      <w:tr>
        <w:trPr>
          <w:trHeight w:val="206"/>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Annual risk rate</w:t>
            </w:r>
          </w:p>
        </w:tc>
        <w:tc>
          <w:tcPr>
            <w:tcW w:w="1700" w:type="dxa"/>
            <w:vAlign w:val="bottom"/>
            <w:gridSpan w:val="2"/>
          </w:tcPr>
          <w:p>
            <w:pPr>
              <w:jc w:val="center"/>
              <w:ind w:left="119"/>
              <w:spacing w:after="0"/>
              <w:rPr>
                <w:sz w:val="20"/>
                <w:szCs w:val="20"/>
                <w:color w:val="auto"/>
              </w:rPr>
            </w:pPr>
            <w:r>
              <w:rPr>
                <w:rFonts w:ascii="Arial" w:cs="Arial" w:eastAsia="Arial" w:hAnsi="Arial"/>
                <w:sz w:val="16"/>
                <w:szCs w:val="16"/>
                <w:color w:val="auto"/>
                <w:w w:val="92"/>
              </w:rPr>
              <w:t>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175260</wp:posOffset>
            </wp:positionV>
            <wp:extent cx="6172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 Precedent transactions include recent rounds of financing, recent purchases made by the Company, and tender offers.</w:t>
      </w:r>
    </w:p>
    <w:p>
      <w:pPr>
        <w:spacing w:after="0" w:line="129"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The significant unobservable inputs used in determining the fair value of the assets and liabilities are shown above. Increases (decreases) in revenue multiples, EBIT multiples, time to expiration, and stock price/strike price would result in higher (lower) fair values all else equal. Decreases (increases) in discount rates, volatility, and annual risk rates, would result in higher (lower) fair values all else equal.</w:t>
      </w:r>
    </w:p>
    <w:p>
      <w:pPr>
        <w:spacing w:after="0" w:line="79" w:lineRule="exact"/>
        <w:rPr>
          <w:sz w:val="20"/>
          <w:szCs w:val="20"/>
          <w:color w:val="auto"/>
        </w:rPr>
      </w:pPr>
    </w:p>
    <w:p>
      <w:pPr>
        <w:jc w:val="both"/>
        <w:ind w:left="60" w:right="519" w:firstLine="270"/>
        <w:spacing w:after="0" w:line="273" w:lineRule="auto"/>
        <w:rPr>
          <w:sz w:val="20"/>
          <w:szCs w:val="20"/>
          <w:color w:val="auto"/>
        </w:rPr>
      </w:pPr>
      <w:r>
        <w:rPr>
          <w:rFonts w:ascii="Arial" w:cs="Arial" w:eastAsia="Arial" w:hAnsi="Arial"/>
          <w:sz w:val="17"/>
          <w:szCs w:val="17"/>
          <w:color w:val="auto"/>
        </w:rPr>
        <w:t>The Company applied the binomial lattice model to value the embedded derivative using a “with-and-without method,” where the value of the Convertible Senior Notes including the embedded derivative, is defined as the “with,” and the value of the Convertible Senior Notes excluding the embedded derivative, is defined as the “without.” This method estimates the value of the embedded derivative by looking at the difference in the values between the Convertible Senior Notes with the embedded derivative and the value of the Convertible Senior Notes without the embedded derivative. The lattice model requires the following inputs: (i) strike price; (ii) estimated stock volatility; and (iii) annual risk rate.</w:t>
      </w:r>
    </w:p>
    <w:p>
      <w:pPr>
        <w:spacing w:after="0" w:line="200" w:lineRule="exact"/>
        <w:rPr>
          <w:sz w:val="20"/>
          <w:szCs w:val="20"/>
          <w:color w:val="auto"/>
        </w:rPr>
      </w:pPr>
    </w:p>
    <w:p>
      <w:pPr>
        <w:spacing w:after="0" w:line="3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5" w:name="page36"/>
    <w:bookmarkEnd w:id="3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2015 (Unaudited)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aggregate values of Level 3 portfolio investments and embedded derivative changed during the three and six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2015 and June 30, 2014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12"/>
          </w:tcPr>
          <w:p>
            <w:pPr>
              <w:jc w:val="right"/>
              <w:ind w:right="240"/>
              <w:spacing w:after="0"/>
              <w:rPr>
                <w:sz w:val="20"/>
                <w:szCs w:val="20"/>
                <w:color w:val="auto"/>
              </w:rPr>
            </w:pPr>
            <w:r>
              <w:rPr>
                <w:rFonts w:ascii="Arial" w:cs="Arial" w:eastAsia="Arial" w:hAnsi="Arial"/>
                <w:sz w:val="14"/>
                <w:szCs w:val="14"/>
                <w:b w:val="1"/>
                <w:bCs w:val="1"/>
                <w:color w:val="auto"/>
              </w:rPr>
              <w:t>Three months ended June 30, 2015 (Unaudited)</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Common</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68"/>
              <w:spacing w:after="0" w:line="119" w:lineRule="exact"/>
              <w:rPr>
                <w:sz w:val="20"/>
                <w:szCs w:val="20"/>
                <w:color w:val="auto"/>
              </w:rPr>
            </w:pPr>
            <w:r>
              <w:rPr>
                <w:rFonts w:ascii="Arial" w:cs="Arial" w:eastAsia="Arial" w:hAnsi="Arial"/>
                <w:sz w:val="13"/>
                <w:szCs w:val="13"/>
                <w:b w:val="1"/>
                <w:bCs w:val="1"/>
                <w:color w:val="auto"/>
              </w:rPr>
              <w:t>Preferred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188"/>
              <w:spacing w:after="0" w:line="119" w:lineRule="exact"/>
              <w:rPr>
                <w:sz w:val="20"/>
                <w:szCs w:val="20"/>
                <w:color w:val="auto"/>
              </w:rPr>
            </w:pPr>
            <w:r>
              <w:rPr>
                <w:rFonts w:ascii="Arial" w:cs="Arial" w:eastAsia="Arial" w:hAnsi="Arial"/>
                <w:sz w:val="13"/>
                <w:szCs w:val="13"/>
                <w:b w:val="1"/>
                <w:bCs w:val="1"/>
                <w:color w:val="auto"/>
              </w:rPr>
              <w:t>Debt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8"/>
              </w:rPr>
              <w:t>Warrants</w:t>
            </w:r>
          </w:p>
        </w:tc>
        <w:tc>
          <w:tcPr>
            <w:tcW w:w="80" w:type="dxa"/>
            <w:vAlign w:val="bottom"/>
          </w:tcPr>
          <w:p>
            <w:pPr>
              <w:spacing w:after="0"/>
              <w:rPr>
                <w:sz w:val="10"/>
                <w:szCs w:val="10"/>
                <w:color w:val="auto"/>
              </w:rPr>
            </w:pPr>
          </w:p>
        </w:tc>
        <w:tc>
          <w:tcPr>
            <w:tcW w:w="720" w:type="dxa"/>
            <w:vAlign w:val="bottom"/>
            <w:gridSpan w:val="3"/>
          </w:tcPr>
          <w:p>
            <w:pPr>
              <w:jc w:val="right"/>
              <w:ind w:right="20"/>
              <w:spacing w:after="0" w:line="119" w:lineRule="exact"/>
              <w:rPr>
                <w:sz w:val="20"/>
                <w:szCs w:val="20"/>
                <w:color w:val="auto"/>
              </w:rPr>
            </w:pPr>
            <w:r>
              <w:rPr>
                <w:rFonts w:ascii="Arial" w:cs="Arial" w:eastAsia="Arial" w:hAnsi="Arial"/>
                <w:sz w:val="13"/>
                <w:szCs w:val="13"/>
                <w:b w:val="1"/>
                <w:bCs w:val="1"/>
                <w:color w:val="auto"/>
              </w:rPr>
              <w:t>Embedded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Investments</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8"/>
              </w:rPr>
              <w:t>Derivative</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Fair value as of March 31, 2015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84,436,041</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213,643,985</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2,382,930</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743,775</w:t>
            </w:r>
          </w:p>
        </w:tc>
        <w:tc>
          <w:tcPr>
            <w:tcW w:w="220" w:type="dxa"/>
            <w:vAlign w:val="bottom"/>
            <w:gridSpan w:val="2"/>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2"/>
              </w:rPr>
              <w:t>301,206,731</w:t>
            </w:r>
          </w:p>
        </w:tc>
        <w:tc>
          <w:tcPr>
            <w:tcW w:w="0" w:type="dxa"/>
            <w:vAlign w:val="bottom"/>
          </w:tcPr>
          <w:p>
            <w:pPr>
              <w:spacing w:after="0"/>
              <w:rPr>
                <w:sz w:val="1"/>
                <w:szCs w:val="1"/>
                <w:color w:val="auto"/>
              </w:rPr>
            </w:pPr>
          </w:p>
        </w:tc>
      </w:tr>
      <w:tr>
        <w:trPr>
          <w:trHeight w:val="149"/>
        </w:trPr>
        <w:tc>
          <w:tcPr>
            <w:tcW w:w="2800" w:type="dxa"/>
            <w:vAlign w:val="bottom"/>
          </w:tcPr>
          <w:p>
            <w:pPr>
              <w:ind w:left="20"/>
              <w:spacing w:after="0" w:line="149" w:lineRule="exact"/>
              <w:rPr>
                <w:sz w:val="20"/>
                <w:szCs w:val="20"/>
                <w:color w:val="auto"/>
              </w:rPr>
            </w:pPr>
            <w:r>
              <w:rPr>
                <w:rFonts w:ascii="Arial" w:cs="Arial" w:eastAsia="Arial" w:hAnsi="Arial"/>
                <w:sz w:val="14"/>
                <w:szCs w:val="14"/>
                <w:color w:val="auto"/>
              </w:rPr>
              <w:t>Purchases of investments</w:t>
            </w: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1,550,460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49,360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1,601,220</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Sales of investments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(12,373)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(12,373)</w:t>
            </w:r>
          </w:p>
        </w:tc>
        <w:tc>
          <w:tcPr>
            <w:tcW w:w="0" w:type="dxa"/>
            <w:vAlign w:val="bottom"/>
          </w:tcPr>
          <w:p>
            <w:pPr>
              <w:spacing w:after="0"/>
              <w:rPr>
                <w:sz w:val="1"/>
                <w:szCs w:val="1"/>
                <w:color w:val="auto"/>
              </w:rPr>
            </w:pPr>
          </w:p>
        </w:tc>
      </w:tr>
      <w:tr>
        <w:trPr>
          <w:trHeight w:val="130"/>
        </w:trPr>
        <w:tc>
          <w:tcPr>
            <w:tcW w:w="2800" w:type="dxa"/>
            <w:vAlign w:val="bottom"/>
          </w:tcPr>
          <w:p>
            <w:pPr>
              <w:ind w:left="20"/>
              <w:spacing w:after="0" w:line="130" w:lineRule="exact"/>
              <w:rPr>
                <w:sz w:val="20"/>
                <w:szCs w:val="20"/>
                <w:color w:val="auto"/>
              </w:rPr>
            </w:pPr>
            <w:r>
              <w:rPr>
                <w:rFonts w:ascii="Arial" w:cs="Arial" w:eastAsia="Arial" w:hAnsi="Arial"/>
                <w:sz w:val="14"/>
                <w:szCs w:val="14"/>
                <w:color w:val="auto"/>
              </w:rPr>
              <w:t>Amortization of fixed income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color w:val="auto"/>
              </w:rPr>
              <w:t>premiums and discounts</w:t>
            </w: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14,235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14,235</w:t>
            </w: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Net change in unrealized appreciation</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(depreciation) included in earnings</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8,005,584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2,789,474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59,489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(49,461)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10,805,086</w:t>
            </w:r>
          </w:p>
        </w:tc>
        <w:tc>
          <w:tcPr>
            <w:tcW w:w="0" w:type="dxa"/>
            <w:vAlign w:val="bottom"/>
          </w:tcPr>
          <w:p>
            <w:pPr>
              <w:spacing w:after="0"/>
              <w:rPr>
                <w:sz w:val="1"/>
                <w:szCs w:val="1"/>
                <w:color w:val="auto"/>
              </w:rPr>
            </w:pPr>
          </w:p>
        </w:tc>
      </w:tr>
      <w:tr>
        <w:trPr>
          <w:trHeight w:val="20"/>
        </w:trPr>
        <w:tc>
          <w:tcPr>
            <w:tcW w:w="28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00" w:type="dxa"/>
            <w:vAlign w:val="bottom"/>
          </w:tcPr>
          <w:p>
            <w:pPr>
              <w:ind w:left="20"/>
              <w:spacing w:after="0" w:line="142" w:lineRule="exact"/>
              <w:rPr>
                <w:sz w:val="20"/>
                <w:szCs w:val="20"/>
                <w:color w:val="auto"/>
              </w:rPr>
            </w:pPr>
            <w:r>
              <w:rPr>
                <w:rFonts w:ascii="Arial" w:cs="Arial" w:eastAsia="Arial" w:hAnsi="Arial"/>
                <w:sz w:val="14"/>
                <w:szCs w:val="14"/>
                <w:color w:val="auto"/>
              </w:rPr>
              <w:t>Fair Value as of June 30, 2015</w:t>
            </w:r>
          </w:p>
        </w:tc>
        <w:tc>
          <w:tcPr>
            <w:tcW w:w="80" w:type="dxa"/>
            <w:vAlign w:val="bottom"/>
          </w:tcPr>
          <w:p>
            <w:pPr>
              <w:jc w:val="right"/>
              <w:spacing w:after="0" w:line="142" w:lineRule="exact"/>
              <w:rPr>
                <w:sz w:val="20"/>
                <w:szCs w:val="20"/>
                <w:color w:val="auto"/>
              </w:rPr>
            </w:pPr>
            <w:r>
              <w:rPr>
                <w:rFonts w:ascii="Arial" w:cs="Arial" w:eastAsia="Arial" w:hAnsi="Arial"/>
                <w:sz w:val="14"/>
                <w:szCs w:val="14"/>
                <w:u w:val="single" w:color="auto"/>
                <w:color w:val="auto"/>
                <w:w w:val="76"/>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w w:val="91"/>
              </w:rPr>
              <w:t>92,430,652</w:t>
            </w:r>
          </w:p>
        </w:tc>
        <w:tc>
          <w:tcPr>
            <w:tcW w:w="80" w:type="dxa"/>
            <w:vAlign w:val="bottom"/>
          </w:tcPr>
          <w:p>
            <w:pPr>
              <w:spacing w:after="0"/>
              <w:rPr>
                <w:sz w:val="12"/>
                <w:szCs w:val="12"/>
                <w:color w:val="auto"/>
              </w:rPr>
            </w:pPr>
          </w:p>
        </w:tc>
        <w:tc>
          <w:tcPr>
            <w:tcW w:w="1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w w:val="95"/>
              </w:rPr>
              <w:t>217,983,919</w:t>
            </w:r>
          </w:p>
        </w:tc>
        <w:tc>
          <w:tcPr>
            <w:tcW w:w="2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6"/>
              </w:rPr>
              <w:t>2,506,014</w:t>
            </w:r>
          </w:p>
        </w:tc>
        <w:tc>
          <w:tcPr>
            <w:tcW w:w="1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694,314</w:t>
            </w:r>
          </w:p>
        </w:tc>
        <w:tc>
          <w:tcPr>
            <w:tcW w:w="220" w:type="dxa"/>
            <w:vAlign w:val="bottom"/>
            <w:gridSpan w:val="2"/>
          </w:tcPr>
          <w:p>
            <w:pPr>
              <w:jc w:val="right"/>
              <w:ind w:right="11"/>
              <w:spacing w:after="0" w:line="142"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w w:val="92"/>
              </w:rPr>
              <w:t>313,614,899</w:t>
            </w: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80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Net change in unrealized appreciation</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on Level 3 investments still</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held as of June 30, 2015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8,005,584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2,789,474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59,489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(49,461)</w:t>
            </w:r>
          </w:p>
        </w:tc>
        <w:tc>
          <w:tcPr>
            <w:tcW w:w="22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10,805,086</w:t>
            </w:r>
          </w:p>
        </w:tc>
        <w:tc>
          <w:tcPr>
            <w:tcW w:w="0" w:type="dxa"/>
            <w:vAlign w:val="bottom"/>
          </w:tcPr>
          <w:p>
            <w:pPr>
              <w:spacing w:after="0"/>
              <w:rPr>
                <w:sz w:val="1"/>
                <w:szCs w:val="1"/>
                <w:color w:val="auto"/>
              </w:rPr>
            </w:pPr>
          </w:p>
        </w:tc>
      </w:tr>
      <w:tr>
        <w:trPr>
          <w:trHeight w:val="142"/>
        </w:trPr>
        <w:tc>
          <w:tcPr>
            <w:tcW w:w="2800" w:type="dxa"/>
            <w:vAlign w:val="bottom"/>
            <w:tcBorders>
              <w:top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Liabilities:</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Fair Value of March 31, 2015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23"/>
        </w:trPr>
        <w:tc>
          <w:tcPr>
            <w:tcW w:w="2800" w:type="dxa"/>
            <w:vAlign w:val="bottom"/>
            <w:tcBorders>
              <w:top w:val="single" w:sz="8" w:color="CCEEFF"/>
            </w:tcBorders>
          </w:tcPr>
          <w:p>
            <w:pPr>
              <w:ind w:left="20"/>
              <w:spacing w:after="0" w:line="123" w:lineRule="exact"/>
              <w:rPr>
                <w:sz w:val="20"/>
                <w:szCs w:val="20"/>
                <w:color w:val="auto"/>
              </w:rPr>
            </w:pPr>
            <w:r>
              <w:rPr>
                <w:rFonts w:ascii="Arial" w:cs="Arial" w:eastAsia="Arial" w:hAnsi="Arial"/>
                <w:sz w:val="14"/>
                <w:szCs w:val="14"/>
                <w:color w:val="auto"/>
              </w:rPr>
              <w:t>Loss on fair value adjustment for embedded</w:t>
            </w: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color w:val="auto"/>
              </w:rPr>
              <w:t>derivative</w:t>
            </w: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8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Fair Value as of June 30, 2015</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11"/>
              <w:spacing w:after="0" w:line="142"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-1002665</wp:posOffset>
            </wp:positionV>
            <wp:extent cx="5213985"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-582295</wp:posOffset>
            </wp:positionV>
            <wp:extent cx="521398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-359410</wp:posOffset>
            </wp:positionV>
            <wp:extent cx="5213985" cy="2317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13985" cy="23177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15"/>
          </w:tcPr>
          <w:p>
            <w:pPr>
              <w:jc w:val="right"/>
              <w:spacing w:after="0"/>
              <w:rPr>
                <w:sz w:val="20"/>
                <w:szCs w:val="20"/>
                <w:color w:val="auto"/>
              </w:rPr>
            </w:pPr>
            <w:r>
              <w:rPr>
                <w:rFonts w:ascii="Arial" w:cs="Arial" w:eastAsia="Arial" w:hAnsi="Arial"/>
                <w:sz w:val="14"/>
                <w:szCs w:val="14"/>
                <w:b w:val="1"/>
                <w:bCs w:val="1"/>
                <w:color w:val="auto"/>
              </w:rPr>
              <w:t>Three months ended June 30, 2014 (Unaudited)</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68"/>
              <w:spacing w:after="0" w:line="119" w:lineRule="exact"/>
              <w:rPr>
                <w:sz w:val="20"/>
                <w:szCs w:val="20"/>
                <w:color w:val="auto"/>
              </w:rPr>
            </w:pPr>
            <w:r>
              <w:rPr>
                <w:rFonts w:ascii="Arial" w:cs="Arial" w:eastAsia="Arial" w:hAnsi="Arial"/>
                <w:sz w:val="13"/>
                <w:szCs w:val="13"/>
                <w:b w:val="1"/>
                <w:bCs w:val="1"/>
                <w:color w:val="auto"/>
              </w:rPr>
              <w:t>Preferred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Direct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Debt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5"/>
              </w:rPr>
              <w:t>Warrants</w:t>
            </w:r>
          </w:p>
        </w:tc>
        <w:tc>
          <w:tcPr>
            <w:tcW w:w="80" w:type="dxa"/>
            <w:vAlign w:val="bottom"/>
          </w:tcPr>
          <w:p>
            <w:pPr>
              <w:spacing w:after="0"/>
              <w:rPr>
                <w:sz w:val="10"/>
                <w:szCs w:val="10"/>
                <w:color w:val="auto"/>
              </w:rPr>
            </w:pPr>
          </w:p>
        </w:tc>
        <w:tc>
          <w:tcPr>
            <w:tcW w:w="720" w:type="dxa"/>
            <w:vAlign w:val="bottom"/>
            <w:gridSpan w:val="3"/>
          </w:tcPr>
          <w:p>
            <w:pPr>
              <w:jc w:val="right"/>
              <w:ind w:right="20"/>
              <w:spacing w:after="0" w:line="119" w:lineRule="exact"/>
              <w:rPr>
                <w:sz w:val="20"/>
                <w:szCs w:val="20"/>
                <w:color w:val="auto"/>
              </w:rPr>
            </w:pPr>
            <w:r>
              <w:rPr>
                <w:rFonts w:ascii="Arial" w:cs="Arial" w:eastAsia="Arial" w:hAnsi="Arial"/>
                <w:sz w:val="13"/>
                <w:szCs w:val="13"/>
                <w:b w:val="1"/>
                <w:bCs w:val="1"/>
                <w:color w:val="auto"/>
              </w:rPr>
              <w:t>Embedded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Investment</w:t>
            </w:r>
          </w:p>
        </w:tc>
        <w:tc>
          <w:tcPr>
            <w:tcW w:w="80" w:type="dxa"/>
            <w:vAlign w:val="bottom"/>
          </w:tcPr>
          <w:p>
            <w:pPr>
              <w:spacing w:after="0"/>
              <w:rPr>
                <w:sz w:val="14"/>
                <w:szCs w:val="14"/>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5"/>
              </w:rPr>
              <w:t>Investments</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8"/>
              </w:rPr>
              <w:t>Derivative</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6"/>
              </w:rPr>
              <w:t>Fair value as of March 31, 2014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90,169,986</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149,541,923</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622,577</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2,363,904</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473,620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2"/>
              </w:rPr>
              <w:t>243,172,010</w:t>
            </w:r>
          </w:p>
        </w:tc>
        <w:tc>
          <w:tcPr>
            <w:tcW w:w="0" w:type="dxa"/>
            <w:vAlign w:val="bottom"/>
          </w:tcPr>
          <w:p>
            <w:pPr>
              <w:spacing w:after="0"/>
              <w:rPr>
                <w:sz w:val="1"/>
                <w:szCs w:val="1"/>
                <w:color w:val="auto"/>
              </w:rPr>
            </w:pPr>
          </w:p>
        </w:tc>
      </w:tr>
      <w:tr>
        <w:trPr>
          <w:trHeight w:val="149"/>
        </w:trPr>
        <w:tc>
          <w:tcPr>
            <w:tcW w:w="1940" w:type="dxa"/>
            <w:vAlign w:val="bottom"/>
          </w:tcPr>
          <w:p>
            <w:pPr>
              <w:ind w:left="20"/>
              <w:spacing w:after="0" w:line="149" w:lineRule="exact"/>
              <w:rPr>
                <w:sz w:val="20"/>
                <w:szCs w:val="20"/>
                <w:color w:val="auto"/>
              </w:rPr>
            </w:pPr>
            <w:r>
              <w:rPr>
                <w:rFonts w:ascii="Arial" w:cs="Arial" w:eastAsia="Arial" w:hAnsi="Arial"/>
                <w:sz w:val="14"/>
                <w:szCs w:val="14"/>
                <w:color w:val="auto"/>
              </w:rPr>
              <w:t>Purchases of investments</w:t>
            </w: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42,138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12,352,651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1,044,990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74,214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13,513,993</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Sales of investments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(75,988)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(75,988)</w:t>
            </w:r>
          </w:p>
        </w:tc>
        <w:tc>
          <w:tcPr>
            <w:tcW w:w="0" w:type="dxa"/>
            <w:vAlign w:val="bottom"/>
          </w:tcPr>
          <w:p>
            <w:pPr>
              <w:spacing w:after="0"/>
              <w:rPr>
                <w:sz w:val="1"/>
                <w:szCs w:val="1"/>
                <w:color w:val="auto"/>
              </w:rPr>
            </w:pPr>
          </w:p>
        </w:tc>
      </w:tr>
      <w:tr>
        <w:trPr>
          <w:trHeight w:val="140"/>
        </w:trPr>
        <w:tc>
          <w:tcPr>
            <w:tcW w:w="1940" w:type="dxa"/>
            <w:vAlign w:val="bottom"/>
          </w:tcPr>
          <w:p>
            <w:pPr>
              <w:ind w:left="20"/>
              <w:spacing w:after="0" w:line="140" w:lineRule="exact"/>
              <w:rPr>
                <w:sz w:val="20"/>
                <w:szCs w:val="20"/>
                <w:color w:val="auto"/>
              </w:rPr>
            </w:pPr>
            <w:r>
              <w:rPr>
                <w:rFonts w:ascii="Arial" w:cs="Arial" w:eastAsia="Arial" w:hAnsi="Arial"/>
                <w:sz w:val="14"/>
                <w:szCs w:val="14"/>
                <w:color w:val="auto"/>
              </w:rPr>
              <w:t>Exercises, conversions and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40" w:type="dxa"/>
            <w:vAlign w:val="bottom"/>
          </w:tcPr>
          <w:p>
            <w:pPr>
              <w:ind w:left="200"/>
              <w:spacing w:after="0" w:line="198" w:lineRule="exact"/>
              <w:rPr>
                <w:sz w:val="20"/>
                <w:szCs w:val="20"/>
                <w:color w:val="auto"/>
              </w:rPr>
            </w:pPr>
            <w:r>
              <w:rPr>
                <w:rFonts w:ascii="Arial" w:cs="Arial" w:eastAsia="Arial" w:hAnsi="Arial"/>
                <w:sz w:val="14"/>
                <w:szCs w:val="14"/>
                <w:color w:val="auto"/>
              </w:rPr>
              <w:t>assignments – In</w:t>
            </w:r>
            <w:r>
              <w:rPr>
                <w:rFonts w:ascii="Arial" w:cs="Arial" w:eastAsia="Arial" w:hAnsi="Arial"/>
                <w:sz w:val="22"/>
                <w:szCs w:val="22"/>
                <w:color w:val="auto"/>
                <w:vertAlign w:val="superscript"/>
              </w:rPr>
              <w:t>(1)</w:t>
            </w:r>
          </w:p>
        </w:tc>
        <w:tc>
          <w:tcPr>
            <w:tcW w:w="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5,570,212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5,570,212</w:t>
            </w:r>
          </w:p>
        </w:tc>
        <w:tc>
          <w:tcPr>
            <w:tcW w:w="0" w:type="dxa"/>
            <w:vAlign w:val="bottom"/>
          </w:tcPr>
          <w:p>
            <w:pPr>
              <w:spacing w:after="0"/>
              <w:rPr>
                <w:sz w:val="1"/>
                <w:szCs w:val="1"/>
                <w:color w:val="auto"/>
              </w:rPr>
            </w:pPr>
          </w:p>
        </w:tc>
      </w:tr>
      <w:tr>
        <w:trPr>
          <w:trHeight w:val="140"/>
        </w:trPr>
        <w:tc>
          <w:tcPr>
            <w:tcW w:w="194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Exercises, conversions and</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40" w:type="dxa"/>
            <w:vAlign w:val="bottom"/>
            <w:shd w:val="clear" w:color="auto" w:fill="CCEEFF"/>
          </w:tcPr>
          <w:p>
            <w:pPr>
              <w:ind w:left="200"/>
              <w:spacing w:after="0" w:line="198" w:lineRule="exact"/>
              <w:rPr>
                <w:sz w:val="20"/>
                <w:szCs w:val="20"/>
                <w:color w:val="auto"/>
              </w:rPr>
            </w:pPr>
            <w:r>
              <w:rPr>
                <w:rFonts w:ascii="Arial" w:cs="Arial" w:eastAsia="Arial" w:hAnsi="Arial"/>
                <w:sz w:val="14"/>
                <w:szCs w:val="14"/>
                <w:color w:val="auto"/>
              </w:rPr>
              <w:t>assignments – Out</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4"/>
              </w:rPr>
              <w:t>(2,006,077)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4"/>
              </w:rPr>
              <w:t>(3,064,135)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(5,570,212)</w:t>
            </w:r>
          </w:p>
        </w:tc>
        <w:tc>
          <w:tcPr>
            <w:tcW w:w="0" w:type="dxa"/>
            <w:vAlign w:val="bottom"/>
          </w:tcPr>
          <w:p>
            <w:pPr>
              <w:spacing w:after="0"/>
              <w:rPr>
                <w:sz w:val="1"/>
                <w:szCs w:val="1"/>
                <w:color w:val="auto"/>
              </w:rPr>
            </w:pPr>
          </w:p>
        </w:tc>
      </w:tr>
      <w:tr>
        <w:trPr>
          <w:trHeight w:val="130"/>
        </w:trPr>
        <w:tc>
          <w:tcPr>
            <w:tcW w:w="1940" w:type="dxa"/>
            <w:vAlign w:val="bottom"/>
          </w:tcPr>
          <w:p>
            <w:pPr>
              <w:ind w:left="20"/>
              <w:spacing w:after="0" w:line="130" w:lineRule="exact"/>
              <w:rPr>
                <w:sz w:val="20"/>
                <w:szCs w:val="20"/>
                <w:color w:val="auto"/>
              </w:rPr>
            </w:pPr>
            <w:r>
              <w:rPr>
                <w:rFonts w:ascii="Arial" w:cs="Arial" w:eastAsia="Arial" w:hAnsi="Arial"/>
                <w:sz w:val="14"/>
                <w:szCs w:val="14"/>
                <w:color w:val="auto"/>
              </w:rPr>
              <w:t>Net change in unrealized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40" w:type="dxa"/>
            <w:vAlign w:val="bottom"/>
          </w:tcPr>
          <w:p>
            <w:pPr>
              <w:ind w:left="200"/>
              <w:spacing w:after="0" w:line="149" w:lineRule="exact"/>
              <w:rPr>
                <w:sz w:val="20"/>
                <w:szCs w:val="20"/>
                <w:color w:val="auto"/>
              </w:rPr>
            </w:pPr>
            <w:r>
              <w:rPr>
                <w:rFonts w:ascii="Arial" w:cs="Arial" w:eastAsia="Arial" w:hAnsi="Arial"/>
                <w:sz w:val="14"/>
                <w:szCs w:val="14"/>
                <w:color w:val="auto"/>
              </w:rPr>
              <w:t>appreciation (depreciation)</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40" w:type="dxa"/>
            <w:vAlign w:val="bottom"/>
          </w:tcPr>
          <w:p>
            <w:pPr>
              <w:ind w:left="200"/>
              <w:spacing w:after="0"/>
              <w:rPr>
                <w:sz w:val="20"/>
                <w:szCs w:val="20"/>
                <w:color w:val="auto"/>
              </w:rPr>
            </w:pPr>
            <w:r>
              <w:rPr>
                <w:rFonts w:ascii="Arial" w:cs="Arial" w:eastAsia="Arial" w:hAnsi="Arial"/>
                <w:sz w:val="14"/>
                <w:szCs w:val="14"/>
                <w:color w:val="auto"/>
              </w:rPr>
              <w:t>included in earnings</w:t>
            </w: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2,456,846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1,654,369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(122,577)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3,851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122,509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4,114,998</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Transfers Out of Level 3</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(3,067,543)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(3,067,543)</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40" w:type="dxa"/>
            <w:vAlign w:val="bottom"/>
          </w:tcPr>
          <w:p>
            <w:pPr>
              <w:ind w:left="20"/>
              <w:spacing w:after="0" w:line="142" w:lineRule="exact"/>
              <w:rPr>
                <w:sz w:val="20"/>
                <w:szCs w:val="20"/>
                <w:color w:val="auto"/>
              </w:rPr>
            </w:pPr>
            <w:r>
              <w:rPr>
                <w:rFonts w:ascii="Arial" w:cs="Arial" w:eastAsia="Arial" w:hAnsi="Arial"/>
                <w:sz w:val="14"/>
                <w:szCs w:val="14"/>
                <w:color w:val="auto"/>
                <w:w w:val="99"/>
              </w:rPr>
              <w:t>Fair Value as of June 30, 2014</w:t>
            </w:r>
          </w:p>
        </w:tc>
        <w:tc>
          <w:tcPr>
            <w:tcW w:w="80" w:type="dxa"/>
            <w:vAlign w:val="bottom"/>
          </w:tcPr>
          <w:p>
            <w:pPr>
              <w:jc w:val="right"/>
              <w:spacing w:after="0" w:line="142" w:lineRule="exact"/>
              <w:rPr>
                <w:sz w:val="20"/>
                <w:szCs w:val="20"/>
                <w:color w:val="auto"/>
              </w:rPr>
            </w:pPr>
            <w:r>
              <w:rPr>
                <w:rFonts w:ascii="Arial" w:cs="Arial" w:eastAsia="Arial" w:hAnsi="Arial"/>
                <w:sz w:val="14"/>
                <w:szCs w:val="14"/>
                <w:u w:val="single" w:color="auto"/>
                <w:color w:val="auto"/>
                <w:w w:val="76"/>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w w:val="91"/>
              </w:rPr>
              <w:t>87,595,350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w w:val="92"/>
              </w:rPr>
              <w:t>169,119,155</w:t>
            </w:r>
          </w:p>
        </w:tc>
        <w:tc>
          <w:tcPr>
            <w:tcW w:w="2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348,610</w:t>
            </w:r>
          </w:p>
        </w:tc>
        <w:tc>
          <w:tcPr>
            <w:tcW w:w="1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594,355</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w w:val="92"/>
              </w:rPr>
              <w:t>257,657,470</w:t>
            </w: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194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Net change in unrealized</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appreciation (depreciation)</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on Level 3 investments still</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9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held as of June 30, 2014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2,192,723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1,654,367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81,533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3,928,303</w:t>
            </w:r>
          </w:p>
        </w:tc>
        <w:tc>
          <w:tcPr>
            <w:tcW w:w="0" w:type="dxa"/>
            <w:vAlign w:val="bottom"/>
          </w:tcPr>
          <w:p>
            <w:pPr>
              <w:spacing w:after="0"/>
              <w:rPr>
                <w:sz w:val="1"/>
                <w:szCs w:val="1"/>
                <w:color w:val="auto"/>
              </w:rPr>
            </w:pPr>
          </w:p>
        </w:tc>
      </w:tr>
      <w:tr>
        <w:trPr>
          <w:trHeight w:val="142"/>
        </w:trPr>
        <w:tc>
          <w:tcPr>
            <w:tcW w:w="1940" w:type="dxa"/>
            <w:vAlign w:val="bottom"/>
            <w:tcBorders>
              <w:top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Liabilities:</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Fair Value of March 31,</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2014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179,000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179,000</w:t>
            </w:r>
          </w:p>
        </w:tc>
        <w:tc>
          <w:tcPr>
            <w:tcW w:w="0" w:type="dxa"/>
            <w:vAlign w:val="bottom"/>
          </w:tcPr>
          <w:p>
            <w:pPr>
              <w:spacing w:after="0"/>
              <w:rPr>
                <w:sz w:val="1"/>
                <w:szCs w:val="1"/>
                <w:color w:val="auto"/>
              </w:rPr>
            </w:pPr>
          </w:p>
        </w:tc>
      </w:tr>
      <w:tr>
        <w:trPr>
          <w:trHeight w:val="123"/>
        </w:trPr>
        <w:tc>
          <w:tcPr>
            <w:tcW w:w="1940" w:type="dxa"/>
            <w:vAlign w:val="bottom"/>
            <w:tcBorders>
              <w:top w:val="single" w:sz="8" w:color="CCEEFF"/>
            </w:tcBorders>
          </w:tcPr>
          <w:p>
            <w:pPr>
              <w:ind w:left="20"/>
              <w:spacing w:after="0" w:line="123" w:lineRule="exact"/>
              <w:rPr>
                <w:sz w:val="20"/>
                <w:szCs w:val="20"/>
                <w:color w:val="auto"/>
              </w:rPr>
            </w:pPr>
            <w:r>
              <w:rPr>
                <w:rFonts w:ascii="Arial" w:cs="Arial" w:eastAsia="Arial" w:hAnsi="Arial"/>
                <w:sz w:val="14"/>
                <w:szCs w:val="14"/>
                <w:color w:val="auto"/>
              </w:rPr>
              <w:t>Loss on fair value adjustment</w:t>
            </w: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940" w:type="dxa"/>
            <w:vAlign w:val="bottom"/>
          </w:tcPr>
          <w:p>
            <w:pPr>
              <w:ind w:left="200"/>
              <w:spacing w:after="0"/>
              <w:rPr>
                <w:sz w:val="20"/>
                <w:szCs w:val="20"/>
                <w:color w:val="auto"/>
              </w:rPr>
            </w:pPr>
            <w:r>
              <w:rPr>
                <w:rFonts w:ascii="Arial" w:cs="Arial" w:eastAsia="Arial" w:hAnsi="Arial"/>
                <w:sz w:val="14"/>
                <w:szCs w:val="14"/>
                <w:color w:val="auto"/>
              </w:rPr>
              <w:t>for embedded derivative</w:t>
            </w: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194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Fair Value as of June 30,</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9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2014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159,000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159,000</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-1285875</wp:posOffset>
            </wp:positionV>
            <wp:extent cx="5213985"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-770890</wp:posOffset>
            </wp:positionV>
            <wp:extent cx="521398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-454025</wp:posOffset>
            </wp:positionV>
            <wp:extent cx="5213985" cy="2317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13985" cy="23177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6" w:name="page37"/>
    <w:bookmarkEnd w:id="36"/>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June 30, 2015 (Unaudited)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189230</wp:posOffset>
            </wp:positionV>
            <wp:extent cx="6172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420" w:right="519" w:hanging="272"/>
        <w:spacing w:after="0" w:line="277"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three months ended June 30, 2014, the Company’s portfolio investments had the following corporate actions which are reflected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47250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8"/>
          </w:tcPr>
          <w:p>
            <w:pPr>
              <w:jc w:val="center"/>
              <w:ind w:left="183"/>
              <w:spacing w:after="0"/>
              <w:rPr>
                <w:sz w:val="20"/>
                <w:szCs w:val="20"/>
                <w:color w:val="auto"/>
              </w:rPr>
            </w:pPr>
            <w:r>
              <w:rPr>
                <w:rFonts w:ascii="Arial" w:cs="Arial" w:eastAsia="Arial" w:hAnsi="Arial"/>
                <w:sz w:val="14"/>
                <w:szCs w:val="14"/>
                <w:b w:val="1"/>
                <w:bCs w:val="1"/>
                <w:color w:val="auto"/>
                <w:w w:val="94"/>
              </w:rPr>
              <w:t>Transfer from</w:t>
            </w: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2"/>
              </w:rPr>
              <w:t>Transfer to</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1940" w:type="dxa"/>
            <w:vAlign w:val="bottom"/>
          </w:tcPr>
          <w:p>
            <w:pPr>
              <w:ind w:left="20"/>
              <w:spacing w:after="0" w:line="195" w:lineRule="exact"/>
              <w:rPr>
                <w:sz w:val="20"/>
                <w:szCs w:val="20"/>
                <w:color w:val="auto"/>
              </w:rPr>
            </w:pPr>
            <w:r>
              <w:rPr>
                <w:rFonts w:ascii="Arial" w:cs="Arial" w:eastAsia="Arial" w:hAnsi="Arial"/>
                <w:sz w:val="18"/>
                <w:szCs w:val="18"/>
                <w:color w:val="auto"/>
                <w:w w:val="99"/>
              </w:rPr>
              <w:t>CUX, Inc. (d/b/a CorpU)</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gridSpan w:val="8"/>
          </w:tcPr>
          <w:p>
            <w:pPr>
              <w:jc w:val="center"/>
              <w:ind w:left="183"/>
              <w:spacing w:after="0" w:line="195" w:lineRule="exact"/>
              <w:rPr>
                <w:sz w:val="20"/>
                <w:szCs w:val="20"/>
                <w:color w:val="auto"/>
              </w:rPr>
            </w:pPr>
            <w:r>
              <w:rPr>
                <w:rFonts w:ascii="Arial" w:cs="Arial" w:eastAsia="Arial" w:hAnsi="Arial"/>
                <w:sz w:val="18"/>
                <w:szCs w:val="18"/>
                <w:color w:val="auto"/>
                <w:w w:val="92"/>
              </w:rPr>
              <w:t>Common Stock</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7"/>
          </w:tcPr>
          <w:p>
            <w:pPr>
              <w:jc w:val="center"/>
              <w:ind w:right="20"/>
              <w:spacing w:after="0" w:line="195" w:lineRule="exact"/>
              <w:rPr>
                <w:sz w:val="20"/>
                <w:szCs w:val="20"/>
                <w:color w:val="auto"/>
              </w:rPr>
            </w:pPr>
            <w:r>
              <w:rPr>
                <w:rFonts w:ascii="Arial" w:cs="Arial" w:eastAsia="Arial" w:hAnsi="Arial"/>
                <w:sz w:val="18"/>
                <w:szCs w:val="18"/>
                <w:color w:val="auto"/>
                <w:w w:val="92"/>
              </w:rPr>
              <w:t>Convertible preferred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6"/>
          </w:tcPr>
          <w:p>
            <w:pPr>
              <w:jc w:val="center"/>
              <w:ind w:right="120"/>
              <w:spacing w:after="0"/>
              <w:rPr>
                <w:sz w:val="20"/>
                <w:szCs w:val="20"/>
                <w:color w:val="auto"/>
              </w:rPr>
            </w:pPr>
            <w:r>
              <w:rPr>
                <w:rFonts w:ascii="Arial" w:cs="Arial" w:eastAsia="Arial" w:hAnsi="Arial"/>
                <w:sz w:val="18"/>
                <w:szCs w:val="18"/>
                <w:color w:val="auto"/>
                <w:w w:val="85"/>
              </w:rPr>
              <w:t>shares, Series C</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820" w:type="dxa"/>
            <w:vAlign w:val="bottom"/>
            <w:gridSpan w:val="5"/>
          </w:tcPr>
          <w:p>
            <w:pPr>
              <w:ind w:left="20"/>
              <w:spacing w:after="0"/>
              <w:rPr>
                <w:sz w:val="20"/>
                <w:szCs w:val="20"/>
                <w:color w:val="auto"/>
              </w:rPr>
            </w:pPr>
            <w:r>
              <w:rPr>
                <w:rFonts w:ascii="Arial" w:cs="Arial" w:eastAsia="Arial" w:hAnsi="Arial"/>
                <w:sz w:val="18"/>
                <w:szCs w:val="18"/>
                <w:color w:val="auto"/>
              </w:rPr>
              <w:t>NestGSV Silicon Valley, LLC</w:t>
            </w:r>
          </w:p>
        </w:tc>
        <w:tc>
          <w:tcPr>
            <w:tcW w:w="2680" w:type="dxa"/>
            <w:vAlign w:val="bottom"/>
            <w:gridSpan w:val="13"/>
          </w:tcPr>
          <w:p>
            <w:pPr>
              <w:spacing w:after="0"/>
              <w:rPr>
                <w:sz w:val="20"/>
                <w:szCs w:val="20"/>
                <w:color w:val="auto"/>
              </w:rPr>
            </w:pPr>
            <w:r>
              <w:rPr>
                <w:rFonts w:ascii="Arial" w:cs="Arial" w:eastAsia="Arial" w:hAnsi="Arial"/>
                <w:sz w:val="18"/>
                <w:szCs w:val="18"/>
                <w:color w:val="auto"/>
              </w:rPr>
              <w:t>Common Membership Interest</w:t>
            </w:r>
          </w:p>
        </w:tc>
        <w:tc>
          <w:tcPr>
            <w:tcW w:w="1880" w:type="dxa"/>
            <w:vAlign w:val="bottom"/>
            <w:gridSpan w:val="10"/>
          </w:tcPr>
          <w:p>
            <w:pPr>
              <w:jc w:val="center"/>
              <w:ind w:right="40"/>
              <w:spacing w:after="0"/>
              <w:rPr>
                <w:sz w:val="20"/>
                <w:szCs w:val="20"/>
                <w:color w:val="auto"/>
              </w:rPr>
            </w:pPr>
            <w:r>
              <w:rPr>
                <w:rFonts w:ascii="Arial" w:cs="Arial" w:eastAsia="Arial" w:hAnsi="Arial"/>
                <w:sz w:val="18"/>
                <w:szCs w:val="18"/>
                <w:color w:val="auto"/>
                <w:w w:val="86"/>
              </w:rPr>
              <w:t>Preferred shares, Series C</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40" w:type="dxa"/>
            <w:vAlign w:val="bottom"/>
          </w:tcPr>
          <w:p>
            <w:pPr>
              <w:ind w:left="20"/>
              <w:spacing w:after="0"/>
              <w:rPr>
                <w:sz w:val="20"/>
                <w:szCs w:val="20"/>
                <w:color w:val="auto"/>
              </w:rPr>
            </w:pPr>
            <w:r>
              <w:rPr>
                <w:rFonts w:ascii="Arial" w:cs="Arial" w:eastAsia="Arial" w:hAnsi="Arial"/>
                <w:sz w:val="18"/>
                <w:szCs w:val="18"/>
                <w:color w:val="auto"/>
              </w:rPr>
              <w:t>NestGSV, Inc.</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60" w:type="dxa"/>
            <w:vAlign w:val="bottom"/>
            <w:gridSpan w:val="9"/>
          </w:tcPr>
          <w:p>
            <w:pPr>
              <w:jc w:val="center"/>
              <w:ind w:left="23"/>
              <w:spacing w:after="0"/>
              <w:rPr>
                <w:sz w:val="20"/>
                <w:szCs w:val="20"/>
                <w:color w:val="auto"/>
              </w:rPr>
            </w:pPr>
            <w:r>
              <w:rPr>
                <w:rFonts w:ascii="Arial" w:cs="Arial" w:eastAsia="Arial" w:hAnsi="Arial"/>
                <w:sz w:val="18"/>
                <w:szCs w:val="18"/>
                <w:color w:val="auto"/>
                <w:w w:val="91"/>
              </w:rPr>
              <w:t>Convertible Promissory</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10"/>
          </w:tcPr>
          <w:p>
            <w:pPr>
              <w:jc w:val="center"/>
              <w:ind w:right="40"/>
              <w:spacing w:after="0"/>
              <w:rPr>
                <w:sz w:val="20"/>
                <w:szCs w:val="20"/>
                <w:color w:val="auto"/>
              </w:rPr>
            </w:pPr>
            <w:r>
              <w:rPr>
                <w:rFonts w:ascii="Arial" w:cs="Arial" w:eastAsia="Arial" w:hAnsi="Arial"/>
                <w:sz w:val="18"/>
                <w:szCs w:val="18"/>
                <w:color w:val="auto"/>
                <w:w w:val="86"/>
              </w:rPr>
              <w:t>Preferred shares, Series C</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0" w:type="dxa"/>
            <w:vAlign w:val="bottom"/>
            <w:gridSpan w:val="8"/>
          </w:tcPr>
          <w:p>
            <w:pPr>
              <w:jc w:val="center"/>
              <w:ind w:left="183"/>
              <w:spacing w:after="0"/>
              <w:rPr>
                <w:sz w:val="20"/>
                <w:szCs w:val="20"/>
                <w:color w:val="auto"/>
              </w:rPr>
            </w:pPr>
            <w:r>
              <w:rPr>
                <w:rFonts w:ascii="Arial" w:cs="Arial" w:eastAsia="Arial" w:hAnsi="Arial"/>
                <w:sz w:val="18"/>
                <w:szCs w:val="18"/>
                <w:color w:val="auto"/>
                <w:w w:val="92"/>
              </w:rPr>
              <w:t>Note, 12%, 6/30/14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40" w:type="dxa"/>
            <w:vAlign w:val="bottom"/>
          </w:tcPr>
          <w:p>
            <w:pPr>
              <w:ind w:left="20"/>
              <w:spacing w:after="0"/>
              <w:rPr>
                <w:sz w:val="20"/>
                <w:szCs w:val="20"/>
                <w:color w:val="auto"/>
              </w:rPr>
            </w:pPr>
            <w:r>
              <w:rPr>
                <w:rFonts w:ascii="Arial" w:cs="Arial" w:eastAsia="Arial" w:hAnsi="Arial"/>
                <w:sz w:val="18"/>
                <w:szCs w:val="18"/>
                <w:color w:val="auto"/>
              </w:rPr>
              <w:t>NestGSV, Inc.</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60" w:type="dxa"/>
            <w:vAlign w:val="bottom"/>
            <w:gridSpan w:val="9"/>
          </w:tcPr>
          <w:p>
            <w:pPr>
              <w:jc w:val="center"/>
              <w:ind w:left="23"/>
              <w:spacing w:after="0"/>
              <w:rPr>
                <w:sz w:val="20"/>
                <w:szCs w:val="20"/>
                <w:color w:val="auto"/>
              </w:rPr>
            </w:pPr>
            <w:r>
              <w:rPr>
                <w:rFonts w:ascii="Arial" w:cs="Arial" w:eastAsia="Arial" w:hAnsi="Arial"/>
                <w:sz w:val="18"/>
                <w:szCs w:val="18"/>
                <w:color w:val="auto"/>
                <w:w w:val="91"/>
              </w:rPr>
              <w:t>Convertible Promissory</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10"/>
          </w:tcPr>
          <w:p>
            <w:pPr>
              <w:jc w:val="center"/>
              <w:ind w:right="40"/>
              <w:spacing w:after="0"/>
              <w:rPr>
                <w:sz w:val="20"/>
                <w:szCs w:val="20"/>
                <w:color w:val="auto"/>
              </w:rPr>
            </w:pPr>
            <w:r>
              <w:rPr>
                <w:rFonts w:ascii="Arial" w:cs="Arial" w:eastAsia="Arial" w:hAnsi="Arial"/>
                <w:sz w:val="18"/>
                <w:szCs w:val="18"/>
                <w:color w:val="auto"/>
                <w:w w:val="86"/>
              </w:rPr>
              <w:t>Preferred shares, Series C</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0" w:type="dxa"/>
            <w:vAlign w:val="bottom"/>
            <w:gridSpan w:val="8"/>
          </w:tcPr>
          <w:p>
            <w:pPr>
              <w:jc w:val="center"/>
              <w:ind w:left="183"/>
              <w:spacing w:after="0"/>
              <w:rPr>
                <w:sz w:val="20"/>
                <w:szCs w:val="20"/>
                <w:color w:val="auto"/>
              </w:rPr>
            </w:pPr>
            <w:r>
              <w:rPr>
                <w:rFonts w:ascii="Arial" w:cs="Arial" w:eastAsia="Arial" w:hAnsi="Arial"/>
                <w:sz w:val="18"/>
                <w:szCs w:val="18"/>
                <w:color w:val="auto"/>
                <w:w w:val="92"/>
              </w:rPr>
              <w:t>Note, 12%, 6/30/14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40" w:type="dxa"/>
            <w:vAlign w:val="bottom"/>
          </w:tcPr>
          <w:p>
            <w:pPr>
              <w:ind w:left="20"/>
              <w:spacing w:after="0"/>
              <w:rPr>
                <w:sz w:val="20"/>
                <w:szCs w:val="20"/>
                <w:color w:val="auto"/>
              </w:rPr>
            </w:pPr>
            <w:r>
              <w:rPr>
                <w:rFonts w:ascii="Arial" w:cs="Arial" w:eastAsia="Arial" w:hAnsi="Arial"/>
                <w:sz w:val="18"/>
                <w:szCs w:val="18"/>
                <w:color w:val="auto"/>
              </w:rPr>
              <w:t>Fullbridge, Inc.</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60" w:type="dxa"/>
            <w:vAlign w:val="bottom"/>
            <w:gridSpan w:val="9"/>
          </w:tcPr>
          <w:p>
            <w:pPr>
              <w:jc w:val="center"/>
              <w:ind w:left="23"/>
              <w:spacing w:after="0"/>
              <w:rPr>
                <w:sz w:val="20"/>
                <w:szCs w:val="20"/>
                <w:color w:val="auto"/>
              </w:rPr>
            </w:pPr>
            <w:r>
              <w:rPr>
                <w:rFonts w:ascii="Arial" w:cs="Arial" w:eastAsia="Arial" w:hAnsi="Arial"/>
                <w:sz w:val="18"/>
                <w:szCs w:val="18"/>
                <w:color w:val="auto"/>
                <w:w w:val="91"/>
              </w:rPr>
              <w:t>Convertible Promissory</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10"/>
          </w:tcPr>
          <w:p>
            <w:pPr>
              <w:jc w:val="center"/>
              <w:ind w:right="20"/>
              <w:spacing w:after="0"/>
              <w:rPr>
                <w:sz w:val="20"/>
                <w:szCs w:val="20"/>
                <w:color w:val="auto"/>
              </w:rPr>
            </w:pPr>
            <w:r>
              <w:rPr>
                <w:rFonts w:ascii="Arial" w:cs="Arial" w:eastAsia="Arial" w:hAnsi="Arial"/>
                <w:sz w:val="18"/>
                <w:szCs w:val="18"/>
                <w:color w:val="auto"/>
                <w:w w:val="87"/>
              </w:rPr>
              <w:t>Preferred shares, Series D</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0" w:type="dxa"/>
            <w:vAlign w:val="bottom"/>
            <w:gridSpan w:val="8"/>
          </w:tcPr>
          <w:p>
            <w:pPr>
              <w:jc w:val="center"/>
              <w:ind w:left="183"/>
              <w:spacing w:after="0"/>
              <w:rPr>
                <w:sz w:val="20"/>
                <w:szCs w:val="20"/>
                <w:color w:val="auto"/>
              </w:rPr>
            </w:pPr>
            <w:r>
              <w:rPr>
                <w:rFonts w:ascii="Arial" w:cs="Arial" w:eastAsia="Arial" w:hAnsi="Arial"/>
                <w:sz w:val="18"/>
                <w:szCs w:val="18"/>
                <w:color w:val="auto"/>
                <w:w w:val="92"/>
              </w:rPr>
              <w:t>Note, 10%, 2/16/15</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14"/>
          </w:tcPr>
          <w:p>
            <w:pPr>
              <w:jc w:val="right"/>
              <w:ind w:right="340"/>
              <w:spacing w:after="0"/>
              <w:rPr>
                <w:sz w:val="20"/>
                <w:szCs w:val="20"/>
                <w:color w:val="auto"/>
              </w:rPr>
            </w:pPr>
            <w:r>
              <w:rPr>
                <w:rFonts w:ascii="Arial" w:cs="Arial" w:eastAsia="Arial" w:hAnsi="Arial"/>
                <w:sz w:val="14"/>
                <w:szCs w:val="14"/>
                <w:b w:val="1"/>
                <w:bCs w:val="1"/>
                <w:color w:val="auto"/>
                <w:w w:val="97"/>
              </w:rPr>
              <w:t>Six months ended June 30, 2015 (Unaudited)</w:t>
            </w: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rPr>
              <w:t>Preferred</w:t>
            </w:r>
          </w:p>
        </w:tc>
        <w:tc>
          <w:tcPr>
            <w:tcW w:w="160" w:type="dxa"/>
            <w:vAlign w:val="bottom"/>
          </w:tcPr>
          <w:p>
            <w:pPr>
              <w:spacing w:after="0"/>
              <w:rPr>
                <w:sz w:val="10"/>
                <w:szCs w:val="10"/>
                <w:color w:val="auto"/>
              </w:rPr>
            </w:pPr>
          </w:p>
        </w:tc>
        <w:tc>
          <w:tcPr>
            <w:tcW w:w="66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Debt</w:t>
            </w:r>
          </w:p>
        </w:tc>
        <w:tc>
          <w:tcPr>
            <w:tcW w:w="140" w:type="dxa"/>
            <w:vAlign w:val="bottom"/>
          </w:tcPr>
          <w:p>
            <w:pPr>
              <w:spacing w:after="0"/>
              <w:rPr>
                <w:sz w:val="10"/>
                <w:szCs w:val="10"/>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Warrants</w:t>
            </w:r>
          </w:p>
        </w:tc>
        <w:tc>
          <w:tcPr>
            <w:tcW w:w="7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Embedded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ind w:left="16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Stock</w:t>
            </w:r>
          </w:p>
        </w:tc>
        <w:tc>
          <w:tcPr>
            <w:tcW w:w="8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5"/>
              </w:rPr>
              <w:t>Investments</w:t>
            </w:r>
          </w:p>
        </w:tc>
        <w:tc>
          <w:tcPr>
            <w:tcW w:w="14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Derivative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820" w:type="dxa"/>
            <w:vAlign w:val="bottom"/>
            <w:tcBorders>
              <w:right w:val="single" w:sz="8" w:color="CCEEFF"/>
            </w:tcBorders>
            <w:gridSpan w:val="5"/>
            <w:shd w:val="clear" w:color="auto" w:fill="CCEEFF"/>
          </w:tcPr>
          <w:p>
            <w:pPr>
              <w:ind w:left="20"/>
              <w:spacing w:after="0" w:line="149" w:lineRule="exact"/>
              <w:rPr>
                <w:sz w:val="20"/>
                <w:szCs w:val="20"/>
                <w:color w:val="auto"/>
              </w:rPr>
            </w:pPr>
            <w:r>
              <w:rPr>
                <w:rFonts w:ascii="Arial" w:cs="Arial" w:eastAsia="Arial" w:hAnsi="Arial"/>
                <w:sz w:val="14"/>
                <w:szCs w:val="14"/>
                <w:color w:val="auto"/>
              </w:rPr>
              <w:t>Fair value as of December 31, 2014</w:t>
            </w:r>
          </w:p>
        </w:tc>
        <w:tc>
          <w:tcPr>
            <w:tcW w:w="800" w:type="dxa"/>
            <w:vAlign w:val="bottom"/>
            <w:gridSpan w:val="3"/>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89"/>
              </w:rPr>
              <w:t>$85,598,467</w:t>
            </w:r>
          </w:p>
        </w:tc>
        <w:tc>
          <w:tcPr>
            <w:tcW w:w="100" w:type="dxa"/>
            <w:vAlign w:val="bottom"/>
            <w:tcBorders>
              <w:right w:val="single" w:sz="8" w:color="CCEEFF"/>
            </w:tcBorders>
            <w:shd w:val="clear" w:color="auto" w:fill="CCEEFF"/>
          </w:tcPr>
          <w:p>
            <w:pPr>
              <w:spacing w:after="0"/>
              <w:rPr>
                <w:sz w:val="12"/>
                <w:szCs w:val="12"/>
                <w:color w:val="auto"/>
              </w:rPr>
            </w:pPr>
          </w:p>
        </w:tc>
        <w:tc>
          <w:tcPr>
            <w:tcW w:w="880" w:type="dxa"/>
            <w:vAlign w:val="bottom"/>
            <w:tcBorders>
              <w:right w:val="single" w:sz="8" w:color="CCEEFF"/>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$ 193,847,045</w:t>
            </w:r>
          </w:p>
        </w:tc>
        <w:tc>
          <w:tcPr>
            <w:tcW w:w="8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right w:val="single" w:sz="8" w:color="CCEEFF"/>
            </w:tcBorders>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1,374,210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904,345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2"/>
              </w:rPr>
              <w:t>281,724,067</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940" w:type="dxa"/>
            <w:vAlign w:val="bottom"/>
          </w:tcPr>
          <w:p>
            <w:pPr>
              <w:ind w:left="20"/>
              <w:spacing w:after="0" w:line="149" w:lineRule="exact"/>
              <w:rPr>
                <w:sz w:val="20"/>
                <w:szCs w:val="20"/>
                <w:color w:val="auto"/>
              </w:rPr>
            </w:pPr>
            <w:r>
              <w:rPr>
                <w:rFonts w:ascii="Arial" w:cs="Arial" w:eastAsia="Arial" w:hAnsi="Arial"/>
                <w:sz w:val="14"/>
                <w:szCs w:val="14"/>
                <w:color w:val="auto"/>
              </w:rPr>
              <w:t>Purchases of investments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2,680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9,566,558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w w:val="96"/>
              </w:rPr>
              <w:t>1,022,107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10,591,345</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9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Sales of investments</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(12,373)</w:t>
            </w: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tcBorders>
              <w:right w:val="single" w:sz="8" w:color="CCEEFF"/>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(12,373)</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2820" w:type="dxa"/>
            <w:vAlign w:val="bottom"/>
            <w:gridSpan w:val="5"/>
          </w:tcPr>
          <w:p>
            <w:pPr>
              <w:ind w:left="20"/>
              <w:spacing w:after="0" w:line="130" w:lineRule="exact"/>
              <w:rPr>
                <w:sz w:val="20"/>
                <w:szCs w:val="20"/>
                <w:color w:val="auto"/>
              </w:rPr>
            </w:pPr>
            <w:r>
              <w:rPr>
                <w:rFonts w:ascii="Arial" w:cs="Arial" w:eastAsia="Arial" w:hAnsi="Arial"/>
                <w:sz w:val="14"/>
                <w:szCs w:val="14"/>
                <w:color w:val="auto"/>
              </w:rPr>
              <w:t>Amortization of fixed income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940" w:type="dxa"/>
            <w:vAlign w:val="bottom"/>
          </w:tcPr>
          <w:p>
            <w:pPr>
              <w:ind w:left="200"/>
              <w:spacing w:after="0"/>
              <w:rPr>
                <w:sz w:val="20"/>
                <w:szCs w:val="20"/>
                <w:color w:val="auto"/>
              </w:rPr>
            </w:pPr>
            <w:r>
              <w:rPr>
                <w:rFonts w:ascii="Arial" w:cs="Arial" w:eastAsia="Arial" w:hAnsi="Arial"/>
                <w:sz w:val="14"/>
                <w:szCs w:val="14"/>
                <w:color w:val="auto"/>
              </w:rPr>
              <w:t>premiums and discounts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4"/>
                <w:szCs w:val="14"/>
                <w:color w:val="auto"/>
              </w:rPr>
              <w:t>21,882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21,882</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2820" w:type="dxa"/>
            <w:vAlign w:val="bottom"/>
            <w:tcBorders>
              <w:right w:val="single" w:sz="8" w:color="CCEEFF"/>
            </w:tcBorders>
            <w:gridSpan w:val="5"/>
            <w:shd w:val="clear" w:color="auto" w:fill="CCEEFF"/>
          </w:tcPr>
          <w:p>
            <w:pPr>
              <w:ind w:left="20"/>
              <w:spacing w:after="0" w:line="130" w:lineRule="exact"/>
              <w:rPr>
                <w:sz w:val="20"/>
                <w:szCs w:val="20"/>
                <w:color w:val="auto"/>
              </w:rPr>
            </w:pPr>
            <w:r>
              <w:rPr>
                <w:rFonts w:ascii="Arial" w:cs="Arial" w:eastAsia="Arial" w:hAnsi="Arial"/>
                <w:sz w:val="14"/>
                <w:szCs w:val="14"/>
                <w:color w:val="auto"/>
              </w:rPr>
              <w:t>Net change in unrealized appreciation</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282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4"/>
                <w:szCs w:val="14"/>
                <w:color w:val="auto"/>
              </w:rPr>
              <w:t>(depreciation) included in earnings</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6,841,878</w:t>
            </w:r>
          </w:p>
        </w:tc>
        <w:tc>
          <w:tcPr>
            <w:tcW w:w="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14,570,316</w:t>
            </w:r>
          </w:p>
        </w:tc>
        <w:tc>
          <w:tcPr>
            <w:tcW w:w="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6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87,815</w:t>
            </w: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(210,031)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21,289,978</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0" w:type="dxa"/>
            <w:vAlign w:val="bottom"/>
          </w:tcPr>
          <w:p>
            <w:pPr>
              <w:spacing w:after="0"/>
              <w:rPr>
                <w:sz w:val="12"/>
                <w:szCs w:val="12"/>
                <w:color w:val="auto"/>
              </w:rPr>
            </w:pPr>
          </w:p>
        </w:tc>
        <w:tc>
          <w:tcPr>
            <w:tcW w:w="1940" w:type="dxa"/>
            <w:vAlign w:val="bottom"/>
          </w:tcPr>
          <w:p>
            <w:pPr>
              <w:ind w:left="20"/>
              <w:spacing w:after="0" w:line="142" w:lineRule="exact"/>
              <w:rPr>
                <w:sz w:val="20"/>
                <w:szCs w:val="20"/>
                <w:color w:val="auto"/>
              </w:rPr>
            </w:pPr>
            <w:r>
              <w:rPr>
                <w:rFonts w:ascii="Arial" w:cs="Arial" w:eastAsia="Arial" w:hAnsi="Arial"/>
                <w:sz w:val="14"/>
                <w:szCs w:val="14"/>
                <w:color w:val="auto"/>
                <w:w w:val="99"/>
              </w:rPr>
              <w:t>Fair Value as of June 30, 2015</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92,430,652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jc w:val="right"/>
              <w:spacing w:after="0" w:line="142" w:lineRule="exact"/>
              <w:rPr>
                <w:sz w:val="20"/>
                <w:szCs w:val="20"/>
                <w:color w:val="auto"/>
              </w:rPr>
            </w:pPr>
            <w:r>
              <w:rPr>
                <w:rFonts w:ascii="Arial" w:cs="Arial" w:eastAsia="Arial" w:hAnsi="Arial"/>
                <w:sz w:val="14"/>
                <w:szCs w:val="14"/>
                <w:color w:val="auto"/>
                <w:w w:val="91"/>
              </w:rPr>
              <w:t>$ 217,983,919</w:t>
            </w:r>
          </w:p>
        </w:tc>
        <w:tc>
          <w:tcPr>
            <w:tcW w:w="80" w:type="dxa"/>
            <w:vAlign w:val="bottom"/>
          </w:tcPr>
          <w:p>
            <w:pPr>
              <w:spacing w:after="0"/>
              <w:rPr>
                <w:sz w:val="12"/>
                <w:szCs w:val="12"/>
                <w:color w:val="auto"/>
              </w:rPr>
            </w:pPr>
          </w:p>
        </w:tc>
        <w:tc>
          <w:tcPr>
            <w:tcW w:w="160" w:type="dxa"/>
            <w:vAlign w:val="bottom"/>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gridSpan w:val="3"/>
          </w:tcPr>
          <w:p>
            <w:pPr>
              <w:jc w:val="right"/>
              <w:ind w:right="40"/>
              <w:spacing w:after="0" w:line="142" w:lineRule="exact"/>
              <w:rPr>
                <w:sz w:val="20"/>
                <w:szCs w:val="20"/>
                <w:color w:val="auto"/>
              </w:rPr>
            </w:pPr>
            <w:r>
              <w:rPr>
                <w:rFonts w:ascii="Arial" w:cs="Arial" w:eastAsia="Arial" w:hAnsi="Arial"/>
                <w:sz w:val="14"/>
                <w:szCs w:val="14"/>
                <w:color w:val="auto"/>
                <w:w w:val="96"/>
              </w:rPr>
              <w:t>2,506,014</w:t>
            </w:r>
          </w:p>
        </w:tc>
        <w:tc>
          <w:tcPr>
            <w:tcW w:w="2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694,314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jc w:val="right"/>
              <w:ind w:right="22"/>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w w:val="92"/>
              </w:rPr>
              <w:t>313,614,899</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120" w:type="dxa"/>
            <w:vAlign w:val="bottom"/>
          </w:tcPr>
          <w:p>
            <w:pPr>
              <w:spacing w:after="0"/>
              <w:rPr>
                <w:sz w:val="10"/>
                <w:szCs w:val="10"/>
                <w:color w:val="auto"/>
              </w:rPr>
            </w:pPr>
          </w:p>
        </w:tc>
        <w:tc>
          <w:tcPr>
            <w:tcW w:w="2820" w:type="dxa"/>
            <w:vAlign w:val="bottom"/>
            <w:tcBorders>
              <w:right w:val="single" w:sz="8" w:color="CCEEFF"/>
            </w:tcBorders>
            <w:gridSpan w:val="5"/>
            <w:shd w:val="clear" w:color="auto" w:fill="CCEEFF"/>
          </w:tcPr>
          <w:p>
            <w:pPr>
              <w:ind w:left="20"/>
              <w:spacing w:after="0" w:line="123" w:lineRule="exact"/>
              <w:rPr>
                <w:sz w:val="20"/>
                <w:szCs w:val="20"/>
                <w:color w:val="auto"/>
              </w:rPr>
            </w:pPr>
            <w:r>
              <w:rPr>
                <w:rFonts w:ascii="Arial" w:cs="Arial" w:eastAsia="Arial" w:hAnsi="Arial"/>
                <w:sz w:val="14"/>
                <w:szCs w:val="14"/>
                <w:color w:val="auto"/>
              </w:rPr>
              <w:t>Net change in unrealized appreciation</w:t>
            </w: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820" w:type="dxa"/>
            <w:vAlign w:val="bottom"/>
            <w:tcBorders>
              <w:right w:val="single" w:sz="8" w:color="CCEEFF"/>
            </w:tcBorders>
            <w:gridSpan w:val="5"/>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on Level 3 investments still</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held as of June 30, 2015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6,841,878</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w w:val="95"/>
              </w:rPr>
              <w:t>$  14,570,316</w:t>
            </w:r>
          </w:p>
        </w:tc>
        <w:tc>
          <w:tcPr>
            <w:tcW w:w="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87,815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(210,031)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21,289,978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940" w:type="dxa"/>
            <w:vAlign w:val="bottom"/>
            <w:tcBorders>
              <w:top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Liabilities:</w:t>
            </w:r>
          </w:p>
        </w:tc>
        <w:tc>
          <w:tcPr>
            <w:tcW w:w="5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9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2"/>
              </w:rPr>
              <w:t>Fair Value of December 31, 2014</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spacing w:after="0"/>
              <w:rPr>
                <w:sz w:val="12"/>
                <w:szCs w:val="12"/>
                <w:color w:val="auto"/>
              </w:rPr>
            </w:pPr>
          </w:p>
        </w:tc>
        <w:tc>
          <w:tcPr>
            <w:tcW w:w="340" w:type="dxa"/>
            <w:vAlign w:val="bottom"/>
            <w:tcBorders>
              <w:right w:val="single" w:sz="8" w:color="CCEEFF"/>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20" w:type="dxa"/>
            <w:vAlign w:val="bottom"/>
          </w:tcPr>
          <w:p>
            <w:pPr>
              <w:spacing w:after="0"/>
              <w:rPr>
                <w:sz w:val="10"/>
                <w:szCs w:val="10"/>
                <w:color w:val="auto"/>
              </w:rPr>
            </w:pPr>
          </w:p>
        </w:tc>
        <w:tc>
          <w:tcPr>
            <w:tcW w:w="2820" w:type="dxa"/>
            <w:vAlign w:val="bottom"/>
            <w:tcBorders>
              <w:top w:val="single" w:sz="8" w:color="CCEEFF"/>
            </w:tcBorders>
            <w:gridSpan w:val="5"/>
          </w:tcPr>
          <w:p>
            <w:pPr>
              <w:ind w:left="20"/>
              <w:spacing w:after="0" w:line="123" w:lineRule="exact"/>
              <w:rPr>
                <w:sz w:val="20"/>
                <w:szCs w:val="20"/>
                <w:color w:val="auto"/>
              </w:rPr>
            </w:pPr>
            <w:r>
              <w:rPr>
                <w:rFonts w:ascii="Arial" w:cs="Arial" w:eastAsia="Arial" w:hAnsi="Arial"/>
                <w:sz w:val="14"/>
                <w:szCs w:val="14"/>
                <w:color w:val="auto"/>
              </w:rPr>
              <w:t>Loss on fair value adjustment for embedded</w:t>
            </w: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940" w:type="dxa"/>
            <w:vAlign w:val="bottom"/>
          </w:tcPr>
          <w:p>
            <w:pPr>
              <w:ind w:left="200"/>
              <w:spacing w:after="0"/>
              <w:rPr>
                <w:sz w:val="20"/>
                <w:szCs w:val="20"/>
                <w:color w:val="auto"/>
              </w:rPr>
            </w:pPr>
            <w:r>
              <w:rPr>
                <w:rFonts w:ascii="Arial" w:cs="Arial" w:eastAsia="Arial" w:hAnsi="Arial"/>
                <w:sz w:val="14"/>
                <w:szCs w:val="14"/>
                <w:color w:val="auto"/>
              </w:rPr>
              <w:t>derivative</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(1,000)</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120" w:type="dxa"/>
            <w:vAlign w:val="bottom"/>
          </w:tcPr>
          <w:p>
            <w:pPr>
              <w:spacing w:after="0"/>
              <w:rPr>
                <w:sz w:val="14"/>
                <w:szCs w:val="14"/>
                <w:color w:val="auto"/>
              </w:rPr>
            </w:pPr>
          </w:p>
        </w:tc>
        <w:tc>
          <w:tcPr>
            <w:tcW w:w="19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w w:val="99"/>
              </w:rPr>
              <w:t>Fair Value as of June 30, 2015</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gridSpan w:val="2"/>
            <w:shd w:val="clear" w:color="auto" w:fill="CCEEFF"/>
          </w:tcPr>
          <w:p>
            <w:pPr>
              <w:spacing w:after="0"/>
              <w:rPr>
                <w:sz w:val="14"/>
                <w:szCs w:val="14"/>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spacing w:after="0"/>
              <w:rPr>
                <w:sz w:val="14"/>
                <w:szCs w:val="14"/>
                <w:color w:val="auto"/>
              </w:rPr>
            </w:pPr>
          </w:p>
        </w:tc>
        <w:tc>
          <w:tcPr>
            <w:tcW w:w="340" w:type="dxa"/>
            <w:vAlign w:val="bottom"/>
            <w:tcBorders>
              <w:right w:val="single" w:sz="8" w:color="CCEEFF"/>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14"/>
          </w:tcPr>
          <w:p>
            <w:pPr>
              <w:spacing w:after="0"/>
              <w:rPr>
                <w:sz w:val="20"/>
                <w:szCs w:val="20"/>
                <w:color w:val="auto"/>
              </w:rPr>
            </w:pPr>
            <w:r>
              <w:rPr>
                <w:rFonts w:ascii="Arial" w:cs="Arial" w:eastAsia="Arial" w:hAnsi="Arial"/>
                <w:sz w:val="14"/>
                <w:szCs w:val="14"/>
                <w:b w:val="1"/>
                <w:bCs w:val="1"/>
                <w:color w:val="auto"/>
                <w:w w:val="92"/>
              </w:rPr>
              <w:t>Six months ended June 30, 2014 (Unaudited)</w:t>
            </w: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8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rPr>
              <w:t>Common</w:t>
            </w:r>
          </w:p>
        </w:tc>
        <w:tc>
          <w:tcPr>
            <w:tcW w:w="60" w:type="dxa"/>
            <w:vAlign w:val="bottom"/>
          </w:tcPr>
          <w:p>
            <w:pPr>
              <w:spacing w:after="0"/>
              <w:rPr>
                <w:sz w:val="10"/>
                <w:szCs w:val="10"/>
                <w:color w:val="auto"/>
              </w:rPr>
            </w:pPr>
          </w:p>
        </w:tc>
        <w:tc>
          <w:tcPr>
            <w:tcW w:w="8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Preferred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9"/>
              </w:rPr>
              <w:t>Common</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Embedded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Membership</w:t>
            </w:r>
          </w:p>
        </w:tc>
        <w:tc>
          <w:tcPr>
            <w:tcW w:w="1040" w:type="dxa"/>
            <w:vAlign w:val="bottom"/>
            <w:gridSpan w:val="6"/>
            <w:vMerge w:val="restart"/>
          </w:tcPr>
          <w:p>
            <w:pPr>
              <w:jc w:val="right"/>
              <w:ind w:right="139"/>
              <w:spacing w:after="0"/>
              <w:rPr>
                <w:sz w:val="20"/>
                <w:szCs w:val="20"/>
                <w:color w:val="auto"/>
              </w:rPr>
            </w:pPr>
            <w:r>
              <w:rPr>
                <w:rFonts w:ascii="Arial" w:cs="Arial" w:eastAsia="Arial" w:hAnsi="Arial"/>
                <w:sz w:val="14"/>
                <w:szCs w:val="14"/>
                <w:b w:val="1"/>
                <w:bCs w:val="1"/>
                <w:color w:val="auto"/>
              </w:rPr>
              <w:t>Term Loan</w:t>
            </w: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Warrants</w:t>
            </w:r>
          </w:p>
        </w:tc>
        <w:tc>
          <w:tcPr>
            <w:tcW w:w="7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8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Interest</w:t>
            </w:r>
          </w:p>
        </w:tc>
        <w:tc>
          <w:tcPr>
            <w:tcW w:w="1040" w:type="dxa"/>
            <w:vAlign w:val="bottom"/>
            <w:gridSpan w:val="6"/>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Derivative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19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Fair value as of December 31,</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2013</w:t>
            </w:r>
          </w:p>
        </w:tc>
        <w:tc>
          <w:tcPr>
            <w:tcW w:w="88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4"/>
                <w:szCs w:val="14"/>
                <w:color w:val="auto"/>
                <w:w w:val="92"/>
              </w:rPr>
              <w:t>$ 81,410,161</w:t>
            </w:r>
          </w:p>
        </w:tc>
        <w:tc>
          <w:tcPr>
            <w:tcW w:w="6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w w:val="89"/>
              </w:rPr>
              <w:t>$ 129,925,500</w:t>
            </w:r>
          </w:p>
        </w:tc>
        <w:tc>
          <w:tcPr>
            <w:tcW w:w="240" w:type="dxa"/>
            <w:vAlign w:val="bottom"/>
            <w:gridSpan w:val="3"/>
            <w:shd w:val="clear" w:color="auto" w:fill="CCEEFF"/>
          </w:tcPr>
          <w:p>
            <w:pPr>
              <w:jc w:val="center"/>
              <w:ind w:left="48"/>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557,084</w:t>
            </w:r>
          </w:p>
        </w:tc>
        <w:tc>
          <w:tcPr>
            <w:tcW w:w="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750,000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489,657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w w:val="92"/>
              </w:rPr>
              <w:t>213,132,402</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940" w:type="dxa"/>
            <w:vAlign w:val="bottom"/>
          </w:tcPr>
          <w:p>
            <w:pPr>
              <w:ind w:left="20"/>
              <w:spacing w:after="0" w:line="149" w:lineRule="exact"/>
              <w:rPr>
                <w:sz w:val="20"/>
                <w:szCs w:val="20"/>
                <w:color w:val="auto"/>
              </w:rPr>
            </w:pPr>
            <w:r>
              <w:rPr>
                <w:rFonts w:ascii="Arial" w:cs="Arial" w:eastAsia="Arial" w:hAnsi="Arial"/>
                <w:sz w:val="14"/>
                <w:szCs w:val="14"/>
                <w:color w:val="auto"/>
              </w:rPr>
              <w:t>Purchases of investments</w:t>
            </w:r>
          </w:p>
        </w:tc>
        <w:tc>
          <w:tcPr>
            <w:tcW w:w="88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1,782,541</w:t>
            </w:r>
          </w:p>
        </w:tc>
        <w:tc>
          <w:tcPr>
            <w:tcW w:w="60" w:type="dxa"/>
            <w:vAlign w:val="bottom"/>
          </w:tcPr>
          <w:p>
            <w:pPr>
              <w:spacing w:after="0"/>
              <w:rPr>
                <w:sz w:val="12"/>
                <w:szCs w:val="12"/>
                <w:color w:val="auto"/>
              </w:rPr>
            </w:pPr>
          </w:p>
        </w:tc>
        <w:tc>
          <w:tcPr>
            <w:tcW w:w="8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30,522,699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w w:val="99"/>
              </w:rPr>
              <w:t>3,163,116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159,993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35,628,349</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9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Sales of investments</w:t>
            </w:r>
          </w:p>
        </w:tc>
        <w:tc>
          <w:tcPr>
            <w:tcW w:w="540" w:type="dxa"/>
            <w:vAlign w:val="bottom"/>
            <w:shd w:val="clear" w:color="auto" w:fill="CCEEFF"/>
          </w:tcPr>
          <w:p>
            <w:pPr>
              <w:spacing w:after="0"/>
              <w:rPr>
                <w:sz w:val="12"/>
                <w:szCs w:val="12"/>
                <w:color w:val="auto"/>
              </w:rPr>
            </w:pPr>
          </w:p>
        </w:tc>
        <w:tc>
          <w:tcPr>
            <w:tcW w:w="340" w:type="dxa"/>
            <w:vAlign w:val="bottom"/>
            <w:tcBorders>
              <w:right w:val="single" w:sz="8" w:color="CCEEFF"/>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(75,988)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(75,988)</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1940" w:type="dxa"/>
            <w:vAlign w:val="bottom"/>
          </w:tcPr>
          <w:p>
            <w:pPr>
              <w:ind w:left="20"/>
              <w:spacing w:after="0" w:line="140" w:lineRule="exact"/>
              <w:rPr>
                <w:sz w:val="20"/>
                <w:szCs w:val="20"/>
                <w:color w:val="auto"/>
              </w:rPr>
            </w:pPr>
            <w:r>
              <w:rPr>
                <w:rFonts w:ascii="Arial" w:cs="Arial" w:eastAsia="Arial" w:hAnsi="Arial"/>
                <w:sz w:val="14"/>
                <w:szCs w:val="14"/>
                <w:color w:val="auto"/>
              </w:rPr>
              <w:t>Exercises, conversions and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1940" w:type="dxa"/>
            <w:vAlign w:val="bottom"/>
          </w:tcPr>
          <w:p>
            <w:pPr>
              <w:ind w:left="200"/>
              <w:spacing w:after="0" w:line="198" w:lineRule="exact"/>
              <w:rPr>
                <w:sz w:val="20"/>
                <w:szCs w:val="20"/>
                <w:color w:val="auto"/>
              </w:rPr>
            </w:pPr>
            <w:r>
              <w:rPr>
                <w:rFonts w:ascii="Arial" w:cs="Arial" w:eastAsia="Arial" w:hAnsi="Arial"/>
                <w:sz w:val="14"/>
                <w:szCs w:val="14"/>
                <w:color w:val="auto"/>
              </w:rPr>
              <w:t>assignments – In</w:t>
            </w:r>
            <w:r>
              <w:rPr>
                <w:rFonts w:ascii="Arial" w:cs="Arial" w:eastAsia="Arial" w:hAnsi="Arial"/>
                <w:sz w:val="22"/>
                <w:szCs w:val="22"/>
                <w:color w:val="auto"/>
                <w:vertAlign w:val="superscript"/>
              </w:rPr>
              <w:t>(1)</w:t>
            </w:r>
          </w:p>
        </w:tc>
        <w:tc>
          <w:tcPr>
            <w:tcW w:w="880" w:type="dxa"/>
            <w:vAlign w:val="bottom"/>
            <w:gridSpan w:val="4"/>
          </w:tcPr>
          <w:p>
            <w:pPr>
              <w:jc w:val="right"/>
              <w:ind w:right="100"/>
              <w:spacing w:after="0"/>
              <w:rPr>
                <w:sz w:val="20"/>
                <w:szCs w:val="20"/>
                <w:color w:val="auto"/>
              </w:rPr>
            </w:pPr>
            <w:r>
              <w:rPr>
                <w:rFonts w:ascii="Arial" w:cs="Arial" w:eastAsia="Arial" w:hAnsi="Arial"/>
                <w:sz w:val="14"/>
                <w:szCs w:val="14"/>
                <w:color w:val="auto"/>
              </w:rPr>
              <w:t>1,273,125</w:t>
            </w:r>
          </w:p>
        </w:tc>
        <w:tc>
          <w:tcPr>
            <w:tcW w:w="60" w:type="dxa"/>
            <w:vAlign w:val="bottom"/>
          </w:tcPr>
          <w:p>
            <w:pPr>
              <w:spacing w:after="0"/>
              <w:rPr>
                <w:sz w:val="17"/>
                <w:szCs w:val="17"/>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4"/>
                <w:szCs w:val="14"/>
                <w:color w:val="auto"/>
              </w:rPr>
              <w:t>6,074,063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7,347,188</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194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Exercises, conversions and</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1940" w:type="dxa"/>
            <w:vAlign w:val="bottom"/>
            <w:shd w:val="clear" w:color="auto" w:fill="CCEEFF"/>
          </w:tcPr>
          <w:p>
            <w:pPr>
              <w:ind w:left="200"/>
              <w:spacing w:after="0" w:line="198" w:lineRule="exact"/>
              <w:rPr>
                <w:sz w:val="20"/>
                <w:szCs w:val="20"/>
                <w:color w:val="auto"/>
              </w:rPr>
            </w:pPr>
            <w:r>
              <w:rPr>
                <w:rFonts w:ascii="Arial" w:cs="Arial" w:eastAsia="Arial" w:hAnsi="Arial"/>
                <w:sz w:val="14"/>
                <w:szCs w:val="14"/>
                <w:color w:val="auto"/>
              </w:rPr>
              <w:t>assignments – Out</w:t>
            </w:r>
            <w:r>
              <w:rPr>
                <w:rFonts w:ascii="Arial" w:cs="Arial" w:eastAsia="Arial" w:hAnsi="Arial"/>
                <w:sz w:val="22"/>
                <w:szCs w:val="22"/>
                <w:color w:val="auto"/>
                <w:vertAlign w:val="superscript"/>
              </w:rPr>
              <w:t>(1)</w:t>
            </w:r>
          </w:p>
        </w:tc>
        <w:tc>
          <w:tcPr>
            <w:tcW w:w="88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(2,006,077)</w:t>
            </w:r>
          </w:p>
        </w:tc>
        <w:tc>
          <w:tcPr>
            <w:tcW w:w="6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(1,273,125)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800" w:type="dxa"/>
            <w:vAlign w:val="bottom"/>
            <w:tcBorders>
              <w:right w:val="single" w:sz="8" w:color="CCEEFF"/>
            </w:tcBorders>
            <w:gridSpan w:val="4"/>
            <w:shd w:val="clear" w:color="auto" w:fill="CCEEFF"/>
          </w:tcPr>
          <w:p>
            <w:pPr>
              <w:jc w:val="right"/>
              <w:ind w:right="41"/>
              <w:spacing w:after="0"/>
              <w:rPr>
                <w:sz w:val="20"/>
                <w:szCs w:val="20"/>
                <w:color w:val="auto"/>
              </w:rPr>
            </w:pPr>
            <w:r>
              <w:rPr>
                <w:rFonts w:ascii="Arial" w:cs="Arial" w:eastAsia="Arial" w:hAnsi="Arial"/>
                <w:sz w:val="14"/>
                <w:szCs w:val="14"/>
                <w:color w:val="auto"/>
                <w:w w:val="92"/>
              </w:rPr>
              <w:t>(3,567,986)</w:t>
            </w:r>
          </w:p>
        </w:tc>
        <w:tc>
          <w:tcPr>
            <w:tcW w:w="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(7,347,188)</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1940" w:type="dxa"/>
            <w:vAlign w:val="bottom"/>
          </w:tcPr>
          <w:p>
            <w:pPr>
              <w:ind w:left="20"/>
              <w:spacing w:after="0" w:line="130" w:lineRule="exact"/>
              <w:rPr>
                <w:sz w:val="20"/>
                <w:szCs w:val="20"/>
                <w:color w:val="auto"/>
              </w:rPr>
            </w:pPr>
            <w:r>
              <w:rPr>
                <w:rFonts w:ascii="Arial" w:cs="Arial" w:eastAsia="Arial" w:hAnsi="Arial"/>
                <w:sz w:val="14"/>
                <w:szCs w:val="14"/>
                <w:color w:val="auto"/>
              </w:rPr>
              <w:t>Change in unrealized</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940" w:type="dxa"/>
            <w:vAlign w:val="bottom"/>
          </w:tcPr>
          <w:p>
            <w:pPr>
              <w:ind w:left="200"/>
              <w:spacing w:after="0" w:line="149" w:lineRule="exact"/>
              <w:rPr>
                <w:sz w:val="20"/>
                <w:szCs w:val="20"/>
                <w:color w:val="auto"/>
              </w:rPr>
            </w:pPr>
            <w:r>
              <w:rPr>
                <w:rFonts w:ascii="Arial" w:cs="Arial" w:eastAsia="Arial" w:hAnsi="Arial"/>
                <w:sz w:val="14"/>
                <w:szCs w:val="14"/>
                <w:color w:val="auto"/>
              </w:rPr>
              <w:t>appreciation (depreciation)</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940" w:type="dxa"/>
            <w:vAlign w:val="bottom"/>
          </w:tcPr>
          <w:p>
            <w:pPr>
              <w:ind w:left="200"/>
              <w:spacing w:after="0"/>
              <w:rPr>
                <w:sz w:val="20"/>
                <w:szCs w:val="20"/>
                <w:color w:val="auto"/>
              </w:rPr>
            </w:pPr>
            <w:r>
              <w:rPr>
                <w:rFonts w:ascii="Arial" w:cs="Arial" w:eastAsia="Arial" w:hAnsi="Arial"/>
                <w:sz w:val="14"/>
                <w:szCs w:val="14"/>
                <w:color w:val="auto"/>
              </w:rPr>
              <w:t>included in earnings</w:t>
            </w:r>
          </w:p>
        </w:tc>
        <w:tc>
          <w:tcPr>
            <w:tcW w:w="880" w:type="dxa"/>
            <w:vAlign w:val="bottom"/>
            <w:gridSpan w:val="4"/>
          </w:tcPr>
          <w:p>
            <w:pPr>
              <w:jc w:val="right"/>
              <w:ind w:right="100"/>
              <w:spacing w:after="0"/>
              <w:rPr>
                <w:sz w:val="20"/>
                <w:szCs w:val="20"/>
                <w:color w:val="auto"/>
              </w:rPr>
            </w:pPr>
            <w:r>
              <w:rPr>
                <w:rFonts w:ascii="Arial" w:cs="Arial" w:eastAsia="Arial" w:hAnsi="Arial"/>
                <w:sz w:val="14"/>
                <w:szCs w:val="14"/>
                <w:color w:val="auto"/>
              </w:rPr>
              <w:t>23,059,356</w:t>
            </w:r>
          </w:p>
        </w:tc>
        <w:tc>
          <w:tcPr>
            <w:tcW w:w="60" w:type="dxa"/>
            <w:vAlign w:val="bottom"/>
          </w:tcPr>
          <w:p>
            <w:pPr>
              <w:spacing w:after="0"/>
              <w:rPr>
                <w:sz w:val="14"/>
                <w:szCs w:val="14"/>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4"/>
                <w:szCs w:val="14"/>
                <w:color w:val="auto"/>
              </w:rPr>
              <w:t>3,870,018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(57,084)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4"/>
                <w:szCs w:val="14"/>
                <w:color w:val="auto"/>
              </w:rPr>
              <w:t>3,480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20,693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26,896,463</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9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Transfers Out of Level 3</w:t>
            </w:r>
          </w:p>
        </w:tc>
        <w:tc>
          <w:tcPr>
            <w:tcW w:w="880" w:type="dxa"/>
            <w:vAlign w:val="bottom"/>
            <w:tcBorders>
              <w:right w:val="single" w:sz="8" w:color="CCEEFF"/>
            </w:tcBorders>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(17,923,756)</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(17,923,756)</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20" w:type="dxa"/>
            <w:vAlign w:val="bottom"/>
          </w:tcPr>
          <w:p>
            <w:pPr>
              <w:spacing w:after="0"/>
              <w:rPr>
                <w:sz w:val="10"/>
                <w:szCs w:val="10"/>
                <w:color w:val="auto"/>
              </w:rPr>
            </w:pPr>
          </w:p>
        </w:tc>
        <w:tc>
          <w:tcPr>
            <w:tcW w:w="1940" w:type="dxa"/>
            <w:vAlign w:val="bottom"/>
            <w:tcBorders>
              <w:top w:val="single" w:sz="8" w:color="CCEEFF"/>
            </w:tcBorders>
          </w:tcPr>
          <w:p>
            <w:pPr>
              <w:ind w:left="20"/>
              <w:spacing w:after="0" w:line="123" w:lineRule="exact"/>
              <w:rPr>
                <w:sz w:val="20"/>
                <w:szCs w:val="20"/>
                <w:color w:val="auto"/>
              </w:rPr>
            </w:pPr>
            <w:r>
              <w:rPr>
                <w:rFonts w:ascii="Arial" w:cs="Arial" w:eastAsia="Arial" w:hAnsi="Arial"/>
                <w:sz w:val="14"/>
                <w:szCs w:val="14"/>
                <w:color w:val="auto"/>
              </w:rPr>
              <w:t>Fair Value as of June 30,</w:t>
            </w:r>
          </w:p>
        </w:tc>
        <w:tc>
          <w:tcPr>
            <w:tcW w:w="5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940" w:type="dxa"/>
            <w:vAlign w:val="bottom"/>
          </w:tcPr>
          <w:p>
            <w:pPr>
              <w:ind w:left="200"/>
              <w:spacing w:after="0"/>
              <w:rPr>
                <w:sz w:val="20"/>
                <w:szCs w:val="20"/>
                <w:color w:val="auto"/>
              </w:rPr>
            </w:pPr>
            <w:r>
              <w:rPr>
                <w:rFonts w:ascii="Arial" w:cs="Arial" w:eastAsia="Arial" w:hAnsi="Arial"/>
                <w:sz w:val="14"/>
                <w:szCs w:val="14"/>
                <w:color w:val="auto"/>
              </w:rPr>
              <w:t>2014</w:t>
            </w:r>
          </w:p>
        </w:tc>
        <w:tc>
          <w:tcPr>
            <w:tcW w:w="880" w:type="dxa"/>
            <w:vAlign w:val="bottom"/>
            <w:gridSpan w:val="4"/>
          </w:tcPr>
          <w:p>
            <w:pPr>
              <w:jc w:val="right"/>
              <w:ind w:right="100"/>
              <w:spacing w:after="0"/>
              <w:rPr>
                <w:sz w:val="20"/>
                <w:szCs w:val="20"/>
                <w:color w:val="auto"/>
              </w:rPr>
            </w:pPr>
            <w:r>
              <w:rPr>
                <w:rFonts w:ascii="Arial" w:cs="Arial" w:eastAsia="Arial" w:hAnsi="Arial"/>
                <w:sz w:val="14"/>
                <w:szCs w:val="14"/>
                <w:color w:val="auto"/>
                <w:w w:val="92"/>
              </w:rPr>
              <w:t>$ 87,595,350</w:t>
            </w:r>
          </w:p>
        </w:tc>
        <w:tc>
          <w:tcPr>
            <w:tcW w:w="60" w:type="dxa"/>
            <w:vAlign w:val="bottom"/>
          </w:tcPr>
          <w:p>
            <w:pPr>
              <w:spacing w:after="0"/>
              <w:rPr>
                <w:sz w:val="14"/>
                <w:szCs w:val="14"/>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4"/>
                <w:szCs w:val="14"/>
                <w:color w:val="auto"/>
                <w:w w:val="89"/>
              </w:rPr>
              <w:t>$ 169,119,155</w:t>
            </w:r>
          </w:p>
        </w:tc>
        <w:tc>
          <w:tcPr>
            <w:tcW w:w="240" w:type="dxa"/>
            <w:vAlign w:val="bottom"/>
            <w:gridSpan w:val="3"/>
          </w:tcPr>
          <w:p>
            <w:pPr>
              <w:jc w:val="center"/>
              <w:ind w:left="4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4"/>
                <w:szCs w:val="14"/>
                <w:color w:val="auto"/>
              </w:rPr>
              <w:t>348,610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594,355</w:t>
            </w:r>
          </w:p>
        </w:tc>
        <w:tc>
          <w:tcPr>
            <w:tcW w:w="80" w:type="dxa"/>
            <w:vAlign w:val="bottom"/>
          </w:tcPr>
          <w:p>
            <w:pPr>
              <w:spacing w:after="0"/>
              <w:rPr>
                <w:sz w:val="14"/>
                <w:szCs w:val="14"/>
                <w:color w:val="auto"/>
              </w:rPr>
            </w:pPr>
          </w:p>
        </w:tc>
        <w:tc>
          <w:tcPr>
            <w:tcW w:w="140" w:type="dxa"/>
            <w:vAlign w:val="bottom"/>
          </w:tcPr>
          <w:p>
            <w:pPr>
              <w:jc w:val="right"/>
              <w:ind w:right="22"/>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w w:val="92"/>
              </w:rPr>
              <w:t>257,657,470</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right"/>
              <w:ind w:right="8"/>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194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194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-3592830</wp:posOffset>
            </wp:positionV>
            <wp:extent cx="5213985"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-3172460</wp:posOffset>
            </wp:positionV>
            <wp:extent cx="521398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-2949575</wp:posOffset>
            </wp:positionV>
            <wp:extent cx="5213985" cy="2317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13985" cy="23177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-2623820</wp:posOffset>
            </wp:positionV>
            <wp:extent cx="5213985"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-857250</wp:posOffset>
            </wp:positionV>
            <wp:extent cx="5213985" cy="2317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13985" cy="231775"/>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-4699000</wp:posOffset>
            </wp:positionV>
            <wp:extent cx="52139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-2580640</wp:posOffset>
            </wp:positionV>
            <wp:extent cx="521398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37" w:name="page38"/>
    <w:bookmarkEnd w:id="37"/>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June 30, 2015 (Unaudited)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-41910</wp:posOffset>
            </wp:positionV>
            <wp:extent cx="521398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14"/>
          </w:tcPr>
          <w:p>
            <w:pPr>
              <w:ind w:left="20"/>
              <w:spacing w:after="0"/>
              <w:rPr>
                <w:sz w:val="20"/>
                <w:szCs w:val="20"/>
                <w:color w:val="auto"/>
              </w:rPr>
            </w:pPr>
            <w:r>
              <w:rPr>
                <w:rFonts w:ascii="Arial" w:cs="Arial" w:eastAsia="Arial" w:hAnsi="Arial"/>
                <w:sz w:val="14"/>
                <w:szCs w:val="14"/>
                <w:b w:val="1"/>
                <w:bCs w:val="1"/>
                <w:color w:val="auto"/>
                <w:w w:val="92"/>
              </w:rPr>
              <w:t>Six months ended June 30, 2014 (Unaudited)</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9"/>
              </w:rPr>
              <w:t>Preferred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9"/>
              </w:rPr>
              <w:t>Common</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94"/>
              </w:rPr>
              <w:t>Embedded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Membership</w:t>
            </w:r>
          </w:p>
        </w:tc>
        <w:tc>
          <w:tcPr>
            <w:tcW w:w="80" w:type="dxa"/>
            <w:vAlign w:val="bottom"/>
          </w:tcPr>
          <w:p>
            <w:pPr>
              <w:spacing w:after="0"/>
              <w:rPr>
                <w:sz w:val="12"/>
                <w:szCs w:val="12"/>
                <w:color w:val="auto"/>
              </w:rPr>
            </w:pPr>
          </w:p>
        </w:tc>
        <w:tc>
          <w:tcPr>
            <w:tcW w:w="8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Term Loan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Warrants</w:t>
            </w:r>
          </w:p>
        </w:tc>
        <w:tc>
          <w:tcPr>
            <w:tcW w:w="7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940" w:type="dxa"/>
            <w:vAlign w:val="bottom"/>
            <w:gridSpan w:val="3"/>
            <w:vMerge w:val="restart"/>
          </w:tcPr>
          <w:p>
            <w:pPr>
              <w:ind w:left="20"/>
              <w:spacing w:after="0"/>
              <w:rPr>
                <w:sz w:val="20"/>
                <w:szCs w:val="20"/>
                <w:color w:val="auto"/>
              </w:rPr>
            </w:pPr>
            <w:r>
              <w:rPr>
                <w:rFonts w:ascii="Arial" w:cs="Arial" w:eastAsia="Arial" w:hAnsi="Arial"/>
                <w:sz w:val="14"/>
                <w:szCs w:val="14"/>
                <w:color w:val="auto"/>
              </w:rPr>
              <w:t>Change in unrealized</w:t>
            </w:r>
          </w:p>
        </w:tc>
        <w:tc>
          <w:tcPr>
            <w:tcW w:w="10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8"/>
              </w:rPr>
              <w:t>Derivative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940" w:type="dxa"/>
            <w:vAlign w:val="bottom"/>
            <w:gridSpan w:val="3"/>
            <w:vMerge w:val="continue"/>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appreciation (depreciation)</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on Level 3 investments still</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20" w:type="dxa"/>
            <w:vAlign w:val="bottom"/>
            <w:gridSpan w:val="2"/>
          </w:tcPr>
          <w:p>
            <w:pPr>
              <w:ind w:left="180"/>
              <w:spacing w:after="0"/>
              <w:rPr>
                <w:sz w:val="20"/>
                <w:szCs w:val="20"/>
                <w:color w:val="auto"/>
              </w:rPr>
            </w:pPr>
            <w:r>
              <w:rPr>
                <w:rFonts w:ascii="Arial" w:cs="Arial" w:eastAsia="Arial" w:hAnsi="Arial"/>
                <w:sz w:val="14"/>
                <w:szCs w:val="14"/>
                <w:color w:val="auto"/>
              </w:rPr>
              <w:t>held as of June 30, 2014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17,534,404</w:t>
            </w:r>
          </w:p>
        </w:tc>
        <w:tc>
          <w:tcPr>
            <w:tcW w:w="40" w:type="dxa"/>
            <w:vAlign w:val="bottom"/>
          </w:tcPr>
          <w:p>
            <w:pPr>
              <w:spacing w:after="0"/>
              <w:rPr>
                <w:sz w:val="14"/>
                <w:szCs w:val="1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5,393,478</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(57,084)</w:t>
            </w:r>
          </w:p>
        </w:tc>
        <w:tc>
          <w:tcPr>
            <w:tcW w:w="32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3,480</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20,693</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22,894,971</w:t>
            </w:r>
          </w:p>
        </w:tc>
        <w:tc>
          <w:tcPr>
            <w:tcW w:w="0" w:type="dxa"/>
            <w:vAlign w:val="bottom"/>
          </w:tcPr>
          <w:p>
            <w:pPr>
              <w:spacing w:after="0"/>
              <w:rPr>
                <w:sz w:val="1"/>
                <w:szCs w:val="1"/>
                <w:color w:val="auto"/>
              </w:rPr>
            </w:pPr>
          </w:p>
        </w:tc>
      </w:tr>
      <w:tr>
        <w:trPr>
          <w:trHeight w:val="149"/>
        </w:trPr>
        <w:tc>
          <w:tcPr>
            <w:tcW w:w="19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Liabilities: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4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Fair Value of December 31,</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00" w:type="dxa"/>
            <w:vAlign w:val="bottom"/>
            <w:gridSpan w:val="2"/>
          </w:tcPr>
          <w:p>
            <w:pPr>
              <w:ind w:left="200"/>
              <w:spacing w:after="0"/>
              <w:rPr>
                <w:sz w:val="20"/>
                <w:szCs w:val="20"/>
                <w:color w:val="auto"/>
              </w:rPr>
            </w:pPr>
            <w:r>
              <w:rPr>
                <w:rFonts w:ascii="Arial" w:cs="Arial" w:eastAsia="Arial" w:hAnsi="Arial"/>
                <w:sz w:val="14"/>
                <w:szCs w:val="14"/>
                <w:color w:val="auto"/>
              </w:rPr>
              <w:t>2013</w:t>
            </w:r>
          </w:p>
        </w:tc>
        <w:tc>
          <w:tcPr>
            <w:tcW w:w="9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799,000</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799,000</w:t>
            </w:r>
          </w:p>
        </w:tc>
        <w:tc>
          <w:tcPr>
            <w:tcW w:w="0" w:type="dxa"/>
            <w:vAlign w:val="bottom"/>
          </w:tcPr>
          <w:p>
            <w:pPr>
              <w:spacing w:after="0"/>
              <w:rPr>
                <w:sz w:val="1"/>
                <w:szCs w:val="1"/>
                <w:color w:val="auto"/>
              </w:rPr>
            </w:pPr>
          </w:p>
        </w:tc>
      </w:tr>
      <w:tr>
        <w:trPr>
          <w:trHeight w:val="130"/>
        </w:trPr>
        <w:tc>
          <w:tcPr>
            <w:tcW w:w="1940" w:type="dxa"/>
            <w:vAlign w:val="bottom"/>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Gain on fair value adjustment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for embedded derivative</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(640,000)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(640,000)</w:t>
            </w:r>
          </w:p>
        </w:tc>
        <w:tc>
          <w:tcPr>
            <w:tcW w:w="0" w:type="dxa"/>
            <w:vAlign w:val="bottom"/>
          </w:tcPr>
          <w:p>
            <w:pPr>
              <w:spacing w:after="0"/>
              <w:rPr>
                <w:sz w:val="1"/>
                <w:szCs w:val="1"/>
                <w:color w:val="auto"/>
              </w:rPr>
            </w:pPr>
          </w:p>
        </w:tc>
      </w:tr>
      <w:tr>
        <w:trPr>
          <w:trHeight w:val="123"/>
        </w:trPr>
        <w:tc>
          <w:tcPr>
            <w:tcW w:w="1940" w:type="dxa"/>
            <w:vAlign w:val="bottom"/>
            <w:tcBorders>
              <w:top w:val="single" w:sz="8" w:color="CCEEFF"/>
            </w:tcBorders>
            <w:gridSpan w:val="3"/>
          </w:tcPr>
          <w:p>
            <w:pPr>
              <w:ind w:left="20"/>
              <w:spacing w:after="0" w:line="123" w:lineRule="exact"/>
              <w:rPr>
                <w:sz w:val="20"/>
                <w:szCs w:val="20"/>
                <w:color w:val="auto"/>
              </w:rPr>
            </w:pPr>
            <w:r>
              <w:rPr>
                <w:rFonts w:ascii="Arial" w:cs="Arial" w:eastAsia="Arial" w:hAnsi="Arial"/>
                <w:sz w:val="14"/>
                <w:szCs w:val="14"/>
                <w:color w:val="auto"/>
              </w:rPr>
              <w:t>Fair Value as of June 30,</w:t>
            </w: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000" w:type="dxa"/>
            <w:vAlign w:val="bottom"/>
            <w:gridSpan w:val="2"/>
          </w:tcPr>
          <w:p>
            <w:pPr>
              <w:ind w:left="200"/>
              <w:spacing w:after="0"/>
              <w:rPr>
                <w:sz w:val="20"/>
                <w:szCs w:val="20"/>
                <w:color w:val="auto"/>
              </w:rPr>
            </w:pPr>
            <w:r>
              <w:rPr>
                <w:rFonts w:ascii="Arial" w:cs="Arial" w:eastAsia="Arial" w:hAnsi="Arial"/>
                <w:sz w:val="14"/>
                <w:szCs w:val="14"/>
                <w:color w:val="auto"/>
              </w:rPr>
              <w:t>2014</w:t>
            </w:r>
          </w:p>
        </w:tc>
        <w:tc>
          <w:tcPr>
            <w:tcW w:w="9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159,000</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159,000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-419735</wp:posOffset>
            </wp:positionV>
            <wp:extent cx="5213985" cy="2317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13985" cy="231775"/>
                    </a:xfrm>
                    <a:prstGeom prst="rect">
                      <a:avLst/>
                    </a:prstGeom>
                    <a:noFill/>
                  </pic:spPr>
                </pic:pic>
              </a:graphicData>
            </a:graphic>
          </wp:anchor>
        </w:drawing>
      </w:r>
    </w:p>
    <w:p>
      <w:pPr>
        <w:spacing w:after="0" w:line="236" w:lineRule="exact"/>
        <w:rPr>
          <w:sz w:val="20"/>
          <w:szCs w:val="20"/>
          <w:color w:val="auto"/>
        </w:rPr>
      </w:pPr>
    </w:p>
    <w:p>
      <w:pPr>
        <w:ind w:left="420" w:right="539" w:hanging="272"/>
        <w:spacing w:after="0" w:line="277"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six months ended June 30, 2014, the Company’s portfolio investments had the following corporate actions which are reflected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47250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Transfer from</w:t>
            </w:r>
          </w:p>
        </w:tc>
        <w:tc>
          <w:tcPr>
            <w:tcW w:w="180" w:type="dxa"/>
            <w:vAlign w:val="bottom"/>
          </w:tcPr>
          <w:p>
            <w:pPr>
              <w:spacing w:after="0"/>
              <w:rPr>
                <w:sz w:val="14"/>
                <w:szCs w:val="1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Transfer to</w:t>
            </w:r>
          </w:p>
        </w:tc>
      </w:tr>
      <w:tr>
        <w:trPr>
          <w:trHeight w:val="195"/>
        </w:trPr>
        <w:tc>
          <w:tcPr>
            <w:tcW w:w="2480" w:type="dxa"/>
            <w:vAlign w:val="bottom"/>
          </w:tcPr>
          <w:p>
            <w:pPr>
              <w:ind w:left="20"/>
              <w:spacing w:after="0" w:line="195" w:lineRule="exact"/>
              <w:rPr>
                <w:sz w:val="20"/>
                <w:szCs w:val="20"/>
                <w:color w:val="auto"/>
              </w:rPr>
            </w:pPr>
            <w:r>
              <w:rPr>
                <w:rFonts w:ascii="Arial" w:cs="Arial" w:eastAsia="Arial" w:hAnsi="Arial"/>
                <w:sz w:val="18"/>
                <w:szCs w:val="18"/>
                <w:color w:val="auto"/>
              </w:rPr>
              <w:t>2U, Inc. (f/k/a 2tor, Inc.)</w:t>
            </w:r>
          </w:p>
        </w:tc>
        <w:tc>
          <w:tcPr>
            <w:tcW w:w="160" w:type="dxa"/>
            <w:vAlign w:val="bottom"/>
          </w:tcPr>
          <w:p>
            <w:pPr>
              <w:spacing w:after="0"/>
              <w:rPr>
                <w:sz w:val="16"/>
                <w:szCs w:val="16"/>
                <w:color w:val="auto"/>
              </w:rPr>
            </w:pPr>
          </w:p>
        </w:tc>
        <w:tc>
          <w:tcPr>
            <w:tcW w:w="2520" w:type="dxa"/>
            <w:vAlign w:val="bottom"/>
          </w:tcPr>
          <w:p>
            <w:pPr>
              <w:jc w:val="center"/>
              <w:spacing w:after="0" w:line="195" w:lineRule="exact"/>
              <w:rPr>
                <w:sz w:val="20"/>
                <w:szCs w:val="20"/>
                <w:color w:val="auto"/>
              </w:rPr>
            </w:pPr>
            <w:r>
              <w:rPr>
                <w:rFonts w:ascii="Arial" w:cs="Arial" w:eastAsia="Arial" w:hAnsi="Arial"/>
                <w:sz w:val="18"/>
                <w:szCs w:val="18"/>
                <w:color w:val="auto"/>
                <w:w w:val="87"/>
              </w:rPr>
              <w:t>Preferred shares, Series A</w:t>
            </w:r>
          </w:p>
        </w:tc>
        <w:tc>
          <w:tcPr>
            <w:tcW w:w="180" w:type="dxa"/>
            <w:vAlign w:val="bottom"/>
          </w:tcPr>
          <w:p>
            <w:pPr>
              <w:spacing w:after="0"/>
              <w:rPr>
                <w:sz w:val="16"/>
                <w:szCs w:val="16"/>
                <w:color w:val="auto"/>
              </w:rPr>
            </w:pPr>
          </w:p>
        </w:tc>
        <w:tc>
          <w:tcPr>
            <w:tcW w:w="2160" w:type="dxa"/>
            <w:vAlign w:val="bottom"/>
          </w:tcPr>
          <w:p>
            <w:pPr>
              <w:jc w:val="center"/>
              <w:spacing w:after="0" w:line="195" w:lineRule="exact"/>
              <w:rPr>
                <w:sz w:val="20"/>
                <w:szCs w:val="20"/>
                <w:color w:val="auto"/>
              </w:rPr>
            </w:pPr>
            <w:r>
              <w:rPr>
                <w:rFonts w:ascii="Arial" w:cs="Arial" w:eastAsia="Arial" w:hAnsi="Arial"/>
                <w:sz w:val="18"/>
                <w:szCs w:val="18"/>
                <w:color w:val="auto"/>
                <w:w w:val="90"/>
              </w:rPr>
              <w:t>Common Stock</w:t>
            </w:r>
          </w:p>
        </w:tc>
      </w:tr>
      <w:tr>
        <w:trPr>
          <w:trHeight w:val="216"/>
        </w:trPr>
        <w:tc>
          <w:tcPr>
            <w:tcW w:w="2480" w:type="dxa"/>
            <w:vAlign w:val="bottom"/>
          </w:tcPr>
          <w:p>
            <w:pPr>
              <w:ind w:left="20"/>
              <w:spacing w:after="0"/>
              <w:rPr>
                <w:sz w:val="20"/>
                <w:szCs w:val="20"/>
                <w:color w:val="auto"/>
              </w:rPr>
            </w:pPr>
            <w:r>
              <w:rPr>
                <w:rFonts w:ascii="Arial" w:cs="Arial" w:eastAsia="Arial" w:hAnsi="Arial"/>
                <w:sz w:val="18"/>
                <w:szCs w:val="18"/>
                <w:color w:val="auto"/>
              </w:rPr>
              <w:t>Fullbridge, Inc.</w:t>
            </w: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0"/>
              </w:rPr>
              <w:t>Term loan, 10%, 3/31/15</w:t>
            </w:r>
          </w:p>
        </w:tc>
        <w:tc>
          <w:tcPr>
            <w:tcW w:w="1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Preferred shares, Series D</w:t>
            </w:r>
          </w:p>
        </w:tc>
      </w:tr>
      <w:tr>
        <w:trPr>
          <w:trHeight w:val="216"/>
        </w:trPr>
        <w:tc>
          <w:tcPr>
            <w:tcW w:w="2480" w:type="dxa"/>
            <w:vAlign w:val="bottom"/>
          </w:tcPr>
          <w:p>
            <w:pPr>
              <w:ind w:left="20"/>
              <w:spacing w:after="0"/>
              <w:rPr>
                <w:sz w:val="20"/>
                <w:szCs w:val="20"/>
                <w:color w:val="auto"/>
              </w:rPr>
            </w:pPr>
            <w:r>
              <w:rPr>
                <w:rFonts w:ascii="Arial" w:cs="Arial" w:eastAsia="Arial" w:hAnsi="Arial"/>
                <w:sz w:val="18"/>
                <w:szCs w:val="18"/>
                <w:color w:val="auto"/>
              </w:rPr>
              <w:t>CUX, Inc. (d/b/a CorpU)</w:t>
            </w: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2"/>
              </w:rPr>
              <w:t>Common Stock</w:t>
            </w:r>
          </w:p>
        </w:tc>
        <w:tc>
          <w:tcPr>
            <w:tcW w:w="1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Convertible preferred</w:t>
            </w:r>
          </w:p>
        </w:tc>
      </w:tr>
      <w:tr>
        <w:trPr>
          <w:trHeight w:val="216"/>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5"/>
              </w:rPr>
              <w:t>shares, Series C</w:t>
            </w:r>
          </w:p>
        </w:tc>
      </w:tr>
      <w:tr>
        <w:trPr>
          <w:trHeight w:val="216"/>
        </w:trPr>
        <w:tc>
          <w:tcPr>
            <w:tcW w:w="2480" w:type="dxa"/>
            <w:vAlign w:val="bottom"/>
          </w:tcPr>
          <w:p>
            <w:pPr>
              <w:ind w:left="20"/>
              <w:spacing w:after="0"/>
              <w:rPr>
                <w:sz w:val="20"/>
                <w:szCs w:val="20"/>
                <w:color w:val="auto"/>
              </w:rPr>
            </w:pPr>
            <w:r>
              <w:rPr>
                <w:rFonts w:ascii="Arial" w:cs="Arial" w:eastAsia="Arial" w:hAnsi="Arial"/>
                <w:sz w:val="18"/>
                <w:szCs w:val="18"/>
                <w:color w:val="auto"/>
              </w:rPr>
              <w:t>NestGSV Silicon Valley, LLC</w:t>
            </w: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1"/>
              </w:rPr>
              <w:t>Common Membership Interest</w:t>
            </w:r>
          </w:p>
        </w:tc>
        <w:tc>
          <w:tcPr>
            <w:tcW w:w="1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Preferred shares, Series C</w:t>
            </w:r>
          </w:p>
        </w:tc>
      </w:tr>
      <w:tr>
        <w:trPr>
          <w:trHeight w:val="216"/>
        </w:trPr>
        <w:tc>
          <w:tcPr>
            <w:tcW w:w="2480" w:type="dxa"/>
            <w:vAlign w:val="bottom"/>
          </w:tcPr>
          <w:p>
            <w:pPr>
              <w:ind w:left="20"/>
              <w:spacing w:after="0"/>
              <w:rPr>
                <w:sz w:val="20"/>
                <w:szCs w:val="20"/>
                <w:color w:val="auto"/>
              </w:rPr>
            </w:pPr>
            <w:r>
              <w:rPr>
                <w:rFonts w:ascii="Arial" w:cs="Arial" w:eastAsia="Arial" w:hAnsi="Arial"/>
                <w:sz w:val="18"/>
                <w:szCs w:val="18"/>
                <w:color w:val="auto"/>
              </w:rPr>
              <w:t>NestGSV, Inc.</w:t>
            </w: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1"/>
              </w:rPr>
              <w:t>Convertible Promissory</w:t>
            </w:r>
          </w:p>
        </w:tc>
        <w:tc>
          <w:tcPr>
            <w:tcW w:w="1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Preferred shares, Series C</w:t>
            </w:r>
          </w:p>
        </w:tc>
      </w:tr>
      <w:tr>
        <w:trPr>
          <w:trHeight w:val="216"/>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2"/>
              </w:rPr>
              <w:t>Note, 12%, 6/30/14</w:t>
            </w:r>
          </w:p>
        </w:tc>
        <w:tc>
          <w:tcPr>
            <w:tcW w:w="18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8"/>
                <w:szCs w:val="18"/>
                <w:color w:val="auto"/>
              </w:rPr>
              <w:t>NestGSV, Inc.</w:t>
            </w: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1"/>
              </w:rPr>
              <w:t>Convertible Promissory</w:t>
            </w:r>
          </w:p>
        </w:tc>
        <w:tc>
          <w:tcPr>
            <w:tcW w:w="1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Preferred shares, Series C</w:t>
            </w:r>
          </w:p>
        </w:tc>
      </w:tr>
      <w:tr>
        <w:trPr>
          <w:trHeight w:val="216"/>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2"/>
              </w:rPr>
              <w:t>Note, 12%, 6/30/14</w:t>
            </w:r>
          </w:p>
        </w:tc>
        <w:tc>
          <w:tcPr>
            <w:tcW w:w="18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8"/>
                <w:szCs w:val="18"/>
                <w:color w:val="auto"/>
              </w:rPr>
              <w:t>Fullbridge, Inc.</w:t>
            </w: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1"/>
              </w:rPr>
              <w:t>Convertible Promissory</w:t>
            </w:r>
          </w:p>
        </w:tc>
        <w:tc>
          <w:tcPr>
            <w:tcW w:w="1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Preferred shares, Series D</w:t>
            </w:r>
          </w:p>
        </w:tc>
      </w:tr>
      <w:tr>
        <w:trPr>
          <w:trHeight w:val="230"/>
        </w:trPr>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2"/>
              </w:rPr>
              <w:t>Note, 10%, 2/16/15</w:t>
            </w:r>
          </w:p>
        </w:tc>
        <w:tc>
          <w:tcPr>
            <w:tcW w:w="180" w:type="dxa"/>
            <w:vAlign w:val="bottom"/>
          </w:tcPr>
          <w:p>
            <w:pPr>
              <w:spacing w:after="0"/>
              <w:rPr>
                <w:sz w:val="20"/>
                <w:szCs w:val="20"/>
                <w:color w:val="auto"/>
              </w:rPr>
            </w:pPr>
          </w:p>
        </w:tc>
        <w:tc>
          <w:tcPr>
            <w:tcW w:w="2160" w:type="dxa"/>
            <w:vAlign w:val="bottom"/>
          </w:tcPr>
          <w:p>
            <w:pPr>
              <w:spacing w:after="0"/>
              <w:rPr>
                <w:sz w:val="20"/>
                <w:szCs w:val="20"/>
                <w:color w:val="auto"/>
              </w:rPr>
            </w:pPr>
          </w:p>
        </w:tc>
      </w:tr>
    </w:tbl>
    <w:p>
      <w:pPr>
        <w:spacing w:after="0" w:line="94" w:lineRule="exact"/>
        <w:rPr>
          <w:sz w:val="20"/>
          <w:szCs w:val="20"/>
          <w:color w:val="auto"/>
        </w:rPr>
      </w:pPr>
    </w:p>
    <w:p>
      <w:pPr>
        <w:jc w:val="both"/>
        <w:ind w:left="180" w:right="519" w:firstLine="270"/>
        <w:spacing w:after="0" w:line="264" w:lineRule="auto"/>
        <w:rPr>
          <w:sz w:val="20"/>
          <w:szCs w:val="20"/>
          <w:color w:val="auto"/>
        </w:rPr>
      </w:pPr>
      <w:r>
        <w:rPr>
          <w:rFonts w:ascii="Arial" w:cs="Arial" w:eastAsia="Arial" w:hAnsi="Arial"/>
          <w:sz w:val="18"/>
          <w:szCs w:val="18"/>
          <w:color w:val="auto"/>
        </w:rPr>
        <w:t>During the three and six months ended June 30, 2015, there were no transfers between levels. During the three and six months ended June 30, 2014, the following transfers between levels occurred as a result of the IPO's of several portfolio companies, as well as the expiration of lock-up agreements described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12700</wp:posOffset>
            </wp:positionV>
            <wp:extent cx="521398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8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Corporate Action</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9"/>
              </w:rPr>
              <w:t>IPO/Lock-up</w:t>
            </w:r>
          </w:p>
        </w:tc>
        <w:tc>
          <w:tcPr>
            <w:tcW w:w="10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Transfer from</w:t>
            </w: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2"/>
              </w:rPr>
              <w:t>June 30, 2014</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9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100" w:type="dxa"/>
            <w:vAlign w:val="bottom"/>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Valuation Method</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1980" w:type="dxa"/>
            <w:vAlign w:val="bottom"/>
          </w:tcPr>
          <w:p>
            <w:pPr>
              <w:ind w:left="20"/>
              <w:spacing w:after="0" w:line="195" w:lineRule="exact"/>
              <w:rPr>
                <w:sz w:val="20"/>
                <w:szCs w:val="20"/>
                <w:color w:val="auto"/>
              </w:rPr>
            </w:pPr>
            <w:r>
              <w:rPr>
                <w:rFonts w:ascii="Arial" w:cs="Arial" w:eastAsia="Arial" w:hAnsi="Arial"/>
                <w:sz w:val="18"/>
                <w:szCs w:val="18"/>
                <w:color w:val="auto"/>
              </w:rPr>
              <w:t>Twitter, Inc.</w:t>
            </w:r>
          </w:p>
        </w:tc>
        <w:tc>
          <w:tcPr>
            <w:tcW w:w="80" w:type="dxa"/>
            <w:vAlign w:val="bottom"/>
          </w:tcPr>
          <w:p>
            <w:pPr>
              <w:spacing w:after="0"/>
              <w:rPr>
                <w:sz w:val="16"/>
                <w:szCs w:val="16"/>
                <w:color w:val="auto"/>
              </w:rPr>
            </w:pPr>
          </w:p>
        </w:tc>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95"/>
              </w:rPr>
              <w:t>Lock-up Expiration</w:t>
            </w:r>
          </w:p>
        </w:tc>
        <w:tc>
          <w:tcPr>
            <w:tcW w:w="100" w:type="dxa"/>
            <w:vAlign w:val="bottom"/>
          </w:tcPr>
          <w:p>
            <w:pPr>
              <w:spacing w:after="0"/>
              <w:rPr>
                <w:sz w:val="16"/>
                <w:szCs w:val="16"/>
                <w:color w:val="auto"/>
              </w:rPr>
            </w:pP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91"/>
              </w:rPr>
              <w:t>5/5/2014</w:t>
            </w:r>
          </w:p>
        </w:tc>
        <w:tc>
          <w:tcPr>
            <w:tcW w:w="100" w:type="dxa"/>
            <w:vAlign w:val="bottom"/>
          </w:tcPr>
          <w:p>
            <w:pPr>
              <w:spacing w:after="0"/>
              <w:rPr>
                <w:sz w:val="16"/>
                <w:szCs w:val="16"/>
                <w:color w:val="auto"/>
              </w:rPr>
            </w:pPr>
          </w:p>
        </w:tc>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93"/>
              </w:rPr>
              <w:t>Level 2 to Level 1</w:t>
            </w:r>
          </w:p>
        </w:tc>
        <w:tc>
          <w:tcPr>
            <w:tcW w:w="100" w:type="dxa"/>
            <w:vAlign w:val="bottom"/>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88"/>
              </w:rPr>
              <w:t>Exchange Traded</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Price, 0% DLOM</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Chegg, Inc.</w:t>
            </w:r>
          </w:p>
        </w:tc>
        <w:tc>
          <w:tcPr>
            <w:tcW w:w="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Lock-up Expiration</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5/11/2014</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Level 2 to Level 1</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Price, 0% DLOM</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TrueCar, Inc.</w:t>
            </w:r>
          </w:p>
        </w:tc>
        <w:tc>
          <w:tcPr>
            <w:tcW w:w="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6"/>
              </w:rPr>
              <w:t>IPO</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5/15/2014</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Level 3 to Level 2</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Price, 17.5% DLOM</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Control4 Corporation</w:t>
            </w:r>
          </w:p>
        </w:tc>
        <w:tc>
          <w:tcPr>
            <w:tcW w:w="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Lock-up Expiration</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1/29/2014</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Level 2 to Level 1</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Price, 0% DLOM</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Violin Memory, Inc.</w:t>
            </w:r>
          </w:p>
        </w:tc>
        <w:tc>
          <w:tcPr>
            <w:tcW w:w="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Lock-up Expiration</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3/26/2014</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Level 2 to Level 1</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Price, 0% DLOM</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2U, Inc. (f/k/a 2tor, Inc.)</w:t>
            </w:r>
          </w:p>
        </w:tc>
        <w:tc>
          <w:tcPr>
            <w:tcW w:w="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6"/>
              </w:rPr>
              <w:t>IPO</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3/28/2014</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Level 3 to Level 2</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Price, 17.5% DLOM</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0"/>
        </w:trPr>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40" w:type="dxa"/>
            <w:vAlign w:val="bottom"/>
            <w:gridSpan w:val="2"/>
          </w:tcPr>
          <w:p>
            <w:pPr>
              <w:jc w:val="right"/>
              <w:ind w:right="2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38" w:name="page39"/>
    <w:bookmarkEnd w:id="3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2015 (Unaudited)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21"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The portfolio companies in which the Company invests periodically offer their shares in IPOs, which are typically subject to lock-up agreements for 180 days following the IPO. Upon the IPO date, and the lock-up expiration date, the Company generally transfers its investment from level 3 to level 2, and level 2 to level 1 respectively, due to the presence of an active market. Refer to “Note 1 — Nature of Operations and Significant Accounting Policies — Summary of Significant Accounting Policies — Levelling Policy” for further detail.</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EQUITY OFFERINGS AND RELATED EXPENSES</w:t>
      </w:r>
    </w:p>
    <w:p>
      <w:pPr>
        <w:spacing w:after="0" w:line="121"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No new shares of the Company’s common stock were issued during the six months ended June 30, 2015 or the six months ended June 30, 2014.</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NET INCREASE (DECREASE) IN NET ASSETS PER COMMON SHARE — BASIC AND DILUTED</w:t>
      </w:r>
    </w:p>
    <w:p>
      <w:pPr>
        <w:spacing w:after="0" w:line="121" w:lineRule="exact"/>
        <w:rPr>
          <w:sz w:val="20"/>
          <w:szCs w:val="20"/>
          <w:color w:val="auto"/>
        </w:rPr>
      </w:pPr>
    </w:p>
    <w:p>
      <w:pPr>
        <w:jc w:val="both"/>
        <w:ind w:left="60" w:right="519" w:firstLine="270"/>
        <w:spacing w:after="0" w:line="271" w:lineRule="auto"/>
        <w:rPr>
          <w:sz w:val="20"/>
          <w:szCs w:val="20"/>
          <w:color w:val="auto"/>
        </w:rPr>
      </w:pPr>
      <w:r>
        <w:rPr>
          <w:rFonts w:ascii="Arial" w:cs="Arial" w:eastAsia="Arial" w:hAnsi="Arial"/>
          <w:sz w:val="17"/>
          <w:szCs w:val="17"/>
          <w:color w:val="auto"/>
        </w:rPr>
        <w:t>The following information sets forth the computation of basic and diluted net increase (decrease) in net assets resulting from operations per common share for the three and six months ended June 30, 2015 and June 30, 2014. The use of the if-converted method as promulgated under ASC 260 considers all potentially dilutive securities in a Company’s capital structure when calculating diluted earnings per share, regardless of whether it would be economically beneficial for a holder of such potentially dilutive security to exercise their conversion option (such as out of the money warrants.) In scenarios where diluted earnings per share are higher than basic earnings per share, ASC 260 prohibits the separate presentation of the diluted earnings per share figure. In scenarios where diluted loss per share is lower than basic loss per share, ASC 260 prohibits the separate presentation of the diluted loss per share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11430</wp:posOffset>
            </wp:positionV>
            <wp:extent cx="521398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51" w:lineRule="exact"/>
        <w:rPr>
          <w:sz w:val="20"/>
          <w:szCs w:val="20"/>
          <w:color w:val="auto"/>
        </w:rPr>
      </w:pPr>
    </w:p>
    <w:p>
      <w:pPr>
        <w:ind w:left="4600"/>
        <w:spacing w:after="0"/>
        <w:tabs>
          <w:tab w:leader="none" w:pos="6780" w:val="left"/>
        </w:tabs>
        <w:rPr>
          <w:sz w:val="20"/>
          <w:szCs w:val="20"/>
          <w:color w:val="auto"/>
        </w:rPr>
      </w:pPr>
      <w:r>
        <w:rPr>
          <w:rFonts w:ascii="Arial" w:cs="Arial" w:eastAsia="Arial" w:hAnsi="Arial"/>
          <w:sz w:val="14"/>
          <w:szCs w:val="14"/>
          <w:b w:val="1"/>
          <w:bCs w:val="1"/>
          <w:color w:val="auto"/>
        </w:rPr>
        <w:t>(Unaudited)</w:t>
      </w:r>
      <w:r>
        <w:rPr>
          <w:sz w:val="20"/>
          <w:szCs w:val="20"/>
          <w:color w:val="auto"/>
        </w:rPr>
        <w:tab/>
      </w: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2493010</wp:posOffset>
            </wp:positionH>
            <wp:positionV relativeFrom="paragraph">
              <wp:posOffset>6350</wp:posOffset>
            </wp:positionV>
            <wp:extent cx="27273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p>
      <w:pPr>
        <w:spacing w:after="0" w:line="55" w:lineRule="exact"/>
        <w:rPr>
          <w:sz w:val="20"/>
          <w:szCs w:val="20"/>
          <w:color w:val="auto"/>
        </w:rPr>
      </w:pPr>
    </w:p>
    <w:p>
      <w:pPr>
        <w:jc w:val="center"/>
        <w:ind w:left="4080"/>
        <w:spacing w:after="0"/>
        <w:rPr>
          <w:sz w:val="20"/>
          <w:szCs w:val="20"/>
          <w:color w:val="auto"/>
        </w:rPr>
      </w:pPr>
      <w:r>
        <w:rPr>
          <w:rFonts w:ascii="Arial" w:cs="Arial" w:eastAsia="Arial" w:hAnsi="Arial"/>
          <w:sz w:val="12"/>
          <w:szCs w:val="12"/>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2493010</wp:posOffset>
            </wp:positionH>
            <wp:positionV relativeFrom="paragraph">
              <wp:posOffset>20955</wp:posOffset>
            </wp:positionV>
            <wp:extent cx="13290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58" w:lineRule="exact"/>
        <w:rPr>
          <w:sz w:val="20"/>
          <w:szCs w:val="20"/>
          <w:color w:val="auto"/>
        </w:rPr>
      </w:pPr>
    </w:p>
    <w:p>
      <w:pPr>
        <w:ind w:left="4280"/>
        <w:spacing w:after="0"/>
        <w:tabs>
          <w:tab w:leader="none" w:pos="536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20955</wp:posOffset>
            </wp:positionV>
            <wp:extent cx="13462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58"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10" w:lineRule="exact"/>
        <w:rPr>
          <w:sz w:val="20"/>
          <w:szCs w:val="20"/>
          <w:color w:val="auto"/>
        </w:rPr>
      </w:pPr>
    </w:p>
    <w:p>
      <w:pPr>
        <w:sectPr>
          <w:pgSz w:w="11900" w:h="16838" w:orient="portrait"/>
          <w:cols w:equalWidth="0" w:num="2">
            <w:col w:w="5880" w:space="460"/>
            <w:col w:w="3759"/>
          </w:cols>
          <w:pgMar w:left="36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39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common share – basic:</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r>
      <w:tr>
        <w:trPr>
          <w:trHeight w:val="202"/>
        </w:trPr>
        <w:tc>
          <w:tcPr>
            <w:tcW w:w="392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Net increase (decrease) in net assets resulting</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900" w:type="dxa"/>
            <w:vAlign w:val="bottom"/>
            <w:gridSpan w:val="2"/>
          </w:tcPr>
          <w:p>
            <w:pPr>
              <w:ind w:left="180"/>
              <w:spacing w:after="0"/>
              <w:rPr>
                <w:sz w:val="20"/>
                <w:szCs w:val="20"/>
                <w:color w:val="auto"/>
              </w:rPr>
            </w:pPr>
            <w:r>
              <w:rPr>
                <w:rFonts w:ascii="Arial" w:cs="Arial" w:eastAsia="Arial" w:hAnsi="Arial"/>
                <w:sz w:val="18"/>
                <w:szCs w:val="18"/>
                <w:color w:val="auto"/>
              </w:rPr>
              <w:t>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1,081,501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(920,306)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8"/>
              </w:rPr>
              <w:t>17,746,123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(840,602)</w:t>
            </w:r>
          </w:p>
        </w:tc>
      </w:tr>
      <w:tr>
        <w:trPr>
          <w:trHeight w:val="216"/>
        </w:trPr>
        <w:tc>
          <w:tcPr>
            <w:tcW w:w="3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 basic</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19,320,100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19,320,100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19,320,100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19,320,100</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3920" w:type="dxa"/>
            <w:vAlign w:val="bottom"/>
            <w:gridSpan w:val="3"/>
          </w:tcPr>
          <w:p>
            <w:pPr>
              <w:ind w:left="20"/>
              <w:spacing w:after="0"/>
              <w:rPr>
                <w:sz w:val="20"/>
                <w:szCs w:val="20"/>
                <w:color w:val="auto"/>
              </w:rPr>
            </w:pPr>
            <w:r>
              <w:rPr>
                <w:rFonts w:ascii="Arial" w:cs="Arial" w:eastAsia="Arial" w:hAnsi="Arial"/>
                <w:sz w:val="18"/>
                <w:szCs w:val="18"/>
                <w:b w:val="1"/>
                <w:bCs w:val="1"/>
                <w:color w:val="auto"/>
              </w:rPr>
              <w:t>Earnings (loss) per common share – 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r>
      <w:tr>
        <w:trPr>
          <w:trHeight w:val="210"/>
        </w:trPr>
        <w:tc>
          <w:tcPr>
            <w:tcW w:w="39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common share – diluted:</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392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Net increase (decrease) in net assets resulting</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900" w:type="dxa"/>
            <w:vAlign w:val="bottom"/>
            <w:gridSpan w:val="2"/>
          </w:tcPr>
          <w:p>
            <w:pPr>
              <w:ind w:left="180"/>
              <w:spacing w:after="0"/>
              <w:rPr>
                <w:sz w:val="20"/>
                <w:szCs w:val="20"/>
                <w:color w:val="auto"/>
              </w:rPr>
            </w:pPr>
            <w:r>
              <w:rPr>
                <w:rFonts w:ascii="Arial" w:cs="Arial" w:eastAsia="Arial" w:hAnsi="Arial"/>
                <w:sz w:val="18"/>
                <w:szCs w:val="18"/>
                <w:color w:val="auto"/>
              </w:rPr>
              <w:t>from operations, before adjustments</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1,081,501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(920,306)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17,746,123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(840,602)</w:t>
            </w:r>
          </w:p>
        </w:tc>
      </w:tr>
      <w:tr>
        <w:trPr>
          <w:trHeight w:val="202"/>
        </w:trPr>
        <w:tc>
          <w:tcPr>
            <w:tcW w:w="392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w w:val="92"/>
              </w:rPr>
              <w:t>Adjustments for interest on Convertible Senior Notes</w:t>
            </w:r>
          </w:p>
        </w:tc>
        <w:tc>
          <w:tcPr>
            <w:tcW w:w="1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deferred debt issuance costs</w:t>
            </w:r>
          </w:p>
        </w:tc>
        <w:tc>
          <w:tcPr>
            <w:tcW w:w="12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1,280,003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392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Net increase (decrease) in net assets resulting</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900" w:type="dxa"/>
            <w:vAlign w:val="bottom"/>
            <w:gridSpan w:val="2"/>
          </w:tcPr>
          <w:p>
            <w:pPr>
              <w:ind w:left="180"/>
              <w:spacing w:after="0"/>
              <w:rPr>
                <w:sz w:val="20"/>
                <w:szCs w:val="20"/>
                <w:color w:val="auto"/>
              </w:rPr>
            </w:pPr>
            <w:r>
              <w:rPr>
                <w:rFonts w:ascii="Arial" w:cs="Arial" w:eastAsia="Arial" w:hAnsi="Arial"/>
                <w:sz w:val="18"/>
                <w:szCs w:val="18"/>
                <w:color w:val="auto"/>
              </w:rPr>
              <w:t>from operations, as adjusted</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1,081,501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(920,306)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19,026,126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(840,602)</w:t>
            </w:r>
          </w:p>
        </w:tc>
      </w:tr>
      <w:tr>
        <w:trPr>
          <w:trHeight w:val="202"/>
        </w:trPr>
        <w:tc>
          <w:tcPr>
            <w:tcW w:w="392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Weighted average common shares outstanding –</w:t>
            </w:r>
          </w:p>
        </w:tc>
        <w:tc>
          <w:tcPr>
            <w:tcW w:w="1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19,320,100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19,320,100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19,320,100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19,320,100</w:t>
            </w:r>
          </w:p>
        </w:tc>
      </w:tr>
      <w:tr>
        <w:trPr>
          <w:trHeight w:val="205"/>
        </w:trPr>
        <w:tc>
          <w:tcPr>
            <w:tcW w:w="3920" w:type="dxa"/>
            <w:vAlign w:val="bottom"/>
            <w:gridSpan w:val="3"/>
          </w:tcPr>
          <w:p>
            <w:pPr>
              <w:ind w:left="20"/>
              <w:spacing w:after="0" w:line="206" w:lineRule="exact"/>
              <w:rPr>
                <w:sz w:val="20"/>
                <w:szCs w:val="20"/>
                <w:color w:val="auto"/>
              </w:rPr>
            </w:pPr>
            <w:r>
              <w:rPr>
                <w:rFonts w:ascii="Arial" w:cs="Arial" w:eastAsia="Arial" w:hAnsi="Arial"/>
                <w:sz w:val="18"/>
                <w:szCs w:val="18"/>
                <w:color w:val="auto"/>
                <w:w w:val="95"/>
              </w:rPr>
              <w:t>Adjustments for dilutive effect of Convertible Senior</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7"/>
        </w:trPr>
        <w:tc>
          <w:tcPr>
            <w:tcW w:w="20" w:type="dxa"/>
            <w:vAlign w:val="bottom"/>
          </w:tcPr>
          <w:p>
            <w:pPr>
              <w:spacing w:after="0"/>
              <w:rPr>
                <w:sz w:val="23"/>
                <w:szCs w:val="23"/>
                <w:color w:val="auto"/>
              </w:rPr>
            </w:pPr>
          </w:p>
        </w:tc>
        <w:tc>
          <w:tcPr>
            <w:tcW w:w="3900" w:type="dxa"/>
            <w:vAlign w:val="bottom"/>
            <w:gridSpan w:val="2"/>
          </w:tcPr>
          <w:p>
            <w:pPr>
              <w:ind w:left="180"/>
              <w:spacing w:after="0" w:line="266" w:lineRule="exact"/>
              <w:rPr>
                <w:sz w:val="20"/>
                <w:szCs w:val="20"/>
                <w:color w:val="auto"/>
              </w:rPr>
            </w:pPr>
            <w:r>
              <w:rPr>
                <w:rFonts w:ascii="Arial" w:cs="Arial" w:eastAsia="Arial" w:hAnsi="Arial"/>
                <w:sz w:val="18"/>
                <w:szCs w:val="18"/>
                <w:color w:val="auto"/>
              </w:rPr>
              <w:t>Notes</w:t>
            </w:r>
            <w:r>
              <w:rPr>
                <w:rFonts w:ascii="Arial" w:cs="Arial" w:eastAsia="Arial" w:hAnsi="Arial"/>
                <w:sz w:val="30"/>
                <w:szCs w:val="30"/>
                <w:color w:val="auto"/>
                <w:vertAlign w:val="superscript"/>
              </w:rPr>
              <w:t>(1)</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4,244,128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392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Weighted average common shares outstanding –</w:t>
            </w:r>
          </w:p>
        </w:tc>
        <w:tc>
          <w:tcPr>
            <w:tcW w:w="1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19,320,100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19,320,100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23,564,228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19,320,100</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3920" w:type="dxa"/>
            <w:vAlign w:val="bottom"/>
            <w:gridSpan w:val="3"/>
          </w:tcPr>
          <w:p>
            <w:pPr>
              <w:ind w:left="20"/>
              <w:spacing w:after="0"/>
              <w:rPr>
                <w:sz w:val="20"/>
                <w:szCs w:val="20"/>
                <w:color w:val="auto"/>
              </w:rPr>
            </w:pPr>
            <w:r>
              <w:rPr>
                <w:rFonts w:ascii="Arial" w:cs="Arial" w:eastAsia="Arial" w:hAnsi="Arial"/>
                <w:sz w:val="18"/>
                <w:szCs w:val="18"/>
                <w:b w:val="1"/>
                <w:bCs w:val="1"/>
                <w:color w:val="auto"/>
              </w:rPr>
              <w:t>Earnings (loss) per common share –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-2323465</wp:posOffset>
            </wp:positionV>
            <wp:extent cx="5213985"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-359410</wp:posOffset>
            </wp:positionV>
            <wp:extent cx="5213985" cy="1803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jc w:val="both"/>
        <w:ind w:left="300" w:right="539" w:hanging="272"/>
        <w:spacing w:after="0" w:line="286" w:lineRule="auto"/>
        <w:tabs>
          <w:tab w:leader="none" w:pos="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For the three months ended June 30, 2015 and 2014, and the six months ended June 30, 2014, 4,244,128 potentially dilutive common shares were excluded from the weighted-average common shares outstanding for diluted net increase in net assets resulting from operations per common share because the effect of these shares would have been anti-dilutive.</w:t>
      </w:r>
    </w:p>
    <w:p>
      <w:pPr>
        <w:spacing w:after="0" w:line="200" w:lineRule="exact"/>
        <w:rPr>
          <w:sz w:val="20"/>
          <w:szCs w:val="20"/>
          <w:color w:val="auto"/>
        </w:rPr>
      </w:pPr>
    </w:p>
    <w:p>
      <w:pPr>
        <w:spacing w:after="0" w:line="30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39" w:name="page40"/>
    <w:bookmarkEnd w:id="39"/>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June 30, 2015 (Unaudited)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21" w:lineRule="exact"/>
        <w:rPr>
          <w:sz w:val="20"/>
          <w:szCs w:val="20"/>
          <w:color w:val="auto"/>
        </w:rPr>
      </w:pPr>
    </w:p>
    <w:p>
      <w:pPr>
        <w:jc w:val="both"/>
        <w:ind w:left="180" w:right="539" w:firstLine="270"/>
        <w:spacing w:after="0" w:line="259" w:lineRule="auto"/>
        <w:rPr>
          <w:sz w:val="20"/>
          <w:szCs w:val="20"/>
          <w:color w:val="auto"/>
        </w:rPr>
      </w:pPr>
      <w:r>
        <w:rPr>
          <w:rFonts w:ascii="Arial" w:cs="Arial" w:eastAsia="Arial" w:hAnsi="Arial"/>
          <w:sz w:val="18"/>
          <w:szCs w:val="18"/>
          <w:color w:val="auto"/>
        </w:rPr>
        <w:t>In the normal course of business, the Company may enter into investment agreements under which it commits to make an investment in a portfolio company at some future date or over a specified period of time. At June 30, 2015, and December 31, 2014, the Company had not entered into any investment agreements which required it to make a future investment in a portfolio company.</w:t>
      </w:r>
    </w:p>
    <w:p>
      <w:pPr>
        <w:spacing w:after="0" w:line="79" w:lineRule="exact"/>
        <w:rPr>
          <w:sz w:val="20"/>
          <w:szCs w:val="20"/>
          <w:color w:val="auto"/>
        </w:rPr>
      </w:pPr>
    </w:p>
    <w:p>
      <w:pPr>
        <w:jc w:val="both"/>
        <w:ind w:left="180" w:right="519" w:firstLine="270"/>
        <w:spacing w:after="0" w:line="276" w:lineRule="auto"/>
        <w:rPr>
          <w:sz w:val="20"/>
          <w:szCs w:val="20"/>
          <w:color w:val="auto"/>
        </w:rPr>
      </w:pPr>
      <w:r>
        <w:rPr>
          <w:rFonts w:ascii="Arial" w:cs="Arial" w:eastAsia="Arial" w:hAnsi="Arial"/>
          <w:sz w:val="17"/>
          <w:szCs w:val="17"/>
          <w:color w:val="auto"/>
        </w:rPr>
        <w:t>The Company is currently not subject to any material legal proceedings, nor, to its knowledge, is any material legal proceeding threatened against it. 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7 —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519684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16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June 30, 2015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June 30, 2014</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5"/>
              </w:rPr>
              <w:t>(Unaudited)</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 w:type="dxa"/>
            <w:vAlign w:val="bottom"/>
            <w:tcBorders>
              <w:right w:val="single" w:sz="8" w:color="CCEEFF"/>
            </w:tcBorders>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Net asset value at beginning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15.66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14.91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40" w:type="dxa"/>
            <w:vAlign w:val="bottom"/>
            <w:tcBorders>
              <w:right w:val="single" w:sz="8" w:color="CCEEFF"/>
            </w:tcBorders>
          </w:tcPr>
          <w:p>
            <w:pPr>
              <w:spacing w:after="0"/>
              <w:rPr>
                <w:sz w:val="22"/>
                <w:szCs w:val="22"/>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loss</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line="256" w:lineRule="exact"/>
              <w:rPr>
                <w:sz w:val="20"/>
                <w:szCs w:val="20"/>
                <w:color w:val="auto"/>
              </w:rPr>
            </w:pPr>
            <w:r>
              <w:rPr>
                <w:rFonts w:ascii="Arial" w:cs="Arial" w:eastAsia="Arial" w:hAnsi="Arial"/>
                <w:sz w:val="18"/>
                <w:szCs w:val="18"/>
                <w:color w:val="auto"/>
              </w:rPr>
              <w:t>(0.19)</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line="256" w:lineRule="exact"/>
              <w:rPr>
                <w:sz w:val="20"/>
                <w:szCs w:val="20"/>
                <w:color w:val="auto"/>
              </w:rPr>
            </w:pPr>
            <w:r>
              <w:rPr>
                <w:rFonts w:ascii="Arial" w:cs="Arial" w:eastAsia="Arial" w:hAnsi="Arial"/>
                <w:sz w:val="18"/>
                <w:szCs w:val="18"/>
                <w:color w:val="auto"/>
              </w:rPr>
              <w:t>(0.18)</w:t>
            </w:r>
            <w:r>
              <w:rPr>
                <w:rFonts w:ascii="Arial" w:cs="Arial" w:eastAsia="Arial" w:hAnsi="Arial"/>
                <w:sz w:val="29"/>
                <w:szCs w:val="29"/>
                <w:color w:val="auto"/>
                <w:vertAlign w:val="superscript"/>
              </w:rPr>
              <w:t>(1)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Net realized gain (loss)</w:t>
            </w:r>
          </w:p>
        </w:tc>
        <w:tc>
          <w:tcPr>
            <w:tcW w:w="100" w:type="dxa"/>
            <w:vAlign w:val="bottom"/>
          </w:tcPr>
          <w:p>
            <w:pPr>
              <w:spacing w:after="0"/>
              <w:rPr>
                <w:sz w:val="22"/>
                <w:szCs w:val="22"/>
                <w:color w:val="auto"/>
              </w:rPr>
            </w:pPr>
          </w:p>
        </w:tc>
        <w:tc>
          <w:tcPr>
            <w:tcW w:w="128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0.71</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(0.38)</w:t>
            </w:r>
            <w:r>
              <w:rPr>
                <w:rFonts w:ascii="Arial" w:cs="Arial" w:eastAsia="Arial" w:hAnsi="Arial"/>
                <w:sz w:val="29"/>
                <w:szCs w:val="29"/>
                <w:color w:val="auto"/>
                <w:vertAlign w:val="superscript"/>
              </w:rPr>
              <w:t>(1)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40" w:type="dxa"/>
            <w:vAlign w:val="bottom"/>
            <w:tcBorders>
              <w:right w:val="single" w:sz="8" w:color="CCEEFF"/>
            </w:tcBorders>
          </w:tcPr>
          <w:p>
            <w:pPr>
              <w:spacing w:after="0"/>
              <w:rPr>
                <w:sz w:val="17"/>
                <w:szCs w:val="17"/>
                <w:color w:val="auto"/>
              </w:rPr>
            </w:pPr>
          </w:p>
        </w:tc>
        <w:tc>
          <w:tcPr>
            <w:tcW w:w="5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(Provision)/Benefit for taxes on Net Realized Capital</w:t>
            </w:r>
          </w:p>
        </w:tc>
        <w:tc>
          <w:tcPr>
            <w:tcW w:w="10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(0.29)</w:t>
            </w:r>
            <w:r>
              <w:rPr>
                <w:rFonts w:ascii="Arial" w:cs="Arial" w:eastAsia="Arial" w:hAnsi="Arial"/>
                <w:sz w:val="30"/>
                <w:szCs w:val="30"/>
                <w:color w:val="auto"/>
                <w:vertAlign w:val="superscript"/>
              </w:rPr>
              <w:t>(1)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0.15</w:t>
            </w:r>
            <w:r>
              <w:rPr>
                <w:rFonts w:ascii="Arial" w:cs="Arial" w:eastAsia="Arial" w:hAnsi="Arial"/>
                <w:sz w:val="30"/>
                <w:szCs w:val="30"/>
                <w:color w:val="auto"/>
                <w:vertAlign w:val="superscript"/>
              </w:rPr>
              <w:t>(1)</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 w:type="dxa"/>
            <w:vAlign w:val="bottom"/>
            <w:tcBorders>
              <w:right w:val="single" w:sz="8" w:color="CCEEFF"/>
            </w:tcBorders>
          </w:tcPr>
          <w:p>
            <w:pPr>
              <w:spacing w:after="0"/>
              <w:rPr>
                <w:sz w:val="20"/>
                <w:szCs w:val="20"/>
                <w:color w:val="auto"/>
              </w:rPr>
            </w:pPr>
          </w:p>
        </w:tc>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Gains/Losses</w:t>
            </w:r>
          </w:p>
        </w:tc>
        <w:tc>
          <w:tcPr>
            <w:tcW w:w="10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w w:val="95"/>
              </w:rPr>
              <w:t>Net change in Unrealized Appreciation (Depreciation) of Investments</w:t>
            </w:r>
          </w:p>
        </w:tc>
        <w:tc>
          <w:tcPr>
            <w:tcW w:w="100" w:type="dxa"/>
            <w:vAlign w:val="bottom"/>
          </w:tcPr>
          <w:p>
            <w:pPr>
              <w:spacing w:after="0"/>
              <w:rPr>
                <w:sz w:val="22"/>
                <w:szCs w:val="22"/>
                <w:color w:val="auto"/>
              </w:rPr>
            </w:pPr>
          </w:p>
        </w:tc>
        <w:tc>
          <w:tcPr>
            <w:tcW w:w="1280" w:type="dxa"/>
            <w:vAlign w:val="bottom"/>
            <w:gridSpan w:val="2"/>
          </w:tcPr>
          <w:p>
            <w:pPr>
              <w:jc w:val="right"/>
              <w:ind w:right="140"/>
              <w:spacing w:after="0" w:line="256" w:lineRule="exact"/>
              <w:rPr>
                <w:sz w:val="20"/>
                <w:szCs w:val="20"/>
                <w:color w:val="auto"/>
              </w:rPr>
            </w:pPr>
            <w:r>
              <w:rPr>
                <w:rFonts w:ascii="Arial" w:cs="Arial" w:eastAsia="Arial" w:hAnsi="Arial"/>
                <w:sz w:val="18"/>
                <w:szCs w:val="18"/>
                <w:color w:val="auto"/>
              </w:rPr>
              <w:t>(0.29)</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60"/>
              <w:spacing w:after="0" w:line="256" w:lineRule="exact"/>
              <w:rPr>
                <w:sz w:val="20"/>
                <w:szCs w:val="20"/>
                <w:color w:val="auto"/>
              </w:rPr>
            </w:pPr>
            <w:r>
              <w:rPr>
                <w:rFonts w:ascii="Arial" w:cs="Arial" w:eastAsia="Arial" w:hAnsi="Arial"/>
                <w:sz w:val="18"/>
                <w:szCs w:val="18"/>
                <w:color w:val="auto"/>
              </w:rPr>
              <w:t>0.60</w:t>
            </w:r>
            <w:r>
              <w:rPr>
                <w:rFonts w:ascii="Arial" w:cs="Arial" w:eastAsia="Arial" w:hAnsi="Arial"/>
                <w:sz w:val="29"/>
                <w:szCs w:val="29"/>
                <w:color w:val="auto"/>
                <w:vertAlign w:val="superscript"/>
              </w:rPr>
              <w:t>(1)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40" w:type="dxa"/>
            <w:vAlign w:val="bottom"/>
            <w:tcBorders>
              <w:right w:val="single" w:sz="8" w:color="CCEEFF"/>
            </w:tcBorders>
          </w:tcPr>
          <w:p>
            <w:pPr>
              <w:spacing w:after="0"/>
              <w:rPr>
                <w:sz w:val="17"/>
                <w:szCs w:val="17"/>
                <w:color w:val="auto"/>
              </w:rPr>
            </w:pPr>
          </w:p>
        </w:tc>
        <w:tc>
          <w:tcPr>
            <w:tcW w:w="5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(Provision)/Benefit for taxes on Unrealized</w:t>
            </w:r>
          </w:p>
        </w:tc>
        <w:tc>
          <w:tcPr>
            <w:tcW w:w="10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0.12</w:t>
            </w:r>
            <w:r>
              <w:rPr>
                <w:rFonts w:ascii="Arial" w:cs="Arial" w:eastAsia="Arial" w:hAnsi="Arial"/>
                <w:sz w:val="30"/>
                <w:szCs w:val="30"/>
                <w:color w:val="auto"/>
                <w:vertAlign w:val="superscript"/>
              </w:rPr>
              <w:t>(1)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(0.24)</w:t>
            </w:r>
            <w:r>
              <w:rPr>
                <w:rFonts w:ascii="Arial" w:cs="Arial" w:eastAsia="Arial" w:hAnsi="Arial"/>
                <w:sz w:val="30"/>
                <w:szCs w:val="30"/>
                <w:color w:val="auto"/>
                <w:vertAlign w:val="superscript"/>
              </w:rPr>
              <w:t>(1)</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 w:type="dxa"/>
            <w:vAlign w:val="bottom"/>
            <w:tcBorders>
              <w:right w:val="single" w:sz="8" w:color="CCEEFF"/>
            </w:tcBorders>
          </w:tcPr>
          <w:p>
            <w:pPr>
              <w:spacing w:after="0"/>
              <w:rPr>
                <w:sz w:val="20"/>
                <w:szCs w:val="20"/>
                <w:color w:val="auto"/>
              </w:rPr>
            </w:pPr>
          </w:p>
        </w:tc>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Appreciation/(Deprecation) of Investments</w:t>
            </w:r>
          </w:p>
        </w:tc>
        <w:tc>
          <w:tcPr>
            <w:tcW w:w="10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38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Net asset value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15.72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14.86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40" w:type="dxa"/>
            <w:vAlign w:val="bottom"/>
            <w:tcBorders>
              <w:right w:val="single" w:sz="8" w:color="CCEEFF"/>
            </w:tcBorders>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share market value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10.57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Total return based on market value</w:t>
            </w:r>
          </w:p>
        </w:tc>
        <w:tc>
          <w:tcPr>
            <w:tcW w:w="100" w:type="dxa"/>
            <w:vAlign w:val="bottom"/>
          </w:tcPr>
          <w:p>
            <w:pPr>
              <w:spacing w:after="0"/>
              <w:rPr>
                <w:sz w:val="22"/>
                <w:szCs w:val="22"/>
                <w:color w:val="auto"/>
              </w:rPr>
            </w:pPr>
          </w:p>
        </w:tc>
        <w:tc>
          <w:tcPr>
            <w:tcW w:w="1280" w:type="dxa"/>
            <w:vAlign w:val="bottom"/>
            <w:gridSpan w:val="2"/>
          </w:tcPr>
          <w:p>
            <w:pPr>
              <w:jc w:val="right"/>
              <w:ind w:right="40"/>
              <w:spacing w:after="0" w:line="256" w:lineRule="exact"/>
              <w:rPr>
                <w:sz w:val="20"/>
                <w:szCs w:val="20"/>
                <w:color w:val="auto"/>
              </w:rPr>
            </w:pPr>
            <w:r>
              <w:rPr>
                <w:rFonts w:ascii="Arial" w:cs="Arial" w:eastAsia="Arial" w:hAnsi="Arial"/>
                <w:sz w:val="18"/>
                <w:szCs w:val="18"/>
                <w:color w:val="auto"/>
              </w:rPr>
              <w:t>5.20%</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100"/>
              <w:spacing w:after="0" w:line="256" w:lineRule="exact"/>
              <w:rPr>
                <w:sz w:val="20"/>
                <w:szCs w:val="20"/>
                <w:color w:val="auto"/>
              </w:rPr>
            </w:pPr>
            <w:r>
              <w:rPr>
                <w:rFonts w:ascii="Arial" w:cs="Arial" w:eastAsia="Arial" w:hAnsi="Arial"/>
                <w:sz w:val="18"/>
                <w:szCs w:val="18"/>
                <w:color w:val="auto"/>
              </w:rPr>
              <w:t>4.24%</w:t>
            </w:r>
            <w:r>
              <w:rPr>
                <w:rFonts w:ascii="Arial" w:cs="Arial" w:eastAsia="Arial" w:hAnsi="Arial"/>
                <w:sz w:val="29"/>
                <w:szCs w:val="29"/>
                <w:color w:val="auto"/>
                <w:vertAlign w:val="superscript"/>
              </w:rPr>
              <w:t>(2)</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0" w:type="dxa"/>
            <w:vAlign w:val="bottom"/>
            <w:tcBorders>
              <w:right w:val="single" w:sz="8" w:color="CCEEFF"/>
            </w:tcBorders>
          </w:tcPr>
          <w:p>
            <w:pPr>
              <w:spacing w:after="0"/>
              <w:rPr>
                <w:sz w:val="22"/>
                <w:szCs w:val="22"/>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return based on net asset value</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8"/>
                <w:szCs w:val="18"/>
                <w:color w:val="auto"/>
              </w:rPr>
              <w:t>0.38%</w:t>
            </w:r>
            <w:r>
              <w:rPr>
                <w:rFonts w:ascii="Arial" w:cs="Arial" w:eastAsia="Arial" w:hAnsi="Arial"/>
                <w:sz w:val="29"/>
                <w:szCs w:val="29"/>
                <w:color w:val="auto"/>
                <w:vertAlign w:val="superscript"/>
              </w:rPr>
              <w:t>(2)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8"/>
                <w:szCs w:val="18"/>
                <w:color w:val="auto"/>
              </w:rPr>
              <w:t>(0.34)%</w:t>
            </w:r>
            <w:r>
              <w:rPr>
                <w:rFonts w:ascii="Arial" w:cs="Arial" w:eastAsia="Arial" w:hAnsi="Arial"/>
                <w:sz w:val="29"/>
                <w:szCs w:val="29"/>
                <w:color w:val="auto"/>
                <w:vertAlign w:val="superscript"/>
              </w:rPr>
              <w:t>(2)</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19,320,100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19,320,100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Net assets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303,649,796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287,125,842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net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295,688,346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275,480,154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522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Annualized ratios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40" w:type="dxa"/>
            <w:vAlign w:val="bottom"/>
            <w:tcBorders>
              <w:right w:val="single" w:sz="8" w:color="CCEEFF"/>
            </w:tcBorders>
          </w:tcPr>
          <w:p>
            <w:pPr>
              <w:spacing w:after="0"/>
              <w:rPr>
                <w:sz w:val="22"/>
                <w:szCs w:val="22"/>
                <w:color w:val="auto"/>
              </w:rPr>
            </w:pPr>
          </w:p>
        </w:tc>
        <w:tc>
          <w:tcPr>
            <w:tcW w:w="5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Ratio of gross operating expenses to average net assets</w:t>
            </w:r>
            <w:r>
              <w:rPr>
                <w:rFonts w:ascii="Arial" w:cs="Arial" w:eastAsia="Arial" w:hAnsi="Arial"/>
                <w:sz w:val="29"/>
                <w:szCs w:val="29"/>
                <w:color w:val="auto"/>
                <w:vertAlign w:val="superscript"/>
              </w:rPr>
              <w:t>(3)</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8.55 %</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8.55 %</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rPr>
              <w:t>Ratio of net income tax provisions to average net assets</w:t>
            </w:r>
            <w:r>
              <w:rPr>
                <w:rFonts w:ascii="Arial" w:cs="Arial" w:eastAsia="Arial" w:hAnsi="Arial"/>
                <w:sz w:val="29"/>
                <w:szCs w:val="29"/>
                <w:color w:val="auto"/>
                <w:vertAlign w:val="superscript"/>
              </w:rPr>
              <w:t>(3)</w:t>
            </w:r>
          </w:p>
        </w:tc>
        <w:tc>
          <w:tcPr>
            <w:tcW w:w="100" w:type="dxa"/>
            <w:vAlign w:val="bottom"/>
          </w:tcPr>
          <w:p>
            <w:pPr>
              <w:spacing w:after="0"/>
              <w:rPr>
                <w:sz w:val="22"/>
                <w:szCs w:val="22"/>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(0.96)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(0.92) %</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right w:val="single" w:sz="8" w:color="CCEEFF"/>
            </w:tcBorders>
          </w:tcPr>
          <w:p>
            <w:pPr>
              <w:spacing w:after="0"/>
              <w:rPr>
                <w:sz w:val="21"/>
                <w:szCs w:val="21"/>
                <w:color w:val="auto"/>
              </w:rPr>
            </w:pPr>
          </w:p>
        </w:tc>
        <w:tc>
          <w:tcPr>
            <w:tcW w:w="522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Ratio of net operating expenses to average net assets</w:t>
            </w:r>
            <w:r>
              <w:rPr>
                <w:rFonts w:ascii="Arial" w:cs="Arial" w:eastAsia="Arial" w:hAnsi="Arial"/>
                <w:sz w:val="28"/>
                <w:szCs w:val="28"/>
                <w:color w:val="auto"/>
                <w:vertAlign w:val="superscript"/>
              </w:rPr>
              <w:t>(3)</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7.59 %</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7.63 %</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14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Ratio of net investment loss to average net assets</w:t>
            </w:r>
            <w:r>
              <w:rPr>
                <w:rFonts w:ascii="Arial" w:cs="Arial" w:eastAsia="Arial" w:hAnsi="Arial"/>
                <w:sz w:val="30"/>
                <w:szCs w:val="30"/>
                <w:color w:val="auto"/>
                <w:vertAlign w:val="superscript"/>
              </w:rPr>
              <w:t>(3)</w:t>
            </w:r>
          </w:p>
        </w:tc>
        <w:tc>
          <w:tcPr>
            <w:tcW w:w="100" w:type="dxa"/>
            <w:vAlign w:val="bottom"/>
          </w:tcPr>
          <w:p>
            <w:pPr>
              <w:spacing w:after="0"/>
              <w:rPr>
                <w:sz w:val="24"/>
                <w:szCs w:val="2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(4.96) %</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(4.98) %</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6"/>
        </w:trPr>
        <w:tc>
          <w:tcPr>
            <w:tcW w:w="140" w:type="dxa"/>
            <w:vAlign w:val="bottom"/>
          </w:tcPr>
          <w:p>
            <w:pPr>
              <w:spacing w:after="0"/>
              <w:rPr>
                <w:sz w:val="24"/>
                <w:szCs w:val="24"/>
                <w:color w:val="auto"/>
              </w:rPr>
            </w:pPr>
          </w:p>
        </w:tc>
        <w:tc>
          <w:tcPr>
            <w:tcW w:w="5220" w:type="dxa"/>
            <w:vAlign w:val="bottom"/>
            <w:gridSpan w:val="2"/>
          </w:tcPr>
          <w:p>
            <w:pPr>
              <w:jc w:val="right"/>
              <w:ind w:right="48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38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38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-2614930</wp:posOffset>
            </wp:positionV>
            <wp:extent cx="5213985" cy="1803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40" w:name="page41"/>
    <w:bookmarkEnd w:id="4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2015 (Unaudited)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FINANCIAL HIGHLIGHTS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4540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134" w:lineRule="exact"/>
        <w:rPr>
          <w:sz w:val="20"/>
          <w:szCs w:val="20"/>
          <w:color w:val="auto"/>
        </w:rPr>
      </w:pPr>
    </w:p>
    <w:tbl>
      <w:tblPr>
        <w:tblLayout w:type="fixed"/>
        <w:tblInd w:w="5580" w:type="dxa"/>
        <w:tblCellMar>
          <w:top w:w="0" w:type="dxa"/>
          <w:left w:w="0" w:type="dxa"/>
          <w:bottom w:w="0" w:type="dxa"/>
          <w:right w:w="0" w:type="dxa"/>
        </w:tblCellMar>
      </w:tblPr>
      <w:tr>
        <w:trPr>
          <w:trHeight w:val="161"/>
        </w:trPr>
        <w:tc>
          <w:tcPr>
            <w:tcW w:w="126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Six months ended</w:t>
            </w:r>
          </w:p>
        </w:tc>
        <w:tc>
          <w:tcPr>
            <w:tcW w:w="1280" w:type="dxa"/>
            <w:vAlign w:val="bottom"/>
          </w:tcPr>
          <w:p>
            <w:pPr>
              <w:jc w:val="center"/>
              <w:ind w:left="128"/>
              <w:spacing w:after="0"/>
              <w:rPr>
                <w:sz w:val="20"/>
                <w:szCs w:val="20"/>
                <w:color w:val="auto"/>
              </w:rPr>
            </w:pPr>
            <w:r>
              <w:rPr>
                <w:rFonts w:ascii="Arial" w:cs="Arial" w:eastAsia="Arial" w:hAnsi="Arial"/>
                <w:sz w:val="14"/>
                <w:szCs w:val="14"/>
                <w:b w:val="1"/>
                <w:bCs w:val="1"/>
                <w:color w:val="auto"/>
                <w:w w:val="89"/>
              </w:rPr>
              <w:t>Six months ended</w:t>
            </w:r>
          </w:p>
        </w:tc>
      </w:tr>
      <w:tr>
        <w:trPr>
          <w:trHeight w:val="149"/>
        </w:trPr>
        <w:tc>
          <w:tcPr>
            <w:tcW w:w="126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2"/>
              </w:rPr>
              <w:t>June 30, 2015</w:t>
            </w:r>
          </w:p>
        </w:tc>
        <w:tc>
          <w:tcPr>
            <w:tcW w:w="128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2"/>
              </w:rPr>
              <w:t>June 30, 2014</w:t>
            </w:r>
          </w:p>
        </w:tc>
      </w:tr>
      <w:tr>
        <w:trPr>
          <w:trHeight w:val="186"/>
        </w:trPr>
        <w:tc>
          <w:tcPr>
            <w:tcW w:w="1260" w:type="dxa"/>
            <w:vAlign w:val="bottom"/>
          </w:tcPr>
          <w:p>
            <w:pPr>
              <w:jc w:val="center"/>
              <w:ind w:right="108"/>
              <w:spacing w:after="0"/>
              <w:rPr>
                <w:sz w:val="20"/>
                <w:szCs w:val="20"/>
                <w:color w:val="auto"/>
              </w:rPr>
            </w:pPr>
            <w:r>
              <w:rPr>
                <w:rFonts w:ascii="Arial" w:cs="Arial" w:eastAsia="Arial" w:hAnsi="Arial"/>
                <w:sz w:val="14"/>
                <w:szCs w:val="14"/>
                <w:b w:val="1"/>
                <w:bCs w:val="1"/>
                <w:color w:val="auto"/>
                <w:w w:val="97"/>
              </w:rPr>
              <w:t>(Unaudited)</w:t>
            </w:r>
          </w:p>
        </w:tc>
        <w:tc>
          <w:tcPr>
            <w:tcW w:w="1280" w:type="dxa"/>
            <w:vAlign w:val="bottom"/>
          </w:tcPr>
          <w:p>
            <w:pPr>
              <w:jc w:val="center"/>
              <w:ind w:left="108"/>
              <w:spacing w:after="0"/>
              <w:rPr>
                <w:sz w:val="20"/>
                <w:szCs w:val="20"/>
                <w:color w:val="auto"/>
              </w:rPr>
            </w:pPr>
            <w:r>
              <w:rPr>
                <w:rFonts w:ascii="Arial" w:cs="Arial" w:eastAsia="Arial" w:hAnsi="Arial"/>
                <w:sz w:val="14"/>
                <w:szCs w:val="14"/>
                <w:b w:val="1"/>
                <w:bCs w:val="1"/>
                <w:color w:val="auto"/>
                <w:w w:val="95"/>
              </w:rPr>
              <w:t>(Unaudited)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-8890</wp:posOffset>
            </wp:positionV>
            <wp:extent cx="5257165" cy="146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257165"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Per Share Data</w:t>
      </w:r>
    </w:p>
    <w:p>
      <w:pPr>
        <w:sectPr>
          <w:pgSz w:w="11900" w:h="16838" w:orient="portrait"/>
          <w:cols w:equalWidth="0" w:num="1">
            <w:col w:w="10099"/>
          </w:cols>
          <w:pgMar w:left="360" w:top="792" w:right="1440" w:bottom="1440" w:gutter="0" w:footer="0" w:header="0"/>
        </w:sectPr>
      </w:pP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asset value at beginning of period</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investment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-121920</wp:posOffset>
            </wp:positionV>
            <wp:extent cx="5257165" cy="1631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57165"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Realized gain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Provision for taxes on net realized capital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-121920</wp:posOffset>
            </wp:positionV>
            <wp:extent cx="5257165" cy="1631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57165"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change in unrealized appreciation</w:t>
      </w:r>
    </w:p>
    <w:p>
      <w:pPr>
        <w:spacing w:after="0" w:line="50" w:lineRule="exact"/>
        <w:rPr>
          <w:sz w:val="20"/>
          <w:szCs w:val="20"/>
          <w:color w:val="auto"/>
        </w:rPr>
      </w:pPr>
    </w:p>
    <w:p>
      <w:pPr>
        <w:ind w:left="20" w:right="280"/>
        <w:spacing w:after="0" w:line="289" w:lineRule="auto"/>
        <w:rPr>
          <w:sz w:val="20"/>
          <w:szCs w:val="20"/>
          <w:color w:val="auto"/>
        </w:rPr>
      </w:pPr>
      <w:r>
        <w:rPr>
          <w:rFonts w:ascii="Arial" w:cs="Arial" w:eastAsia="Arial" w:hAnsi="Arial"/>
          <w:sz w:val="18"/>
          <w:szCs w:val="18"/>
          <w:color w:val="auto"/>
        </w:rPr>
        <w:t>Provision for taxes on unrealized appreciation of investments Net asset value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-306705</wp:posOffset>
            </wp:positionV>
            <wp:extent cx="5257165" cy="3175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57165" cy="317500"/>
                    </a:xfrm>
                    <a:prstGeom prst="rect">
                      <a:avLst/>
                    </a:prstGeom>
                    <a:noFill/>
                  </pic:spPr>
                </pic:pic>
              </a:graphicData>
            </a:graphic>
          </wp:anchor>
        </w:drawing>
      </w:r>
    </w:p>
    <w:p>
      <w:pPr>
        <w:ind w:left="20" w:right="1860"/>
        <w:spacing w:after="0" w:line="308" w:lineRule="auto"/>
        <w:rPr>
          <w:sz w:val="20"/>
          <w:szCs w:val="20"/>
          <w:color w:val="auto"/>
        </w:rPr>
      </w:pPr>
      <w:r>
        <w:rPr>
          <w:rFonts w:ascii="Arial" w:cs="Arial" w:eastAsia="Arial" w:hAnsi="Arial"/>
          <w:sz w:val="16"/>
          <w:szCs w:val="16"/>
          <w:color w:val="auto"/>
        </w:rPr>
        <w:t>Per share market value at end of period Total return based on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-290195</wp:posOffset>
            </wp:positionV>
            <wp:extent cx="5257165"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257165"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Total return based on net asset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-121920</wp:posOffset>
            </wp:positionV>
            <wp:extent cx="5257165" cy="1631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257165"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Shares outstanding at end of period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Ratio/Supplemental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-130810</wp:posOffset>
            </wp:positionV>
            <wp:extent cx="5257165"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257165"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Net assets at end of period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Average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-130810</wp:posOffset>
            </wp:positionV>
            <wp:extent cx="5257165"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57165"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u w:val="single" w:color="auto"/>
          <w:color w:val="auto"/>
        </w:rPr>
        <w:t>Annualized ratios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260"/>
              <w:spacing w:after="0" w:line="253" w:lineRule="exact"/>
              <w:rPr>
                <w:sz w:val="20"/>
                <w:szCs w:val="20"/>
                <w:color w:val="auto"/>
              </w:rPr>
            </w:pPr>
            <w:r>
              <w:rPr>
                <w:rFonts w:ascii="Arial" w:cs="Arial" w:eastAsia="Arial" w:hAnsi="Arial"/>
                <w:sz w:val="18"/>
                <w:szCs w:val="18"/>
                <w:color w:val="auto"/>
              </w:rPr>
              <w:t>14.80</w:t>
            </w:r>
            <w:r>
              <w:rPr>
                <w:rFonts w:ascii="Arial" w:cs="Arial" w:eastAsia="Arial" w:hAnsi="Arial"/>
                <w:sz w:val="29"/>
                <w:szCs w:val="29"/>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line="253" w:lineRule="exact"/>
              <w:rPr>
                <w:sz w:val="20"/>
                <w:szCs w:val="20"/>
                <w:color w:val="auto"/>
              </w:rPr>
            </w:pPr>
            <w:r>
              <w:rPr>
                <w:rFonts w:ascii="Arial" w:cs="Arial" w:eastAsia="Arial" w:hAnsi="Arial"/>
                <w:sz w:val="18"/>
                <w:szCs w:val="18"/>
                <w:color w:val="auto"/>
              </w:rPr>
              <w:t>14.91</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340" w:type="dxa"/>
            <w:vAlign w:val="bottom"/>
            <w:gridSpan w:val="3"/>
          </w:tcPr>
          <w:p>
            <w:pPr>
              <w:jc w:val="right"/>
              <w:ind w:right="200"/>
              <w:spacing w:after="0" w:line="256" w:lineRule="exact"/>
              <w:rPr>
                <w:sz w:val="20"/>
                <w:szCs w:val="20"/>
                <w:color w:val="auto"/>
              </w:rPr>
            </w:pPr>
            <w:r>
              <w:rPr>
                <w:rFonts w:ascii="Arial" w:cs="Arial" w:eastAsia="Arial" w:hAnsi="Arial"/>
                <w:sz w:val="18"/>
                <w:szCs w:val="18"/>
                <w:color w:val="auto"/>
              </w:rPr>
              <w:t>(0.58)</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280" w:type="dxa"/>
            <w:vAlign w:val="bottom"/>
            <w:gridSpan w:val="2"/>
          </w:tcPr>
          <w:p>
            <w:pPr>
              <w:jc w:val="right"/>
              <w:ind w:right="140"/>
              <w:spacing w:after="0" w:line="256" w:lineRule="exact"/>
              <w:rPr>
                <w:sz w:val="20"/>
                <w:szCs w:val="20"/>
                <w:color w:val="auto"/>
              </w:rPr>
            </w:pPr>
            <w:r>
              <w:rPr>
                <w:rFonts w:ascii="Arial" w:cs="Arial" w:eastAsia="Arial" w:hAnsi="Arial"/>
                <w:sz w:val="18"/>
                <w:szCs w:val="18"/>
                <w:color w:val="auto"/>
              </w:rPr>
              <w:t>(0.32)</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340" w:type="dxa"/>
            <w:vAlign w:val="bottom"/>
            <w:gridSpan w:val="3"/>
          </w:tcPr>
          <w:p>
            <w:pPr>
              <w:jc w:val="right"/>
              <w:ind w:right="260"/>
              <w:spacing w:after="0" w:line="256" w:lineRule="exact"/>
              <w:rPr>
                <w:sz w:val="20"/>
                <w:szCs w:val="20"/>
                <w:color w:val="auto"/>
              </w:rPr>
            </w:pPr>
            <w:r>
              <w:rPr>
                <w:rFonts w:ascii="Arial" w:cs="Arial" w:eastAsia="Arial" w:hAnsi="Arial"/>
                <w:sz w:val="18"/>
                <w:szCs w:val="18"/>
                <w:color w:val="auto"/>
              </w:rPr>
              <w:t>1.39</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28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0.04</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340" w:type="dxa"/>
            <w:vAlign w:val="bottom"/>
            <w:gridSpan w:val="3"/>
          </w:tcPr>
          <w:p>
            <w:pPr>
              <w:jc w:val="right"/>
              <w:ind w:right="200"/>
              <w:spacing w:after="0" w:line="256" w:lineRule="exact"/>
              <w:rPr>
                <w:sz w:val="20"/>
                <w:szCs w:val="20"/>
                <w:color w:val="auto"/>
              </w:rPr>
            </w:pPr>
            <w:r>
              <w:rPr>
                <w:rFonts w:ascii="Arial" w:cs="Arial" w:eastAsia="Arial" w:hAnsi="Arial"/>
                <w:sz w:val="18"/>
                <w:szCs w:val="18"/>
                <w:color w:val="auto"/>
              </w:rPr>
              <w:t>(0.57)</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280" w:type="dxa"/>
            <w:vAlign w:val="bottom"/>
            <w:gridSpan w:val="2"/>
          </w:tcPr>
          <w:p>
            <w:pPr>
              <w:jc w:val="right"/>
              <w:ind w:right="140"/>
              <w:spacing w:after="0" w:line="256" w:lineRule="exact"/>
              <w:rPr>
                <w:sz w:val="20"/>
                <w:szCs w:val="20"/>
                <w:color w:val="auto"/>
              </w:rPr>
            </w:pPr>
            <w:r>
              <w:rPr>
                <w:rFonts w:ascii="Arial" w:cs="Arial" w:eastAsia="Arial" w:hAnsi="Arial"/>
                <w:sz w:val="18"/>
                <w:szCs w:val="18"/>
                <w:color w:val="auto"/>
              </w:rPr>
              <w:t>(0.01)</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53"/>
        </w:trPr>
        <w:tc>
          <w:tcPr>
            <w:tcW w:w="100" w:type="dxa"/>
            <w:vAlign w:val="bottom"/>
          </w:tcPr>
          <w:p>
            <w:pPr>
              <w:spacing w:after="0"/>
              <w:rPr>
                <w:sz w:val="21"/>
                <w:szCs w:val="21"/>
                <w:color w:val="auto"/>
              </w:rPr>
            </w:pPr>
          </w:p>
        </w:tc>
        <w:tc>
          <w:tcPr>
            <w:tcW w:w="1340" w:type="dxa"/>
            <w:vAlign w:val="bottom"/>
            <w:gridSpan w:val="3"/>
          </w:tcPr>
          <w:p>
            <w:pPr>
              <w:jc w:val="right"/>
              <w:ind w:right="260"/>
              <w:spacing w:after="0" w:line="253" w:lineRule="exact"/>
              <w:rPr>
                <w:sz w:val="20"/>
                <w:szCs w:val="20"/>
                <w:color w:val="auto"/>
              </w:rPr>
            </w:pPr>
            <w:r>
              <w:rPr>
                <w:rFonts w:ascii="Arial" w:cs="Arial" w:eastAsia="Arial" w:hAnsi="Arial"/>
                <w:sz w:val="18"/>
                <w:szCs w:val="18"/>
                <w:color w:val="auto"/>
              </w:rPr>
              <w:t>1.15</w:t>
            </w:r>
            <w:r>
              <w:rPr>
                <w:rFonts w:ascii="Arial" w:cs="Arial" w:eastAsia="Arial" w:hAnsi="Arial"/>
                <w:sz w:val="29"/>
                <w:szCs w:val="29"/>
                <w:color w:val="auto"/>
                <w:vertAlign w:val="superscript"/>
              </w:rPr>
              <w:t>(1)</w:t>
            </w:r>
          </w:p>
        </w:tc>
        <w:tc>
          <w:tcPr>
            <w:tcW w:w="100" w:type="dxa"/>
            <w:vAlign w:val="bottom"/>
          </w:tcPr>
          <w:p>
            <w:pPr>
              <w:spacing w:after="0"/>
              <w:rPr>
                <w:sz w:val="21"/>
                <w:szCs w:val="21"/>
                <w:color w:val="auto"/>
              </w:rPr>
            </w:pPr>
          </w:p>
        </w:tc>
        <w:tc>
          <w:tcPr>
            <w:tcW w:w="1280" w:type="dxa"/>
            <w:vAlign w:val="bottom"/>
            <w:gridSpan w:val="2"/>
          </w:tcPr>
          <w:p>
            <w:pPr>
              <w:jc w:val="right"/>
              <w:ind w:right="200"/>
              <w:spacing w:after="0" w:line="253" w:lineRule="exact"/>
              <w:rPr>
                <w:sz w:val="20"/>
                <w:szCs w:val="20"/>
                <w:color w:val="auto"/>
              </w:rPr>
            </w:pPr>
            <w:r>
              <w:rPr>
                <w:rFonts w:ascii="Arial" w:cs="Arial" w:eastAsia="Arial" w:hAnsi="Arial"/>
                <w:sz w:val="18"/>
                <w:szCs w:val="18"/>
                <w:color w:val="auto"/>
              </w:rPr>
              <w:t>0.43</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0"/>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15.72</w:t>
            </w:r>
          </w:p>
        </w:tc>
        <w:tc>
          <w:tcPr>
            <w:tcW w:w="4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900" w:type="dxa"/>
            <w:vAlign w:val="bottom"/>
          </w:tcPr>
          <w:p>
            <w:pPr>
              <w:jc w:val="right"/>
              <w:spacing w:after="0" w:line="199" w:lineRule="exact"/>
              <w:rPr>
                <w:sz w:val="20"/>
                <w:szCs w:val="20"/>
                <w:color w:val="auto"/>
              </w:rPr>
            </w:pPr>
            <w:r>
              <w:rPr>
                <w:rFonts w:ascii="Arial" w:cs="Arial" w:eastAsia="Arial" w:hAnsi="Arial"/>
                <w:sz w:val="18"/>
                <w:szCs w:val="18"/>
                <w:color w:val="auto"/>
              </w:rPr>
              <w:t>10.31</w:t>
            </w:r>
          </w:p>
        </w:tc>
        <w:tc>
          <w:tcPr>
            <w:tcW w:w="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199" w:lineRule="exact"/>
              <w:rPr>
                <w:sz w:val="20"/>
                <w:szCs w:val="20"/>
                <w:color w:val="auto"/>
              </w:rPr>
            </w:pPr>
            <w:r>
              <w:rPr>
                <w:rFonts w:ascii="Arial" w:cs="Arial" w:eastAsia="Arial" w:hAnsi="Arial"/>
                <w:sz w:val="18"/>
                <w:szCs w:val="18"/>
                <w:color w:val="auto"/>
              </w:rPr>
              <w:t>10.57</w:t>
            </w: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340" w:type="dxa"/>
            <w:vAlign w:val="bottom"/>
            <w:gridSpan w:val="3"/>
          </w:tcPr>
          <w:p>
            <w:pPr>
              <w:jc w:val="right"/>
              <w:ind w:right="100"/>
              <w:spacing w:after="0" w:line="256" w:lineRule="exact"/>
              <w:rPr>
                <w:sz w:val="20"/>
                <w:szCs w:val="20"/>
                <w:color w:val="auto"/>
              </w:rPr>
            </w:pPr>
            <w:r>
              <w:rPr>
                <w:rFonts w:ascii="Arial" w:cs="Arial" w:eastAsia="Arial" w:hAnsi="Arial"/>
                <w:sz w:val="18"/>
                <w:szCs w:val="18"/>
                <w:color w:val="auto"/>
              </w:rPr>
              <w:t>19.47%</w:t>
            </w:r>
            <w:r>
              <w:rPr>
                <w:rFonts w:ascii="Arial" w:cs="Arial" w:eastAsia="Arial" w:hAnsi="Arial"/>
                <w:sz w:val="29"/>
                <w:szCs w:val="29"/>
                <w:color w:val="auto"/>
                <w:vertAlign w:val="superscript"/>
              </w:rPr>
              <w:t>(2)</w:t>
            </w:r>
          </w:p>
        </w:tc>
        <w:tc>
          <w:tcPr>
            <w:tcW w:w="100" w:type="dxa"/>
            <w:vAlign w:val="bottom"/>
          </w:tcPr>
          <w:p>
            <w:pPr>
              <w:spacing w:after="0"/>
              <w:rPr>
                <w:sz w:val="22"/>
                <w:szCs w:val="22"/>
                <w:color w:val="auto"/>
              </w:rPr>
            </w:pPr>
          </w:p>
        </w:tc>
        <w:tc>
          <w:tcPr>
            <w:tcW w:w="128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(12.57)%</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3"/>
        </w:trPr>
        <w:tc>
          <w:tcPr>
            <w:tcW w:w="100" w:type="dxa"/>
            <w:vAlign w:val="bottom"/>
          </w:tcPr>
          <w:p>
            <w:pPr>
              <w:spacing w:after="0"/>
              <w:rPr>
                <w:sz w:val="21"/>
                <w:szCs w:val="21"/>
                <w:color w:val="auto"/>
              </w:rPr>
            </w:pPr>
          </w:p>
        </w:tc>
        <w:tc>
          <w:tcPr>
            <w:tcW w:w="1340" w:type="dxa"/>
            <w:vAlign w:val="bottom"/>
            <w:gridSpan w:val="3"/>
          </w:tcPr>
          <w:p>
            <w:pPr>
              <w:jc w:val="right"/>
              <w:ind w:right="100"/>
              <w:spacing w:after="0" w:line="253" w:lineRule="exact"/>
              <w:rPr>
                <w:sz w:val="20"/>
                <w:szCs w:val="20"/>
                <w:color w:val="auto"/>
              </w:rPr>
            </w:pPr>
            <w:r>
              <w:rPr>
                <w:rFonts w:ascii="Arial" w:cs="Arial" w:eastAsia="Arial" w:hAnsi="Arial"/>
                <w:sz w:val="18"/>
                <w:szCs w:val="18"/>
                <w:color w:val="auto"/>
              </w:rPr>
              <w:t>6.22%</w:t>
            </w:r>
            <w:r>
              <w:rPr>
                <w:rFonts w:ascii="Arial" w:cs="Arial" w:eastAsia="Arial" w:hAnsi="Arial"/>
                <w:sz w:val="29"/>
                <w:szCs w:val="29"/>
                <w:color w:val="auto"/>
                <w:vertAlign w:val="superscript"/>
              </w:rPr>
              <w:t>(2)</w:t>
            </w:r>
          </w:p>
        </w:tc>
        <w:tc>
          <w:tcPr>
            <w:tcW w:w="100" w:type="dxa"/>
            <w:vAlign w:val="bottom"/>
          </w:tcPr>
          <w:p>
            <w:pPr>
              <w:spacing w:after="0"/>
              <w:rPr>
                <w:sz w:val="21"/>
                <w:szCs w:val="21"/>
                <w:color w:val="auto"/>
              </w:rPr>
            </w:pPr>
          </w:p>
        </w:tc>
        <w:tc>
          <w:tcPr>
            <w:tcW w:w="1280" w:type="dxa"/>
            <w:vAlign w:val="bottom"/>
            <w:gridSpan w:val="2"/>
          </w:tcPr>
          <w:p>
            <w:pPr>
              <w:jc w:val="right"/>
              <w:spacing w:after="0" w:line="253" w:lineRule="exact"/>
              <w:rPr>
                <w:sz w:val="20"/>
                <w:szCs w:val="20"/>
                <w:color w:val="auto"/>
              </w:rPr>
            </w:pPr>
            <w:r>
              <w:rPr>
                <w:rFonts w:ascii="Arial" w:cs="Arial" w:eastAsia="Arial" w:hAnsi="Arial"/>
                <w:sz w:val="18"/>
                <w:szCs w:val="18"/>
                <w:color w:val="auto"/>
              </w:rPr>
              <w:t>(0.34)%</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w w:val="97"/>
              </w:rPr>
              <w:t>19,320,100</w:t>
            </w:r>
          </w:p>
        </w:tc>
        <w:tc>
          <w:tcPr>
            <w:tcW w:w="1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19,320,100</w:t>
            </w:r>
          </w:p>
        </w:tc>
        <w:tc>
          <w:tcPr>
            <w:tcW w:w="0" w:type="dxa"/>
            <w:vAlign w:val="bottom"/>
          </w:tcPr>
          <w:p>
            <w:pPr>
              <w:spacing w:after="0"/>
              <w:rPr>
                <w:sz w:val="1"/>
                <w:szCs w:val="1"/>
                <w:color w:val="auto"/>
              </w:rPr>
            </w:pPr>
          </w:p>
        </w:tc>
      </w:tr>
      <w:tr>
        <w:trPr>
          <w:trHeight w:val="418"/>
        </w:trPr>
        <w:tc>
          <w:tcPr>
            <w:tcW w:w="1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303,649,796</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287,125,842</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293,486,377</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281,410,486</w:t>
            </w:r>
          </w:p>
        </w:tc>
        <w:tc>
          <w:tcPr>
            <w:tcW w:w="0" w:type="dxa"/>
            <w:vAlign w:val="bottom"/>
          </w:tcPr>
          <w:p>
            <w:pPr>
              <w:spacing w:after="0"/>
              <w:rPr>
                <w:sz w:val="1"/>
                <w:szCs w:val="1"/>
                <w:color w:val="auto"/>
              </w:rPr>
            </w:pPr>
          </w:p>
        </w:tc>
      </w:tr>
    </w:tbl>
    <w:p>
      <w:pPr>
        <w:spacing w:after="0" w:line="207" w:lineRule="exact"/>
        <w:rPr>
          <w:sz w:val="20"/>
          <w:szCs w:val="20"/>
          <w:color w:val="auto"/>
        </w:rPr>
      </w:pPr>
    </w:p>
    <w:p>
      <w:pPr>
        <w:sectPr>
          <w:pgSz w:w="11900" w:h="16838" w:orient="portrait"/>
          <w:cols w:equalWidth="0" w:num="2">
            <w:col w:w="4700" w:space="720"/>
            <w:col w:w="4679"/>
          </w:cols>
          <w:pgMar w:left="36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5420" w:type="dxa"/>
            <w:vAlign w:val="bottom"/>
            <w:shd w:val="clear" w:color="auto" w:fill="CCEEFF"/>
          </w:tcPr>
          <w:p>
            <w:pPr>
              <w:ind w:left="20"/>
              <w:spacing w:after="0" w:line="265" w:lineRule="exact"/>
              <w:rPr>
                <w:sz w:val="20"/>
                <w:szCs w:val="20"/>
                <w:color w:val="auto"/>
              </w:rPr>
            </w:pPr>
            <w:r>
              <w:rPr>
                <w:rFonts w:ascii="Arial" w:cs="Arial" w:eastAsia="Arial" w:hAnsi="Arial"/>
                <w:sz w:val="18"/>
                <w:szCs w:val="18"/>
                <w:color w:val="auto"/>
              </w:rPr>
              <w:t>Ratio of gross operating expenses to average net assets</w:t>
            </w:r>
            <w:r>
              <w:rPr>
                <w:rFonts w:ascii="Arial" w:cs="Arial" w:eastAsia="Arial" w:hAnsi="Arial"/>
                <w:sz w:val="30"/>
                <w:szCs w:val="30"/>
                <w:color w:val="auto"/>
                <w:vertAlign w:val="superscript"/>
              </w:rPr>
              <w:t>(3)</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13.11 %</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7.68 %</w:t>
            </w:r>
          </w:p>
        </w:tc>
      </w:tr>
      <w:tr>
        <w:trPr>
          <w:trHeight w:val="257"/>
        </w:trPr>
        <w:tc>
          <w:tcPr>
            <w:tcW w:w="5420" w:type="dxa"/>
            <w:vAlign w:val="bottom"/>
          </w:tcPr>
          <w:p>
            <w:pPr>
              <w:ind w:left="20"/>
              <w:spacing w:after="0" w:line="256" w:lineRule="exact"/>
              <w:rPr>
                <w:sz w:val="20"/>
                <w:szCs w:val="20"/>
                <w:color w:val="auto"/>
              </w:rPr>
            </w:pPr>
            <w:r>
              <w:rPr>
                <w:rFonts w:ascii="Arial" w:cs="Arial" w:eastAsia="Arial" w:hAnsi="Arial"/>
                <w:sz w:val="18"/>
                <w:szCs w:val="18"/>
                <w:color w:val="auto"/>
              </w:rPr>
              <w:t>Ratio of net income tax provisions to average net assets</w:t>
            </w:r>
            <w:r>
              <w:rPr>
                <w:rFonts w:ascii="Arial" w:cs="Arial" w:eastAsia="Arial" w:hAnsi="Arial"/>
                <w:sz w:val="29"/>
                <w:szCs w:val="29"/>
                <w:color w:val="auto"/>
                <w:vertAlign w:val="superscript"/>
              </w:rPr>
              <w:t>(3)</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(8.41) %</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(0.48) %</w:t>
            </w:r>
          </w:p>
        </w:tc>
      </w:tr>
      <w:tr>
        <w:trPr>
          <w:trHeight w:val="20"/>
        </w:trPr>
        <w:tc>
          <w:tcPr>
            <w:tcW w:w="54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542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Ratio of net operating expenses to average net assets</w:t>
            </w:r>
            <w:r>
              <w:rPr>
                <w:rFonts w:ascii="Arial" w:cs="Arial" w:eastAsia="Arial" w:hAnsi="Arial"/>
                <w:sz w:val="28"/>
                <w:szCs w:val="28"/>
                <w:color w:val="auto"/>
                <w:vertAlign w:val="superscript"/>
              </w:rPr>
              <w:t>(3)</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4.70 %</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7.20 %</w:t>
            </w:r>
          </w:p>
        </w:tc>
      </w:tr>
      <w:tr>
        <w:trPr>
          <w:trHeight w:val="390"/>
        </w:trPr>
        <w:tc>
          <w:tcPr>
            <w:tcW w:w="5420" w:type="dxa"/>
            <w:vAlign w:val="bottom"/>
          </w:tcPr>
          <w:p>
            <w:pPr>
              <w:ind w:left="20"/>
              <w:spacing w:after="0"/>
              <w:rPr>
                <w:sz w:val="20"/>
                <w:szCs w:val="20"/>
                <w:color w:val="auto"/>
              </w:rPr>
            </w:pPr>
            <w:r>
              <w:rPr>
                <w:rFonts w:ascii="Arial" w:cs="Arial" w:eastAsia="Arial" w:hAnsi="Arial"/>
                <w:sz w:val="18"/>
                <w:szCs w:val="18"/>
                <w:color w:val="auto"/>
              </w:rPr>
              <w:t>Ratio of net investment loss to average net assets</w:t>
            </w:r>
            <w:r>
              <w:rPr>
                <w:rFonts w:ascii="Arial" w:cs="Arial" w:eastAsia="Arial" w:hAnsi="Arial"/>
                <w:sz w:val="30"/>
                <w:szCs w:val="30"/>
                <w:color w:val="auto"/>
                <w:vertAlign w:val="superscript"/>
              </w:rPr>
              <w:t>(3)</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(7.69) %</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(4.45)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86360</wp:posOffset>
            </wp:positionV>
            <wp:extent cx="6172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399" w:lineRule="exact"/>
        <w:rPr>
          <w:sz w:val="20"/>
          <w:szCs w:val="20"/>
          <w:color w:val="auto"/>
        </w:rPr>
      </w:pPr>
    </w:p>
    <w:p>
      <w:pPr>
        <w:ind w:left="300" w:hanging="27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weighted average number of shares outstanding for the year/period.</w:t>
      </w:r>
    </w:p>
    <w:p>
      <w:pPr>
        <w:spacing w:after="0" w:line="117" w:lineRule="exact"/>
        <w:rPr>
          <w:rFonts w:ascii="Arial" w:cs="Arial" w:eastAsia="Arial" w:hAnsi="Arial"/>
          <w:sz w:val="18"/>
          <w:szCs w:val="18"/>
          <w:color w:val="auto"/>
        </w:rPr>
      </w:pPr>
    </w:p>
    <w:p>
      <w:pPr>
        <w:jc w:val="both"/>
        <w:ind w:left="300" w:right="539" w:hanging="272"/>
        <w:spacing w:after="0" w:line="264" w:lineRule="auto"/>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return based on market value is based on the change in market price per share between the opening and ending market values per share in the period. Total return based on net asset value is based upon the change in net asset value per share between the opening and ending net asset values per share</w:t>
      </w:r>
    </w:p>
    <w:p>
      <w:pPr>
        <w:spacing w:after="0" w:line="73" w:lineRule="exact"/>
        <w:rPr>
          <w:rFonts w:ascii="Arial" w:cs="Arial" w:eastAsia="Arial" w:hAnsi="Arial"/>
          <w:sz w:val="18"/>
          <w:szCs w:val="18"/>
          <w:color w:val="auto"/>
        </w:rPr>
      </w:pPr>
    </w:p>
    <w:p>
      <w:pPr>
        <w:jc w:val="both"/>
        <w:ind w:left="300" w:right="519" w:hanging="272"/>
        <w:spacing w:after="0" w:line="302" w:lineRule="auto"/>
        <w:tabs>
          <w:tab w:leader="none" w:pos="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Financial Highlights for periods of less than one year are annualized and the ratios of operating expenses to average net assets and net investment loss to average net assets are adjusted accordingly. Non-recurring expenses are not annualized. For the three and six months ended June 30, 2015, and 2014, the Company did not incur any non-recurring expenses. Because the ratios are calculated for the Company’s common stock taken as a whole, an individual investor’s ratios may vary from these ratios.</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INCOME TAX</w:t>
      </w:r>
    </w:p>
    <w:p>
      <w:pPr>
        <w:spacing w:after="0" w:line="121"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The Company and its wholly-owned subsidiaries account for income taxes as C Corporations that are subject to federal and state corporate income taxes. These subsidiaries hold certain pass-through companies in connection with the Company’s proposed qualification as a RIC.</w:t>
      </w:r>
    </w:p>
    <w:p>
      <w:pPr>
        <w:spacing w:after="0" w:line="73"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For the three and six months ended June 30, 2015, neither the Company nor its subsidiaries recorded a current income tax expense or benefit since they had net operating losses and capital loss carryforwards from prior years and a net operating loss for these periods. For the three and six months ended June 30, 2014, the Company did not recognize a current income tax expense or benefit for the same reasons.</w:t>
      </w:r>
    </w:p>
    <w:p>
      <w:pPr>
        <w:spacing w:after="0" w:line="79" w:lineRule="exact"/>
        <w:rPr>
          <w:sz w:val="20"/>
          <w:szCs w:val="20"/>
          <w:color w:val="auto"/>
        </w:rPr>
      </w:pPr>
    </w:p>
    <w:p>
      <w:pPr>
        <w:jc w:val="both"/>
        <w:ind w:left="60" w:right="539" w:firstLine="270"/>
        <w:spacing w:after="0" w:line="264" w:lineRule="auto"/>
        <w:rPr>
          <w:sz w:val="20"/>
          <w:szCs w:val="20"/>
          <w:color w:val="auto"/>
        </w:rPr>
      </w:pPr>
      <w:r>
        <w:rPr>
          <w:rFonts w:ascii="Arial" w:cs="Arial" w:eastAsia="Arial" w:hAnsi="Arial"/>
          <w:sz w:val="18"/>
          <w:szCs w:val="18"/>
          <w:color w:val="auto"/>
        </w:rPr>
        <w:t>The Company and its wholly-owned subsidiaries recorded deferred income tax benefits and expenses for the three and six months ended June 30, 2015, which consisted primarily of temporary differences related to certain expenses, net operating losses, capital losses and temporary differences arising from differences</w:t>
      </w:r>
    </w:p>
    <w:p>
      <w:pPr>
        <w:spacing w:after="0" w:line="200" w:lineRule="exact"/>
        <w:rPr>
          <w:sz w:val="20"/>
          <w:szCs w:val="20"/>
          <w:color w:val="auto"/>
        </w:rPr>
      </w:pPr>
    </w:p>
    <w:p>
      <w:pPr>
        <w:spacing w:after="0" w:line="3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41" w:name="page42"/>
    <w:bookmarkEnd w:id="4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2015 (Unaudited)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INCOME TAX – (continued)</w:t>
      </w:r>
    </w:p>
    <w:p>
      <w:pPr>
        <w:spacing w:after="0" w:line="121" w:lineRule="exact"/>
        <w:rPr>
          <w:sz w:val="20"/>
          <w:szCs w:val="20"/>
          <w:color w:val="auto"/>
        </w:rPr>
      </w:pPr>
    </w:p>
    <w:p>
      <w:pPr>
        <w:jc w:val="both"/>
        <w:ind w:left="60" w:right="519"/>
        <w:spacing w:after="0" w:line="277" w:lineRule="auto"/>
        <w:rPr>
          <w:sz w:val="20"/>
          <w:szCs w:val="20"/>
          <w:color w:val="auto"/>
        </w:rPr>
      </w:pPr>
      <w:r>
        <w:rPr>
          <w:rFonts w:ascii="Arial" w:cs="Arial" w:eastAsia="Arial" w:hAnsi="Arial"/>
          <w:sz w:val="18"/>
          <w:szCs w:val="18"/>
          <w:color w:val="auto"/>
        </w:rPr>
        <w:t>between the tax basis and financial reporting basis in underlying investments. For the three and six months ended June 30, 2015 and 2014, the Company recognized net deferred income tax provisions/(benefits) as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4"/>
                <w:szCs w:val="14"/>
                <w:b w:val="1"/>
                <w:bCs w:val="1"/>
                <w:color w:val="auto"/>
              </w:rPr>
              <w:t>Three months ended June 30,</w:t>
            </w:r>
          </w:p>
        </w:tc>
      </w:tr>
      <w:tr>
        <w:trPr>
          <w:trHeight w:val="196"/>
        </w:trPr>
        <w:tc>
          <w:tcPr>
            <w:tcW w:w="56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Borders>
              <w:bottom w:val="single" w:sz="8" w:color="auto"/>
            </w:tcBorders>
          </w:tcPr>
          <w:p>
            <w:pPr>
              <w:spacing w:after="0"/>
              <w:rPr>
                <w:sz w:val="17"/>
                <w:szCs w:val="17"/>
                <w:color w:val="auto"/>
              </w:rPr>
            </w:pPr>
          </w:p>
        </w:tc>
      </w:tr>
      <w:tr>
        <w:trPr>
          <w:trHeight w:val="210"/>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color w:val="auto"/>
                <w:w w:val="95"/>
              </w:rPr>
              <w:t>(Unaudited)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(Unaudited)</w:t>
            </w:r>
          </w:p>
        </w:tc>
      </w:tr>
      <w:tr>
        <w:trPr>
          <w:trHeight w:val="216"/>
        </w:trPr>
        <w:tc>
          <w:tcPr>
            <w:tcW w:w="56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for taxes on net investment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2,494,459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2,359,369</w:t>
            </w: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(Provision)/Benefit for taxes on realized gains/losses on investments</w:t>
            </w: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(5,567,830)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2,959,998</w:t>
            </w:r>
          </w:p>
        </w:tc>
      </w:tr>
      <w:tr>
        <w:trPr>
          <w:trHeight w:val="202"/>
        </w:trPr>
        <w:tc>
          <w:tcPr>
            <w:tcW w:w="5660" w:type="dxa"/>
            <w:vAlign w:val="bottom"/>
            <w:tcBorders>
              <w:right w:val="single" w:sz="8" w:color="CCEEFF"/>
            </w:tcBorders>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(Provision)/Benefit for taxes on unrealized appreciation/depreciation on</w:t>
            </w: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r>
      <w:tr>
        <w:trPr>
          <w:trHeight w:val="230"/>
        </w:trPr>
        <w:tc>
          <w:tcPr>
            <w:tcW w:w="56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2,372,190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(4,684,314)</w:t>
            </w:r>
          </w:p>
        </w:tc>
      </w:tr>
      <w:tr>
        <w:trPr>
          <w:trHeight w:val="20"/>
        </w:trPr>
        <w:tc>
          <w:tcPr>
            <w:tcW w:w="56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EEFF"/>
          </w:tcPr>
          <w:p>
            <w:pPr>
              <w:spacing w:after="0" w:line="20" w:lineRule="exact"/>
              <w:rPr>
                <w:sz w:val="1"/>
                <w:szCs w:val="1"/>
                <w:color w:val="auto"/>
              </w:rPr>
            </w:pPr>
          </w:p>
        </w:tc>
      </w:tr>
      <w:tr>
        <w:trPr>
          <w:trHeight w:val="210"/>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Net Deferred Income Tax (Provision)/Benefit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(701,181)</w:t>
            </w:r>
          </w:p>
        </w:tc>
        <w:tc>
          <w:tcPr>
            <w:tcW w:w="2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635,053</w:t>
            </w:r>
          </w:p>
        </w:tc>
      </w:tr>
      <w:tr>
        <w:trPr>
          <w:trHeight w:val="20"/>
        </w:trPr>
        <w:tc>
          <w:tcPr>
            <w:tcW w:w="5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r>
      <w:tr>
        <w:trPr>
          <w:trHeight w:val="358"/>
        </w:trPr>
        <w:tc>
          <w:tcPr>
            <w:tcW w:w="5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6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Borders>
              <w:bottom w:val="single" w:sz="8" w:color="auto"/>
            </w:tcBorders>
          </w:tcPr>
          <w:p>
            <w:pPr>
              <w:spacing w:after="0"/>
              <w:rPr>
                <w:sz w:val="17"/>
                <w:szCs w:val="17"/>
                <w:color w:val="auto"/>
              </w:rPr>
            </w:pPr>
          </w:p>
        </w:tc>
      </w:tr>
      <w:tr>
        <w:trPr>
          <w:trHeight w:val="210"/>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4"/>
                <w:szCs w:val="14"/>
                <w:color w:val="auto"/>
                <w:w w:val="95"/>
              </w:rPr>
              <w:t>(Unaudited)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(Unaudited)</w:t>
            </w:r>
          </w:p>
        </w:tc>
      </w:tr>
      <w:tr>
        <w:trPr>
          <w:trHeight w:val="216"/>
        </w:trPr>
        <w:tc>
          <w:tcPr>
            <w:tcW w:w="56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for taxes on net investment loss</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7,718,070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4,372,283</w:t>
            </w:r>
          </w:p>
        </w:tc>
        <w:tc>
          <w:tcPr>
            <w:tcW w:w="160" w:type="dxa"/>
            <w:vAlign w:val="bottom"/>
            <w:tcBorders>
              <w:left w:val="single" w:sz="8" w:color="CCEEFF"/>
            </w:tcBorders>
            <w:shd w:val="clear" w:color="auto" w:fill="CCEEFF"/>
          </w:tcPr>
          <w:p>
            <w:pPr>
              <w:spacing w:after="0"/>
              <w:rPr>
                <w:sz w:val="18"/>
                <w:szCs w:val="18"/>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Provision for taxes on realized gains on investments</w:t>
            </w: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(10,964,904)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(278,533)</w:t>
            </w:r>
          </w:p>
        </w:tc>
      </w:tr>
      <w:tr>
        <w:trPr>
          <w:trHeight w:val="216"/>
        </w:trPr>
        <w:tc>
          <w:tcPr>
            <w:tcW w:w="56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taxes on unrealized appreciation of investments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(8,998,803)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(3,429,331)</w:t>
            </w:r>
          </w:p>
        </w:tc>
      </w:tr>
      <w:tr>
        <w:trPr>
          <w:trHeight w:val="20"/>
        </w:trPr>
        <w:tc>
          <w:tcPr>
            <w:tcW w:w="56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r>
      <w:tr>
        <w:trPr>
          <w:trHeight w:val="210"/>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Net Deferred Income Tax (Provision)/Benefit</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(12,245,637)</w:t>
            </w:r>
          </w:p>
        </w:tc>
        <w:tc>
          <w:tcPr>
            <w:tcW w:w="2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664,419</w:t>
            </w:r>
          </w:p>
        </w:tc>
        <w:tc>
          <w:tcPr>
            <w:tcW w:w="160" w:type="dxa"/>
            <w:vAlign w:val="bottom"/>
          </w:tcPr>
          <w:p>
            <w:pPr>
              <w:spacing w:after="0"/>
              <w:rPr>
                <w:sz w:val="18"/>
                <w:szCs w:val="18"/>
                <w:color w:val="auto"/>
              </w:rPr>
            </w:pPr>
          </w:p>
        </w:tc>
      </w:tr>
      <w:tr>
        <w:trPr>
          <w:trHeight w:val="20"/>
        </w:trPr>
        <w:tc>
          <w:tcPr>
            <w:tcW w:w="56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-1234440</wp:posOffset>
            </wp:positionV>
            <wp:extent cx="5213985"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-153670</wp:posOffset>
            </wp:positionV>
            <wp:extent cx="5213985"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-1054100</wp:posOffset>
            </wp:positionV>
            <wp:extent cx="520573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74"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For federal and state purposes, a portion of the Company’s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79" w:lineRule="exact"/>
        <w:rPr>
          <w:sz w:val="20"/>
          <w:szCs w:val="20"/>
          <w:color w:val="auto"/>
        </w:rPr>
      </w:pPr>
    </w:p>
    <w:p>
      <w:pPr>
        <w:jc w:val="both"/>
        <w:ind w:left="60" w:right="519" w:firstLine="270"/>
        <w:spacing w:after="0" w:line="269" w:lineRule="auto"/>
        <w:rPr>
          <w:sz w:val="20"/>
          <w:szCs w:val="20"/>
          <w:color w:val="auto"/>
        </w:rPr>
      </w:pPr>
      <w:r>
        <w:rPr>
          <w:rFonts w:ascii="Arial" w:cs="Arial" w:eastAsia="Arial" w:hAnsi="Arial"/>
          <w:sz w:val="17"/>
          <w:szCs w:val="17"/>
          <w:color w:val="auto"/>
        </w:rPr>
        <w:t>In September 2014, the Company filed its 2013 tax return as a regulated investment company “RIC” and is seeking to be granted RIC status for the 2013 taxable year. However, it will not be eligible to elect to be treated as a RIC for the 2013 taxable year unless it is certified by the SEC as “principally engaged in the furnishing of capital to other corporations which are principally engaged in the development or exploitation of inventions, technological improvements, new processes, or products not previously generally available” for the 2013 taxable year (such certification, an “SEC Certification”). Although it filed an application with the SEC for an SEC Certification for the 2013 taxable year, there can be no assurance that it will receive an SEC Certification. In the event that it does not receive such SEC Certification or it is otherwise unable to meet all of the qualifications to be treated as a RIC for 2013, it will be taxed as a C Corporation for the 2013 taxable year. Should it not qualify as a RIC for 2013, it intends to elect to be treated as a RIC for the 2014 taxable year and 2015 taxable year, if management determines that it is in its best interests to do so. For example, it may not be in the Company’s best interests in the event that it experiences large operating losses or have large loss carryforwards. If the Company opts not to do so or it is unable to qualify, it will continue to be taxed as a C corporation under the Code for the 2014 taxable year and 2015 taxable year.</w:t>
      </w:r>
    </w:p>
    <w:p>
      <w:pPr>
        <w:spacing w:after="0" w:line="72" w:lineRule="exact"/>
        <w:rPr>
          <w:sz w:val="20"/>
          <w:szCs w:val="20"/>
          <w:color w:val="auto"/>
        </w:rPr>
      </w:pPr>
    </w:p>
    <w:p>
      <w:pPr>
        <w:jc w:val="both"/>
        <w:ind w:left="60" w:right="519" w:firstLine="270"/>
        <w:spacing w:after="0" w:line="273" w:lineRule="auto"/>
        <w:rPr>
          <w:sz w:val="20"/>
          <w:szCs w:val="20"/>
          <w:color w:val="auto"/>
        </w:rPr>
      </w:pPr>
      <w:r>
        <w:rPr>
          <w:rFonts w:ascii="Arial" w:cs="Arial" w:eastAsia="Arial" w:hAnsi="Arial"/>
          <w:sz w:val="17"/>
          <w:szCs w:val="17"/>
          <w:color w:val="auto"/>
        </w:rPr>
        <w:t>Should the Company qualify as a RIC, it generally will not pay corporate-level U.S. federal income taxes on any net ordinary income or capital gains that the Company distributes to its stockholders as dividends and claims dividends paid deductions to compute taxable income. A RIC will not be eligible to utilize net operating losses. However, the net operating losses may become available should the Company disqualify as a RIC and become a C corporation in the future. In the event that the Company qualifies as a RIC, the Company itself will no longer be required to recognize deferred tax assets or liabilities, other than those that may be associated with its taxable subsidiaries, the GSVC Holdings.</w:t>
      </w:r>
    </w:p>
    <w:p>
      <w:pPr>
        <w:spacing w:after="0" w:line="200" w:lineRule="exact"/>
        <w:rPr>
          <w:sz w:val="20"/>
          <w:szCs w:val="20"/>
          <w:color w:val="auto"/>
        </w:rPr>
      </w:pPr>
    </w:p>
    <w:p>
      <w:pPr>
        <w:spacing w:after="0" w:line="33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2015 (Unaudited)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INCOME TAX – (continued)</w:t>
      </w:r>
    </w:p>
    <w:p>
      <w:pPr>
        <w:spacing w:after="0" w:line="121" w:lineRule="exact"/>
        <w:rPr>
          <w:sz w:val="20"/>
          <w:szCs w:val="20"/>
          <w:color w:val="auto"/>
        </w:rPr>
      </w:pPr>
    </w:p>
    <w:p>
      <w:pPr>
        <w:jc w:val="both"/>
        <w:ind w:left="40" w:right="519" w:firstLine="270"/>
        <w:spacing w:after="0" w:line="285" w:lineRule="auto"/>
        <w:rPr>
          <w:sz w:val="20"/>
          <w:szCs w:val="20"/>
          <w:color w:val="auto"/>
        </w:rPr>
      </w:pPr>
      <w:r>
        <w:rPr>
          <w:rFonts w:ascii="Arial" w:cs="Arial" w:eastAsia="Arial" w:hAnsi="Arial"/>
          <w:sz w:val="16"/>
          <w:szCs w:val="16"/>
          <w:color w:val="auto"/>
        </w:rPr>
        <w:t>In the event the Company converts to a RIC from a C Corporation it may be required to pay a corporate-level tax on the net amount of the net built-in gains, if any, in its assets (the amount by which the net fair market value of the Company’s assets exceeds the net adjusted basis in its assets) as of the date of conversion (i.e., the beginning of the first taxable year that the Company qualifies as a RIC) to the extent that such gains are recognized by the Company during the applicable recognition period, which is the ten-year period (or shorter applicable period) beginning on the date of conversion. Alternatively, the Company may make a special election to cause the gain to be recognized at the time of the conversion. In that event, the Company would be required to recognize such built-in gain as if its assets were sold at the time of the conversion. The Company does not anticipate making this election at this time. Any corporate-level built-in gain tax is payable at the time the built-in gains are recognized (which generally will be the years in which the built-in gain assets are sold in a taxable transaction). The amount of this tax will vary depending on the assets that are actually sold by the Company in this 10-year period, the actual amount of net built-in gain or loss present in those assets as of the date of conversion, and the effective tax rates at such times. The payment of any such corporate-level tax on built-in gain will be a Company expense that will reduce the amount available for distribution to stockholders. The built-in gains tax is calculated by determining the RIC’s net unrealized built-in gain, if any, by which the fair market value of the assets of the RIC at the beginning of its first RIC year exceeds the aggregate adjusted basis of such assets at that time. As of January 1, 2013, the Company did not have net unrealized built-in gain. Accordingly, the built-in gains tax will not apply should the Company elect to be treated as a RIC for the 2013 tax year. Should the Company not obtain SEC Certification for the 2013 tax year and it elects to be a RIC for the 2014 tax year, then it is expected that it should not incur built-in gains tax for the 2014 tax year due to the fact that there are sufficient net capital loss carryforwards alone to completely offset recognized built-in gains as well as available net operating losses.</w:t>
      </w:r>
    </w:p>
    <w:p>
      <w:pPr>
        <w:spacing w:after="0" w:line="281" w:lineRule="exact"/>
        <w:rPr>
          <w:sz w:val="20"/>
          <w:szCs w:val="20"/>
          <w:color w:val="auto"/>
        </w:rPr>
      </w:pPr>
    </w:p>
    <w:p>
      <w:pPr>
        <w:jc w:val="both"/>
        <w:ind w:left="40" w:right="539" w:firstLine="270"/>
        <w:spacing w:after="0" w:line="255" w:lineRule="auto"/>
        <w:rPr>
          <w:sz w:val="20"/>
          <w:szCs w:val="20"/>
          <w:color w:val="auto"/>
        </w:rPr>
      </w:pPr>
      <w:r>
        <w:rPr>
          <w:rFonts w:ascii="Arial" w:cs="Arial" w:eastAsia="Arial" w:hAnsi="Arial"/>
          <w:sz w:val="18"/>
          <w:szCs w:val="18"/>
          <w:color w:val="auto"/>
        </w:rPr>
        <w:t>In addition to meeting other requirements, the Company must generally distribute at least 90% of its investment company taxable income to qualify for the special treatment accorded to a RIC and maintain its RIC status. As part of maintaining RIC status,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 (2) the extended due date for filing the federal income tax return for that fiscal year.</w:t>
      </w:r>
    </w:p>
    <w:p>
      <w:pPr>
        <w:spacing w:after="0" w:line="85"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The Company believes that its status as a RIC remains uncertain. For purposes of its financial statements, the Company has not recognized any tax benefits as a RIC and continued to provide tax liabilities as though it were a C Corporation through the reporting period including liabilities associated with the uncertain tax position, which arise from taxable temporary differences. As a result of the 2013 tax return filing as a RIC, during the six months ended June 30, 2015, the Company increased gross unrecognized tax benefits to $18,242,537 of which $16,990,027 of unrecognized tax benefits that, if recognized, would affect its effective tax rate by reducing net deferred tax liability. The Company believes that it is reasonably possible that the full amount of unrecognized tax benefits may be reduced within the next 12 months based upon the Company satisfying the RIC Asset and Income tests for the 2014 tax year.</w:t>
      </w:r>
    </w:p>
    <w:p>
      <w:pPr>
        <w:spacing w:after="0" w:line="84"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Company identified its major tax jurisdictions as U.S. federal and California and may be subject to the taxing authorities examination for the tax years 2011 ~ 2014 and 2010 ~ 2014, respectively.</w:t>
      </w:r>
    </w:p>
    <w:p>
      <w:pPr>
        <w:spacing w:after="0" w:line="62"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Company accrues all interest and penalties related to uncertain tax positions as incurred. As of June 30, 2015, there were no interest or penalties incurred related to uncertain tax positions.</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 w:name="page44"/>
    <w:bookmarkEnd w:id="4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2015 (Unaudited)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LONG TERM LIABILITIES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Convertible Senior Notes payable</w:t>
      </w:r>
    </w:p>
    <w:p>
      <w:pPr>
        <w:spacing w:after="0" w:line="117" w:lineRule="exact"/>
        <w:rPr>
          <w:sz w:val="20"/>
          <w:szCs w:val="20"/>
          <w:color w:val="auto"/>
        </w:rPr>
      </w:pPr>
    </w:p>
    <w:p>
      <w:pPr>
        <w:jc w:val="both"/>
        <w:ind w:left="60" w:right="519" w:firstLine="270"/>
        <w:spacing w:after="0" w:line="253" w:lineRule="auto"/>
        <w:rPr>
          <w:sz w:val="20"/>
          <w:szCs w:val="20"/>
          <w:color w:val="auto"/>
        </w:rPr>
      </w:pPr>
      <w:r>
        <w:rPr>
          <w:rFonts w:ascii="Arial" w:cs="Arial" w:eastAsia="Arial" w:hAnsi="Arial"/>
          <w:sz w:val="18"/>
          <w:szCs w:val="18"/>
          <w:color w:val="auto"/>
        </w:rPr>
        <w:t>On September 17, 2013, the Company issued $69 million aggregate principal amount of the Convertible Senior Notes (including $9 million aggregate principal amount issued pursuant to the exercise of the initial purchasers’ option to purchase additional Convertible Senior Notes). The Convertible Senior Notes bear interest at a fixed rate of 5.25% per year, payable semi-annually in arrears on March 15 and September 15 of each year, commencing on March 15, 2014. The Convertible Senior Notes are convertible into shares of the Company’s common stock based on an initial conversion rate of 61.5091 shares of the Company’s common stock per $1,000 of principal amount of Convertible Senior Notes, which is equivalent to an initial conversion price of approximately $16.26 per share of common stock. The Convertible Senior Notes mature on September 15, 2018, unless previously purchased or converted in accordance with their terms. The Company does not have the right to redeem the Convertible Senior Notes prior to maturity.</w:t>
      </w:r>
    </w:p>
    <w:p>
      <w:pPr>
        <w:spacing w:after="0" w:line="89" w:lineRule="exact"/>
        <w:rPr>
          <w:sz w:val="20"/>
          <w:szCs w:val="20"/>
          <w:color w:val="auto"/>
        </w:rPr>
      </w:pPr>
    </w:p>
    <w:p>
      <w:pPr>
        <w:jc w:val="both"/>
        <w:ind w:left="60" w:right="519" w:firstLine="270"/>
        <w:spacing w:after="0" w:line="270" w:lineRule="auto"/>
        <w:rPr>
          <w:sz w:val="20"/>
          <w:szCs w:val="20"/>
          <w:color w:val="auto"/>
        </w:rPr>
      </w:pPr>
      <w:r>
        <w:rPr>
          <w:rFonts w:ascii="Arial" w:cs="Arial" w:eastAsia="Arial" w:hAnsi="Arial"/>
          <w:sz w:val="17"/>
          <w:szCs w:val="17"/>
          <w:color w:val="auto"/>
        </w:rPr>
        <w:t>The terms of the offering require the Company to place a portion of the proceeds of the offering in an escrow account (the “Interest Escrow”) with U.S. Bank National Association (the “Trustee”) under the indenture pursuant to which the notes are issued. Funds in the escrow account will be invested in government securities and will be used to make the first six scheduled interest payments on the notes, unless the Company elects to make the interest payments from the Company’s available funds. The interest payments on the Convertible Senior Notes will be secured by a pledge of the Company’s interest in the escrow account. In accordance with the Interest Escrow, the Company deposited $10,867,500 in an escrow account with the Trustee to purchase U.S. Treasury Strips (“Government Securities”) with an original cost of $10,845,236. At June 30, 2015, the remaining government securities are shown on the Condensed Consolidated Schedule of Investments and have an amortized cost of $5,485,542. The excess funds of $41,181 held in escrow will be used to secure the payment of the notes and is included on the Condensed Consolidated Statements of Assets and Liabilities as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520573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4"/>
              </w:rPr>
              <w:t>June 30, 2015</w:t>
            </w:r>
          </w:p>
        </w:tc>
        <w:tc>
          <w:tcPr>
            <w:tcW w:w="180" w:type="dxa"/>
            <w:vAlign w:val="bottom"/>
          </w:tcPr>
          <w:p>
            <w:pPr>
              <w:spacing w:after="0"/>
              <w:rPr>
                <w:sz w:val="14"/>
                <w:szCs w:val="14"/>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5"/>
              </w:rPr>
              <w:t>December 31, 2014</w:t>
            </w:r>
          </w:p>
        </w:tc>
      </w:tr>
      <w:tr>
        <w:trPr>
          <w:trHeight w:val="195"/>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(Unaudited)</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Aggregate Principal of Convertible Senior Notes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69,000,000</w:t>
            </w:r>
          </w:p>
        </w:tc>
        <w:tc>
          <w:tcPr>
            <w:tcW w:w="120" w:type="dxa"/>
            <w:vAlign w:val="bottom"/>
          </w:tcPr>
          <w:p>
            <w:pPr>
              <w:spacing w:after="0"/>
              <w:rPr>
                <w:sz w:val="20"/>
                <w:szCs w:val="20"/>
                <w:color w:val="auto"/>
              </w:rPr>
            </w:pP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69,000,000</w:t>
            </w: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Amortization of Embedded Derivative Discount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(471,988)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(537,647)</w:t>
            </w:r>
          </w:p>
        </w:tc>
      </w:tr>
      <w:tr>
        <w:trPr>
          <w:trHeight w:val="20"/>
        </w:trPr>
        <w:tc>
          <w:tcPr>
            <w:tcW w:w="56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Convertible Senior Notes payable 5.25% due September 15, 2018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68,528,012</w:t>
            </w:r>
          </w:p>
        </w:tc>
        <w:tc>
          <w:tcPr>
            <w:tcW w:w="120" w:type="dxa"/>
            <w:vAlign w:val="bottom"/>
          </w:tcPr>
          <w:p>
            <w:pPr>
              <w:spacing w:after="0"/>
              <w:rPr>
                <w:sz w:val="18"/>
                <w:szCs w:val="18"/>
                <w:color w:val="auto"/>
              </w:rPr>
            </w:pP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68,462,353</w:t>
            </w:r>
          </w:p>
        </w:tc>
      </w:tr>
      <w:tr>
        <w:trPr>
          <w:trHeight w:val="20"/>
        </w:trPr>
        <w:tc>
          <w:tcPr>
            <w:tcW w:w="5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-153670</wp:posOffset>
            </wp:positionV>
            <wp:extent cx="5213985"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213985" cy="154305"/>
                    </a:xfrm>
                    <a:prstGeom prst="rect">
                      <a:avLst/>
                    </a:prstGeom>
                    <a:noFill/>
                  </pic:spPr>
                </pic:pic>
              </a:graphicData>
            </a:graphic>
          </wp:anchor>
        </w:drawing>
      </w:r>
    </w:p>
    <w:p>
      <w:pPr>
        <w:spacing w:after="0" w:line="74"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As of June 30, 2015, the principal amount of the Convertible Senior Notes exceeded the value of the underlying shares multiplied by the per share closing price of the Company’s common stock.</w:t>
      </w:r>
    </w:p>
    <w:p>
      <w:pPr>
        <w:spacing w:after="0" w:line="62" w:lineRule="exact"/>
        <w:rPr>
          <w:sz w:val="20"/>
          <w:szCs w:val="20"/>
          <w:color w:val="auto"/>
        </w:rPr>
      </w:pPr>
    </w:p>
    <w:p>
      <w:pPr>
        <w:jc w:val="both"/>
        <w:ind w:left="60" w:right="519" w:firstLine="270"/>
        <w:spacing w:after="0" w:line="297" w:lineRule="auto"/>
        <w:rPr>
          <w:sz w:val="20"/>
          <w:szCs w:val="20"/>
          <w:color w:val="auto"/>
        </w:rPr>
      </w:pPr>
      <w:r>
        <w:rPr>
          <w:rFonts w:ascii="Arial" w:cs="Arial" w:eastAsia="Arial" w:hAnsi="Arial"/>
          <w:sz w:val="16"/>
          <w:szCs w:val="16"/>
          <w:color w:val="auto"/>
        </w:rPr>
        <w:t>The Convertible Senior Notes are the Company’s senior, unsecured obligations and rank senior in right of payment to any future indebtedness that is expressly subordinated in right of payment to the Convertible Senior Notes, equal in right of payment to any future unsecured indebtedness that is not so subordinated to the Convertible Senior Notes, junior (other than to the extent of the interest escrow) to any future secured indebtedness to the extent of the value of the assets securing such indebtedness, and structurally junior to all future indebtedness (including trade payables) incurred by the Company’s subsidiaries.</w:t>
      </w:r>
    </w:p>
    <w:p>
      <w:pPr>
        <w:spacing w:after="0" w:line="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Embedded Derivative</w:t>
      </w:r>
    </w:p>
    <w:p>
      <w:pPr>
        <w:spacing w:after="0" w:line="117" w:lineRule="exact"/>
        <w:rPr>
          <w:sz w:val="20"/>
          <w:szCs w:val="20"/>
          <w:color w:val="auto"/>
        </w:rPr>
      </w:pPr>
    </w:p>
    <w:p>
      <w:pPr>
        <w:jc w:val="both"/>
        <w:ind w:left="60" w:right="519" w:firstLine="270"/>
        <w:spacing w:after="0" w:line="293" w:lineRule="auto"/>
        <w:rPr>
          <w:sz w:val="20"/>
          <w:szCs w:val="20"/>
          <w:color w:val="auto"/>
        </w:rPr>
      </w:pPr>
      <w:r>
        <w:rPr>
          <w:rFonts w:ascii="Arial" w:cs="Arial" w:eastAsia="Arial" w:hAnsi="Arial"/>
          <w:sz w:val="16"/>
          <w:szCs w:val="16"/>
          <w:color w:val="auto"/>
        </w:rPr>
        <w:t>The Convertible Senior Notes contain an interest make-whole payment provision pursuant to which holders who convert their notes prior to September 15, 2016 will receive, in addition to a number of shares the Company’s common stock calculated at the applicable conversion rate for the principal amount of notes being converted, the cash proceeds from sale by the escrow agent of the portion of the government securities in the escrow account that are remaining with respect to any of the first six interest payments that have not been made on the notes being converted. Under ASC 815-10-15-74(a), the interest make-whole payment is considered an embedded derivative and is separated from the host contract, the Convertible Senior Notes, and carried at fair value.</w:t>
      </w:r>
    </w:p>
    <w:p>
      <w:pPr>
        <w:spacing w:after="0" w:line="200" w:lineRule="exact"/>
        <w:rPr>
          <w:sz w:val="20"/>
          <w:szCs w:val="20"/>
          <w:color w:val="auto"/>
        </w:rPr>
      </w:pPr>
    </w:p>
    <w:p>
      <w:pPr>
        <w:spacing w:after="0" w:line="30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4" w:name="page45"/>
    <w:bookmarkEnd w:id="4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2015 (Unaudited)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LONG TERM LIABILITIES – (continued)</w:t>
      </w:r>
    </w:p>
    <w:p>
      <w:pPr>
        <w:spacing w:after="0" w:line="121"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The Company used a binomial lattice model to estimate the fair value of the embedded derivative in the Convertible Senior Notes. A binomial lattice model generates potential outcomes at various points in time, starting from the date of valuation until the expiration date of the embedded derivative. The estimated fair value of the embedded derivative as of June 30, 2015 is $0 as shown on the Condensed Consolidated Statement of Assets and Liabilities.</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jc w:val="both"/>
        <w:ind w:left="60" w:right="539" w:firstLine="270"/>
        <w:spacing w:after="0" w:line="264" w:lineRule="auto"/>
        <w:rPr>
          <w:sz w:val="20"/>
          <w:szCs w:val="20"/>
          <w:color w:val="auto"/>
        </w:rPr>
      </w:pPr>
      <w:r>
        <w:rPr>
          <w:rFonts w:ascii="Arial" w:cs="Arial" w:eastAsia="Arial" w:hAnsi="Arial"/>
          <w:sz w:val="18"/>
          <w:szCs w:val="18"/>
          <w:color w:val="auto"/>
        </w:rPr>
        <w:t>The Company entered into the Loan Agreement, effective December 31, 2013, with Silicon Valley Bank to provide the Company with an $18 million Credit Facility. Under the Credit Facility, the Company is permitted to borrow an amount equal to the lesser of $18 million or 20% of the Company’s then-current net asset value.</w:t>
      </w:r>
    </w:p>
    <w:p>
      <w:pPr>
        <w:spacing w:after="0" w:line="73" w:lineRule="exact"/>
        <w:rPr>
          <w:sz w:val="20"/>
          <w:szCs w:val="20"/>
          <w:color w:val="auto"/>
        </w:rPr>
      </w:pPr>
    </w:p>
    <w:p>
      <w:pPr>
        <w:jc w:val="both"/>
        <w:ind w:left="60" w:right="519" w:firstLine="270"/>
        <w:spacing w:after="0" w:line="253" w:lineRule="auto"/>
        <w:rPr>
          <w:sz w:val="20"/>
          <w:szCs w:val="20"/>
          <w:color w:val="auto"/>
        </w:rPr>
      </w:pPr>
      <w:r>
        <w:rPr>
          <w:rFonts w:ascii="Arial" w:cs="Arial" w:eastAsia="Arial" w:hAnsi="Arial"/>
          <w:sz w:val="18"/>
          <w:szCs w:val="18"/>
          <w:color w:val="auto"/>
        </w:rPr>
        <w:t>The Credit Facility, matures on December 31, 2016, and bears interest at a per annum rate equal to the greater of (i) the prime rate plus 4.75% and (ii) 8.0% on amounts drawn under the facility based on a 360-day year. In addition, a fee of $180,000 per annum (1.0% of the $18 million revolving line of credit) is charged under the Loan Agreement. Under the terms of the Credit Facility, the Company must repay all outstanding borrowings so that there is at least one 30-day period every twelve months during which the Company has no balance outstanding. Under the Loan Agreement, the Company has made certain customary representations and warranties and is required to comply with various covenants, reporting requirements, and other customary requirements for similar credit facilities. The Loan Agreement includes usual and customary events of default for credit facilities of this nature, including, without limitation, nonpayment, misrepresentation of representations and warranties in a material respect, breach of covenant, cross-default to certain other indebtedness, bankruptcy, change of control, and the occurrence of a material adverse effect.</w:t>
      </w:r>
    </w:p>
    <w:p>
      <w:pPr>
        <w:spacing w:after="0" w:line="87" w:lineRule="exact"/>
        <w:rPr>
          <w:sz w:val="20"/>
          <w:szCs w:val="20"/>
          <w:color w:val="auto"/>
        </w:rPr>
      </w:pPr>
    </w:p>
    <w:p>
      <w:pPr>
        <w:jc w:val="both"/>
        <w:ind w:left="60" w:right="519" w:firstLine="270"/>
        <w:spacing w:after="0" w:line="273" w:lineRule="auto"/>
        <w:rPr>
          <w:sz w:val="20"/>
          <w:szCs w:val="20"/>
          <w:color w:val="auto"/>
        </w:rPr>
      </w:pPr>
      <w:r>
        <w:rPr>
          <w:rFonts w:ascii="Arial" w:cs="Arial" w:eastAsia="Arial" w:hAnsi="Arial"/>
          <w:sz w:val="17"/>
          <w:szCs w:val="17"/>
          <w:color w:val="auto"/>
        </w:rPr>
        <w:t>The Credit Facility is secured by all of the Company’s property and assets, except for the Company’s assets pledged to secure certain obligations in connection with the Company’s issuance, in September 2013, of the Convertible Senior Notes and, as provided for in the Loan Agreement, as may be pledged in connection with any future issuance by the Company of Convertible Senior Notes on substantially similar terms. As of June 30, 2015, the Company had no borrowings under the Credit Facility, and $18 million unused under the Credit Facility. For the six months ended June 30, 2015, the Company had average borrowings outstanding of $7,486,188 under the Credit Facility.</w:t>
      </w:r>
    </w:p>
    <w:p>
      <w:pPr>
        <w:spacing w:after="0" w:line="70" w:lineRule="exact"/>
        <w:rPr>
          <w:sz w:val="20"/>
          <w:szCs w:val="20"/>
          <w:color w:val="auto"/>
        </w:rPr>
      </w:pPr>
    </w:p>
    <w:p>
      <w:pPr>
        <w:jc w:val="both"/>
        <w:ind w:left="60" w:right="539" w:firstLine="270"/>
        <w:spacing w:after="0" w:line="312" w:lineRule="auto"/>
        <w:rPr>
          <w:sz w:val="20"/>
          <w:szCs w:val="20"/>
          <w:color w:val="auto"/>
        </w:rPr>
      </w:pPr>
      <w:r>
        <w:rPr>
          <w:rFonts w:ascii="Arial" w:cs="Arial" w:eastAsia="Arial" w:hAnsi="Arial"/>
          <w:sz w:val="16"/>
          <w:szCs w:val="16"/>
          <w:color w:val="auto"/>
        </w:rPr>
        <w:t>Borrowing under the Credit Facility is subject to the leverage restrictions contained in the Investment Company Act of 1940, as amended. In addition, under the Loan Agreement, and as provided for therein, the Company has agreed not to incur certain additional permitted indebtedness in an aggregate amount exceeding 50% of the Company’s then-applicable net asset value.</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SUBSEQUENT EVENTS</w:t>
      </w:r>
    </w:p>
    <w:p>
      <w:pPr>
        <w:spacing w:after="0" w:line="121"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From June 30, 2015 through August 10, 2015, the Company closed on investment purchases of $4,000,000 plus transaction costs as shown in following table. “Total Gross Payments” include the actual cost of an investment, as well as capitalized costs, (such as legal and other fees) associated with entering into a portfolio company investment. Refer to “Note 1 — Nature of Operations and Significant Accounting Policies” for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518858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8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Transaction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71"/>
        </w:trPr>
        <w:tc>
          <w:tcPr>
            <w:tcW w:w="412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1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Enjoy Technology, Inc.</w:t>
            </w: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Online Shopping</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July 29, 2015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4,000,000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Arial" w:cs="Arial" w:eastAsia="Arial" w:hAnsi="Arial"/>
                <w:sz w:val="18"/>
                <w:szCs w:val="18"/>
                <w:color w:val="auto"/>
              </w:rPr>
              <w:t>Total Gross Payments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7"/>
              </w:rPr>
              <w:t>4,000,000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-153670</wp:posOffset>
            </wp:positionV>
            <wp:extent cx="5213985"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213985" cy="154305"/>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From June 30, 2015 through August 10, 2015, the Company sold no investments.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2015 (Unaudited)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10 — SUBSEQUENT EVENTS – (continued)</w:t>
      </w:r>
    </w:p>
    <w:p>
      <w:pPr>
        <w:spacing w:after="0" w:line="121"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The Company is presently in the final stages of negotiations with respect to several private company investments that it anticipates entering into within the next 30 to 60 days,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 From June 30, 2015 through August 10, 2015, the Company has not made any such escrow deposits.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Line of Credit</w:t>
      </w:r>
    </w:p>
    <w:p>
      <w:pPr>
        <w:spacing w:after="0" w:line="117"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As of August 10, 2015, the Company had no borrowings outstanding under the Credit Facility, and $18 million unused under the Credit Facility.</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right="2619"/>
        <w:spacing w:after="0" w:line="40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GSV Capital,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85"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forward looking statements contained in this quarterly report on Form 10-Q involve risks and uncertainties, including statements as to:</w:t>
      </w:r>
    </w:p>
    <w:p>
      <w:pPr>
        <w:spacing w:after="0" w:line="62" w:lineRule="exact"/>
        <w:rPr>
          <w:sz w:val="20"/>
          <w:szCs w:val="20"/>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dependence of our future success on the general economy and its impact on the industries in which we invest;</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73" w:lineRule="exact"/>
        <w:rPr>
          <w:sz w:val="20"/>
          <w:szCs w:val="20"/>
          <w:color w:val="auto"/>
        </w:rPr>
      </w:pPr>
    </w:p>
    <w:p>
      <w:pPr>
        <w:ind w:left="600" w:right="539" w:hanging="322"/>
        <w:spacing w:after="0" w:line="277"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equity investments in such portfolio companies;</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inability to access the equity markets could impair our investment activities;</w:t>
      </w:r>
    </w:p>
    <w:p>
      <w:pPr>
        <w:spacing w:after="0" w:line="117"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because we use leverage as part of our investment strategy; and</w:t>
      </w:r>
    </w:p>
    <w:p>
      <w:pPr>
        <w:spacing w:after="0" w:line="62"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and elsewhere in this quarterly report on Form 10-Q and in our filings with the SEC.</w:t>
      </w:r>
    </w:p>
    <w:p>
      <w:pPr>
        <w:spacing w:after="0" w:line="62"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our annual report on Form 10-K, in the “Risk Factors” section of this quarterly report on form 10-Q and elsewhere in this quarterly report on Form 10-Q. You should not place undue reliance on these forward-looking statements, which apply only as of the date of this quarterly report on Form 10-Q.</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39" w:firstLine="270"/>
        <w:spacing w:after="0" w:line="342" w:lineRule="auto"/>
        <w:rPr>
          <w:sz w:val="20"/>
          <w:szCs w:val="20"/>
          <w:color w:val="auto"/>
        </w:rPr>
      </w:pPr>
      <w:r>
        <w:rPr>
          <w:rFonts w:ascii="Arial" w:cs="Arial" w:eastAsia="Arial" w:hAnsi="Arial"/>
          <w:sz w:val="16"/>
          <w:szCs w:val="16"/>
          <w:color w:val="auto"/>
        </w:rPr>
        <w:t>The following analysis of our financial condition and results of operations should be read in conjunction with our condensed consolidated financial statements and the related notes thereto contained elsewhere in this quarterly report on Form 10-Q.</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We, GSV Capital Corp. (the “Company,” “we,” “our,” “GSV Capital” or “GSV”), are an externally managed, non-diversified closed-end management investment company that has elected to be treated as a business development company under the 1940 Act. Our investment objective is to maximize our portfolio’s total return, principally by seeking capital gains on our equity and equity-related investments. We invest principally in the equity securities of what we believe to be rapidly growing venture capital-backed emerging companies. We have also invested, on an opportunistic basis, in select publicly traded equity securities of rapidly growing companies that otherwise meet our investment criteria, and may continue to do so in the future. In addition, while we invest primarily in U.S. companies, we may invest on an opportunistic basis in certain non-U.S. companies that otherwise meet our investment criteria, although in no event will the aggregate value of our non-U.S. investments exceed 30% of the aggregate value of our total investment portfolio.</w:t>
      </w:r>
    </w:p>
    <w:p>
      <w:pPr>
        <w:spacing w:after="0" w:line="74"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color w:val="auto"/>
        </w:rPr>
        <w:t>We acquire our investments through direct investments with prospective portfolio companies, secondary marketplaces for private companies and negotiations with selling stockholders. Our investment activities are managed by GSV Asset Management, and GSV Capital Service Company provides the administrative services necessary for us to operate.</w:t>
      </w:r>
    </w:p>
    <w:p>
      <w:pPr>
        <w:spacing w:after="0" w:line="5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Our investment philosophy is premised on a disciplined approach of identifying high-growth emerging companies across several key industry themes which may include, among others, social mobile, cloud computing and big data, internet commerce, sustainability and education technology. Our investment adviser’s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our investment adviser evaluates have financial backing from top tier venture capital funds or other financial or strategic sponsors.</w:t>
      </w:r>
    </w:p>
    <w:p>
      <w:pPr>
        <w:spacing w:after="0" w:line="81"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In general, our preferred stock investments are non-income producing, have different voting rights than common stock and are generally convertible into common stock at our discretion. Our investments generally do not produce current income and therefore we may be dependent on future capital raising to meet our operating needs if no other source of liquidity is available.</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color w:val="auto"/>
        </w:rPr>
        <w:t>The value of our investment portfolio will change over time due to changes in the fair value of our underlying investments, as well as changes in the composition of our portfolio resulting from purchases and sales of new and follow-on investments. The fair value, as of June 30, 2015, of all of our portfolio investments, excluding U.S. Treasury Bills and Strips, was $390,342,659. The following table summarizes the investment purchases we funded during the six months ended June 30, 2015. “Total Gross Payments” include both the actual cost of an investment as well as capitalized costs, (such as legal and other fees) associated with entering into a portfolio company investment. Refer to “Note 1 — Nature of Operations and Significant Accounting Policies” to our Condensed Consolidated Financial Statements for the period ended June 30, 2015 for further detail.</w:t>
      </w:r>
    </w:p>
    <w:p>
      <w:pPr>
        <w:spacing w:after="0" w:line="200" w:lineRule="exact"/>
        <w:rPr>
          <w:sz w:val="20"/>
          <w:szCs w:val="20"/>
          <w:color w:val="auto"/>
        </w:rPr>
      </w:pPr>
    </w:p>
    <w:p>
      <w:pPr>
        <w:spacing w:after="0" w:line="30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8" w:name="page49"/>
    <w:bookmarkEnd w:id="48"/>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453"/>
        </w:trPr>
        <w:tc>
          <w:tcPr>
            <w:tcW w:w="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Portfolio Company (Industry)</w:t>
            </w:r>
          </w:p>
        </w:tc>
        <w:tc>
          <w:tcPr>
            <w:tcW w:w="16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Q1 Fundings</w:t>
            </w:r>
          </w:p>
        </w:tc>
        <w:tc>
          <w:tcPr>
            <w:tcW w:w="200" w:type="dxa"/>
            <w:vAlign w:val="bottom"/>
          </w:tcPr>
          <w:p>
            <w:pPr>
              <w:spacing w:after="0"/>
              <w:rPr>
                <w:sz w:val="24"/>
                <w:szCs w:val="24"/>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6"/>
              </w:rPr>
              <w:t>Q2 Fundings</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shd w:val="clear" w:color="auto" w:fill="CCEEFF"/>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NestGSV, Inc. (d/b/a. GSV Labs, Inc.) (Incubator)</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$ 1,000,000</w:t>
            </w:r>
          </w:p>
        </w:tc>
        <w:tc>
          <w:tcPr>
            <w:tcW w:w="10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$ 1,499,999</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2,499,999</w:t>
            </w: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Fullbridge, Inc. (Business Education)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964,042</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964,042</w:t>
            </w:r>
          </w:p>
        </w:tc>
      </w:tr>
      <w:tr>
        <w:trPr>
          <w:trHeight w:val="216"/>
        </w:trPr>
        <w:tc>
          <w:tcPr>
            <w:tcW w:w="20" w:type="dxa"/>
            <w:vAlign w:val="bottom"/>
            <w:shd w:val="clear" w:color="auto" w:fill="CCEEFF"/>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Lyft, Inc. (Peer to Peer Ridesharing)</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2,499,985</w:t>
            </w:r>
          </w:p>
        </w:tc>
        <w:tc>
          <w:tcPr>
            <w:tcW w:w="200" w:type="dxa"/>
            <w:vAlign w:val="bottom"/>
            <w:tcBorders>
              <w:lef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2,499,985</w:t>
            </w: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PayNearMe, Inc. (Cash Payment Network)</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3,999,998</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3,999,998</w:t>
            </w:r>
          </w:p>
        </w:tc>
      </w:tr>
      <w:tr>
        <w:trPr>
          <w:trHeight w:val="216"/>
        </w:trPr>
        <w:tc>
          <w:tcPr>
            <w:tcW w:w="20" w:type="dxa"/>
            <w:vAlign w:val="bottom"/>
            <w:shd w:val="clear" w:color="auto" w:fill="CCEEFF"/>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GSV Sustainability Partners (Clean Technology)</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Borders>
              <w:lef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500,000</w:t>
            </w: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Earlyshares.com, Inc. (Equity Crowdfunding)</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shd w:val="clear" w:color="auto" w:fill="CCEEFF"/>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Capitalized Fees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26,100</w:t>
            </w:r>
          </w:p>
        </w:tc>
        <w:tc>
          <w:tcPr>
            <w:tcW w:w="200" w:type="dxa"/>
            <w:vAlign w:val="bottom"/>
            <w:tcBorders>
              <w:lef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30,540</w:t>
            </w:r>
          </w:p>
        </w:tc>
      </w:tr>
      <w:tr>
        <w:trPr>
          <w:trHeight w:val="20"/>
        </w:trPr>
        <w:tc>
          <w:tcPr>
            <w:tcW w:w="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Total Gross Payments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$ 8,990,125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$ 1,554,439</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10,544,564</w:t>
            </w: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-153670</wp:posOffset>
            </wp:positionV>
            <wp:extent cx="5213985"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-1328420</wp:posOffset>
            </wp:positionV>
            <wp:extent cx="519684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the investments we sold during the six months ended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519684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6"/>
                <w:szCs w:val="16"/>
                <w:color w:val="auto"/>
              </w:rPr>
            </w:pPr>
          </w:p>
        </w:tc>
        <w:tc>
          <w:tcPr>
            <w:tcW w:w="8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60"/>
              <w:spacing w:after="0"/>
              <w:rPr>
                <w:sz w:val="20"/>
                <w:szCs w:val="20"/>
                <w:color w:val="auto"/>
              </w:rPr>
            </w:pPr>
            <w:r>
              <w:rPr>
                <w:rFonts w:ascii="Arial" w:cs="Arial" w:eastAsia="Arial" w:hAnsi="Arial"/>
                <w:sz w:val="14"/>
                <w:szCs w:val="14"/>
                <w:b w:val="1"/>
                <w:bCs w:val="1"/>
                <w:color w:val="auto"/>
                <w:w w:val="91"/>
              </w:rPr>
              <w:t>Net Share</w:t>
            </w:r>
          </w:p>
        </w:tc>
        <w:tc>
          <w:tcPr>
            <w:tcW w:w="160" w:type="dxa"/>
            <w:vAlign w:val="bottom"/>
          </w:tcPr>
          <w:p>
            <w:pPr>
              <w:spacing w:after="0"/>
              <w:rPr>
                <w:sz w:val="16"/>
                <w:szCs w:val="16"/>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176"/>
        </w:trPr>
        <w:tc>
          <w:tcPr>
            <w:tcW w:w="2840" w:type="dxa"/>
            <w:vAlign w:val="bottom"/>
            <w:tcBorders>
              <w:bottom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Sold</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80"/>
              <w:spacing w:after="0" w:line="176" w:lineRule="exact"/>
              <w:rPr>
                <w:sz w:val="20"/>
                <w:szCs w:val="20"/>
                <w:color w:val="auto"/>
              </w:rPr>
            </w:pPr>
            <w:r>
              <w:rPr>
                <w:rFonts w:ascii="Arial" w:cs="Arial" w:eastAsia="Arial" w:hAnsi="Arial"/>
                <w:sz w:val="13"/>
                <w:szCs w:val="13"/>
                <w:b w:val="1"/>
                <w:bCs w:val="1"/>
                <w:color w:val="auto"/>
                <w:w w:val="95"/>
              </w:rPr>
              <w:t>Price</w:t>
            </w:r>
            <w:r>
              <w:rPr>
                <w:rFonts w:ascii="Arial" w:cs="Arial" w:eastAsia="Arial" w:hAnsi="Arial"/>
                <w:sz w:val="20"/>
                <w:szCs w:val="20"/>
                <w:b w:val="1"/>
                <w:bCs w:val="1"/>
                <w:color w:val="auto"/>
                <w:w w:val="95"/>
                <w:vertAlign w:val="superscript"/>
              </w:rPr>
              <w:t>(1)</w:t>
            </w:r>
          </w:p>
        </w:tc>
        <w:tc>
          <w:tcPr>
            <w:tcW w:w="160" w:type="dxa"/>
            <w:vAlign w:val="bottom"/>
          </w:tcPr>
          <w:p>
            <w:pPr>
              <w:spacing w:after="0"/>
              <w:rPr>
                <w:sz w:val="15"/>
                <w:szCs w:val="15"/>
                <w:color w:val="auto"/>
              </w:rPr>
            </w:pPr>
          </w:p>
        </w:tc>
        <w:tc>
          <w:tcPr>
            <w:tcW w:w="9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Proceeds</w:t>
            </w:r>
          </w:p>
        </w:tc>
        <w:tc>
          <w:tcPr>
            <w:tcW w:w="160" w:type="dxa"/>
            <w:vAlign w:val="bottom"/>
          </w:tcPr>
          <w:p>
            <w:pPr>
              <w:spacing w:after="0"/>
              <w:rPr>
                <w:sz w:val="15"/>
                <w:szCs w:val="15"/>
                <w:color w:val="auto"/>
              </w:rPr>
            </w:pPr>
          </w:p>
        </w:tc>
        <w:tc>
          <w:tcPr>
            <w:tcW w:w="1000" w:type="dxa"/>
            <w:vAlign w:val="bottom"/>
            <w:tcBorders>
              <w:bottom w:val="single" w:sz="8" w:color="auto"/>
            </w:tcBorders>
            <w:gridSpan w:val="2"/>
          </w:tcPr>
          <w:p>
            <w:pPr>
              <w:jc w:val="right"/>
              <w:ind w:right="60"/>
              <w:spacing w:after="0" w:line="176" w:lineRule="exact"/>
              <w:rPr>
                <w:sz w:val="20"/>
                <w:szCs w:val="20"/>
                <w:color w:val="auto"/>
              </w:rPr>
            </w:pPr>
            <w:r>
              <w:rPr>
                <w:rFonts w:ascii="Arial" w:cs="Arial" w:eastAsia="Arial" w:hAnsi="Arial"/>
                <w:sz w:val="13"/>
                <w:szCs w:val="13"/>
                <w:b w:val="1"/>
                <w:bCs w:val="1"/>
                <w:color w:val="auto"/>
              </w:rPr>
              <w:t>Gain/(Loss)</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210"/>
        </w:trPr>
        <w:tc>
          <w:tcPr>
            <w:tcW w:w="2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Twitter, Inc.</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Quarter 1</w:t>
            </w:r>
          </w:p>
        </w:tc>
        <w:tc>
          <w:tcPr>
            <w:tcW w:w="88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2"/>
              </w:rPr>
              <w:t>400,000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48.90</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$19,558,200</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$ 13,220,095</w:t>
            </w:r>
          </w:p>
        </w:tc>
        <w:tc>
          <w:tcPr>
            <w:tcW w:w="0" w:type="dxa"/>
            <w:vAlign w:val="bottom"/>
          </w:tcPr>
          <w:p>
            <w:pPr>
              <w:spacing w:after="0"/>
              <w:rPr>
                <w:sz w:val="1"/>
                <w:szCs w:val="1"/>
                <w:color w:val="auto"/>
              </w:rPr>
            </w:pPr>
          </w:p>
        </w:tc>
      </w:tr>
      <w:tr>
        <w:trPr>
          <w:trHeight w:val="216"/>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Twitter, Inc.</w:t>
            </w:r>
          </w:p>
        </w:tc>
        <w:tc>
          <w:tcPr>
            <w:tcW w:w="16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Arial" w:cs="Arial" w:eastAsia="Arial" w:hAnsi="Arial"/>
                <w:sz w:val="18"/>
                <w:szCs w:val="18"/>
                <w:color w:val="auto"/>
                <w:w w:val="97"/>
              </w:rPr>
              <w:t>Quarter 2</w:t>
            </w:r>
          </w:p>
        </w:tc>
        <w:tc>
          <w:tcPr>
            <w:tcW w:w="16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2"/>
              </w:rPr>
              <w:t>400,000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Arial" w:cs="Arial" w:eastAsia="Arial" w:hAnsi="Arial"/>
                <w:sz w:val="18"/>
                <w:szCs w:val="18"/>
                <w:color w:val="auto"/>
              </w:rPr>
              <w:t>51.52</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20,608,011</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13,666,419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800,000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50.21</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40,166,211</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26,886,514</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18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8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86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-213995</wp:posOffset>
            </wp:positionV>
            <wp:extent cx="5213985"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420" w:hanging="272"/>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average net share price is the net share price realized after deducting all commissions and fees on the sale(s).</w:t>
      </w:r>
    </w:p>
    <w:p>
      <w:pPr>
        <w:spacing w:after="0" w:line="117" w:lineRule="exact"/>
        <w:rPr>
          <w:rFonts w:ascii="Arial" w:cs="Arial" w:eastAsia="Arial" w:hAnsi="Arial"/>
          <w:sz w:val="18"/>
          <w:szCs w:val="18"/>
          <w:color w:val="auto"/>
        </w:rPr>
      </w:pPr>
    </w:p>
    <w:p>
      <w:pPr>
        <w:ind w:left="420" w:hanging="272"/>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Realized gain (loss) excludes any realized gain (loss) incurred on the maturity of our treasury investments.</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 the three months ended June 30, 2015 and 2014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results for the three months ended June 30, 2015 and 2014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521398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20" w:type="dxa"/>
            <w:vAlign w:val="bottom"/>
            <w:gridSpan w:val="3"/>
          </w:tcPr>
          <w:p>
            <w:pPr>
              <w:jc w:val="right"/>
              <w:ind w:right="402"/>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June 30, 2014</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20" w:type="dxa"/>
            <w:vAlign w:val="bottom"/>
            <w:tcBorders>
              <w:bottom w:val="single" w:sz="8" w:color="auto"/>
            </w:tcBorders>
            <w:gridSpan w:val="3"/>
          </w:tcPr>
          <w:p>
            <w:pPr>
              <w:jc w:val="right"/>
              <w:ind w:right="442"/>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(Unaudited)</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3"/>
              </w:rPr>
              <w:t>Per Basic</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Per Basic</w:t>
            </w: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4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Total Investment Income</w:t>
            </w: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4"/>
                <w:szCs w:val="14"/>
                <w:b w:val="1"/>
                <w:bCs w:val="1"/>
                <w:color w:val="auto"/>
                <w:w w:val="97"/>
              </w:rPr>
              <w:t>Share</w:t>
            </w:r>
            <w:r>
              <w:rPr>
                <w:rFonts w:ascii="Arial" w:cs="Arial" w:eastAsia="Arial" w:hAnsi="Arial"/>
                <w:sz w:val="23"/>
                <w:szCs w:val="23"/>
                <w:b w:val="1"/>
                <w:bCs w:val="1"/>
                <w:color w:val="auto"/>
                <w:w w:val="97"/>
                <w:vertAlign w:val="superscript"/>
              </w:rPr>
              <w:t>(1)</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ind w:right="39"/>
              <w:spacing w:after="0" w:line="202"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23"/>
                <w:szCs w:val="23"/>
                <w:b w:val="1"/>
                <w:bCs w:val="1"/>
                <w:color w:val="auto"/>
                <w:vertAlign w:val="superscript"/>
              </w:rPr>
              <w:t>(1)</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300" w:type="dxa"/>
            <w:vAlign w:val="bottom"/>
            <w:vMerge w:val="continue"/>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b w:val="1"/>
                <w:bCs w:val="1"/>
                <w:color w:val="auto"/>
                <w:w w:val="99"/>
              </w:rPr>
              <w:t>$   123,891</w:t>
            </w:r>
          </w:p>
        </w:tc>
        <w:tc>
          <w:tcPr>
            <w:tcW w:w="160" w:type="dxa"/>
            <w:vAlign w:val="bottom"/>
          </w:tcPr>
          <w:p>
            <w:pPr>
              <w:spacing w:after="0"/>
              <w:rPr>
                <w:sz w:val="18"/>
                <w:szCs w:val="18"/>
                <w:color w:val="auto"/>
              </w:rPr>
            </w:pPr>
          </w:p>
        </w:tc>
        <w:tc>
          <w:tcPr>
            <w:tcW w:w="640" w:type="dxa"/>
            <w:vAlign w:val="bottom"/>
          </w:tcPr>
          <w:p>
            <w:pPr>
              <w:jc w:val="right"/>
              <w:ind w:right="62"/>
              <w:spacing w:after="0"/>
              <w:rPr>
                <w:sz w:val="20"/>
                <w:szCs w:val="20"/>
                <w:color w:val="auto"/>
              </w:rPr>
            </w:pPr>
            <w:r>
              <w:rPr>
                <w:rFonts w:ascii="Arial" w:cs="Arial" w:eastAsia="Arial" w:hAnsi="Arial"/>
                <w:sz w:val="18"/>
                <w:szCs w:val="18"/>
                <w:b w:val="1"/>
                <w:bCs w:val="1"/>
                <w:color w:val="auto"/>
              </w:rPr>
              <w:t>0.01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13"/>
              <w:spacing w:after="0"/>
              <w:rPr>
                <w:sz w:val="20"/>
                <w:szCs w:val="20"/>
                <w:color w:val="auto"/>
              </w:rPr>
            </w:pPr>
            <w:r>
              <w:rPr>
                <w:rFonts w:ascii="Arial" w:cs="Arial" w:eastAsia="Arial" w:hAnsi="Arial"/>
                <w:sz w:val="18"/>
                <w:szCs w:val="18"/>
                <w:b w:val="1"/>
                <w:bCs w:val="1"/>
                <w:color w:val="auto"/>
              </w:rPr>
              <w:t>97,033</w:t>
            </w:r>
          </w:p>
        </w:tc>
        <w:tc>
          <w:tcPr>
            <w:tcW w:w="160" w:type="dxa"/>
            <w:vAlign w:val="bottom"/>
          </w:tcPr>
          <w:p>
            <w:pPr>
              <w:spacing w:after="0"/>
              <w:rPr>
                <w:sz w:val="18"/>
                <w:szCs w:val="18"/>
                <w:color w:val="auto"/>
              </w:rPr>
            </w:pPr>
          </w:p>
        </w:tc>
        <w:tc>
          <w:tcPr>
            <w:tcW w:w="760" w:type="dxa"/>
            <w:vAlign w:val="bottom"/>
          </w:tcPr>
          <w:p>
            <w:pPr>
              <w:jc w:val="right"/>
              <w:ind w:right="99"/>
              <w:spacing w:after="0"/>
              <w:rPr>
                <w:sz w:val="20"/>
                <w:szCs w:val="20"/>
                <w:color w:val="auto"/>
              </w:rPr>
            </w:pPr>
            <w:r>
              <w:rPr>
                <w:rFonts w:ascii="Arial" w:cs="Arial" w:eastAsia="Arial" w:hAnsi="Arial"/>
                <w:sz w:val="18"/>
                <w:szCs w:val="18"/>
                <w:b w:val="1"/>
                <w:bCs w:val="1"/>
                <w:color w:val="auto"/>
              </w:rPr>
              <w:t>0.01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77,110</w:t>
            </w:r>
          </w:p>
        </w:tc>
        <w:tc>
          <w:tcPr>
            <w:tcW w:w="8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97,033</w:t>
            </w:r>
          </w:p>
        </w:tc>
        <w:tc>
          <w:tcPr>
            <w:tcW w:w="9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0.01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Dividend income</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46,781</w:t>
            </w:r>
          </w:p>
        </w:tc>
        <w:tc>
          <w:tcPr>
            <w:tcW w:w="800" w:type="dxa"/>
            <w:vAlign w:val="bottom"/>
            <w:gridSpan w:val="2"/>
          </w:tcPr>
          <w:p>
            <w:pPr>
              <w:jc w:val="right"/>
              <w:ind w:right="62"/>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6,233,424</w:t>
            </w:r>
          </w:p>
        </w:tc>
        <w:tc>
          <w:tcPr>
            <w:tcW w:w="8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b w:val="1"/>
                <w:bCs w:val="1"/>
                <w:color w:val="auto"/>
              </w:rPr>
              <w:t>0.32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99"/>
              </w:rPr>
              <w:t>5,875,551</w:t>
            </w:r>
          </w:p>
        </w:tc>
        <w:tc>
          <w:tcPr>
            <w:tcW w:w="9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b w:val="1"/>
                <w:bCs w:val="1"/>
                <w:color w:val="auto"/>
              </w:rPr>
              <w:t>0.30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2,010,385</w:t>
            </w:r>
          </w:p>
        </w:tc>
        <w:tc>
          <w:tcPr>
            <w:tcW w:w="800" w:type="dxa"/>
            <w:vAlign w:val="bottom"/>
            <w:gridSpan w:val="2"/>
          </w:tcPr>
          <w:p>
            <w:pPr>
              <w:jc w:val="right"/>
              <w:ind w:right="62"/>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w w:val="99"/>
              </w:rPr>
              <w:t>1,933,663</w:t>
            </w:r>
          </w:p>
        </w:tc>
        <w:tc>
          <w:tcPr>
            <w:tcW w:w="920" w:type="dxa"/>
            <w:vAlign w:val="bottom"/>
            <w:gridSpan w:val="2"/>
          </w:tcPr>
          <w:p>
            <w:pPr>
              <w:jc w:val="right"/>
              <w:ind w:right="99"/>
              <w:spacing w:after="0"/>
              <w:rPr>
                <w:sz w:val="20"/>
                <w:szCs w:val="20"/>
                <w:color w:val="auto"/>
              </w:rPr>
            </w:pPr>
            <w:r>
              <w:rPr>
                <w:rFonts w:ascii="Arial" w:cs="Arial" w:eastAsia="Arial" w:hAnsi="Arial"/>
                <w:sz w:val="18"/>
                <w:szCs w:val="18"/>
                <w:color w:val="auto"/>
              </w:rPr>
              <w:t>0.10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Incentive fees</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1,565,339</w:t>
            </w:r>
          </w:p>
        </w:tc>
        <w:tc>
          <w:tcPr>
            <w:tcW w:w="8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844,633</w:t>
            </w:r>
          </w:p>
        </w:tc>
        <w:tc>
          <w:tcPr>
            <w:tcW w:w="9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0.04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Costs incurred under administration agreement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785,036</w:t>
            </w:r>
          </w:p>
        </w:tc>
        <w:tc>
          <w:tcPr>
            <w:tcW w:w="800" w:type="dxa"/>
            <w:vAlign w:val="bottom"/>
            <w:gridSpan w:val="2"/>
          </w:tcPr>
          <w:p>
            <w:pPr>
              <w:jc w:val="right"/>
              <w:ind w:right="62"/>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929,701</w:t>
            </w:r>
          </w:p>
        </w:tc>
        <w:tc>
          <w:tcPr>
            <w:tcW w:w="920" w:type="dxa"/>
            <w:vAlign w:val="bottom"/>
            <w:gridSpan w:val="2"/>
          </w:tcPr>
          <w:p>
            <w:pPr>
              <w:jc w:val="right"/>
              <w:ind w:right="99"/>
              <w:spacing w:after="0"/>
              <w:rPr>
                <w:sz w:val="20"/>
                <w:szCs w:val="20"/>
                <w:color w:val="auto"/>
              </w:rPr>
            </w:pPr>
            <w:r>
              <w:rPr>
                <w:rFonts w:ascii="Arial" w:cs="Arial" w:eastAsia="Arial" w:hAnsi="Arial"/>
                <w:sz w:val="18"/>
                <w:szCs w:val="18"/>
                <w:color w:val="auto"/>
              </w:rPr>
              <w:t>0.05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Directors' fees</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107,500</w:t>
            </w:r>
          </w:p>
        </w:tc>
        <w:tc>
          <w:tcPr>
            <w:tcW w:w="8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65,000</w:t>
            </w:r>
          </w:p>
        </w:tc>
        <w:tc>
          <w:tcPr>
            <w:tcW w:w="9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0.00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Professional fees</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394,228</w:t>
            </w:r>
          </w:p>
        </w:tc>
        <w:tc>
          <w:tcPr>
            <w:tcW w:w="800" w:type="dxa"/>
            <w:vAlign w:val="bottom"/>
            <w:gridSpan w:val="2"/>
          </w:tcPr>
          <w:p>
            <w:pPr>
              <w:jc w:val="right"/>
              <w:ind w:right="62"/>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402,555</w:t>
            </w:r>
          </w:p>
        </w:tc>
        <w:tc>
          <w:tcPr>
            <w:tcW w:w="920" w:type="dxa"/>
            <w:vAlign w:val="bottom"/>
            <w:gridSpan w:val="2"/>
          </w:tcPr>
          <w:p>
            <w:pPr>
              <w:jc w:val="right"/>
              <w:ind w:right="99"/>
              <w:spacing w:after="0"/>
              <w:rPr>
                <w:sz w:val="20"/>
                <w:szCs w:val="20"/>
                <w:color w:val="auto"/>
              </w:rPr>
            </w:pPr>
            <w:r>
              <w:rPr>
                <w:rFonts w:ascii="Arial" w:cs="Arial" w:eastAsia="Arial" w:hAnsi="Arial"/>
                <w:sz w:val="18"/>
                <w:szCs w:val="18"/>
                <w:color w:val="auto"/>
              </w:rPr>
              <w:t>0.02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credit facility expense</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1,228,783</w:t>
            </w:r>
          </w:p>
        </w:tc>
        <w:tc>
          <w:tcPr>
            <w:tcW w:w="8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1,533,971</w:t>
            </w:r>
          </w:p>
        </w:tc>
        <w:tc>
          <w:tcPr>
            <w:tcW w:w="9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0.08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Other expenses</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143,153</w:t>
            </w:r>
          </w:p>
        </w:tc>
        <w:tc>
          <w:tcPr>
            <w:tcW w:w="800" w:type="dxa"/>
            <w:vAlign w:val="bottom"/>
            <w:gridSpan w:val="2"/>
          </w:tcPr>
          <w:p>
            <w:pPr>
              <w:jc w:val="right"/>
              <w:ind w:right="62"/>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186,028</w:t>
            </w:r>
          </w:p>
        </w:tc>
        <w:tc>
          <w:tcPr>
            <w:tcW w:w="920" w:type="dxa"/>
            <w:vAlign w:val="bottom"/>
            <w:gridSpan w:val="2"/>
          </w:tcPr>
          <w:p>
            <w:pPr>
              <w:jc w:val="right"/>
              <w:ind w:right="99"/>
              <w:spacing w:after="0"/>
              <w:rPr>
                <w:sz w:val="20"/>
                <w:szCs w:val="20"/>
                <w:color w:val="auto"/>
              </w:rPr>
            </w:pPr>
            <w:r>
              <w:rPr>
                <w:rFonts w:ascii="Arial" w:cs="Arial" w:eastAsia="Arial" w:hAnsi="Arial"/>
                <w:sz w:val="18"/>
                <w:szCs w:val="18"/>
                <w:color w:val="auto"/>
              </w:rPr>
              <w:t>0.01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Gain on fair value adjustment for embedded derivative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(0.00)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Benefit for Taxes on Net Investment Loss</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2,494,459</w:t>
            </w:r>
          </w:p>
        </w:tc>
        <w:tc>
          <w:tcPr>
            <w:tcW w:w="800" w:type="dxa"/>
            <w:vAlign w:val="bottom"/>
            <w:gridSpan w:val="2"/>
          </w:tcPr>
          <w:p>
            <w:pPr>
              <w:jc w:val="right"/>
              <w:ind w:right="62"/>
              <w:spacing w:after="0"/>
              <w:rPr>
                <w:sz w:val="20"/>
                <w:szCs w:val="20"/>
                <w:color w:val="auto"/>
              </w:rPr>
            </w:pPr>
            <w:r>
              <w:rPr>
                <w:rFonts w:ascii="Arial" w:cs="Arial" w:eastAsia="Arial" w:hAnsi="Arial"/>
                <w:sz w:val="18"/>
                <w:szCs w:val="18"/>
                <w:color w:val="auto"/>
              </w:rPr>
              <w:t>0.13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w w:val="99"/>
              </w:rPr>
              <w:t>2,359,369</w:t>
            </w:r>
          </w:p>
        </w:tc>
        <w:tc>
          <w:tcPr>
            <w:tcW w:w="920" w:type="dxa"/>
            <w:vAlign w:val="bottom"/>
            <w:gridSpan w:val="2"/>
          </w:tcPr>
          <w:p>
            <w:pPr>
              <w:jc w:val="right"/>
              <w:ind w:right="99"/>
              <w:spacing w:after="0"/>
              <w:rPr>
                <w:sz w:val="20"/>
                <w:szCs w:val="20"/>
                <w:color w:val="auto"/>
              </w:rPr>
            </w:pPr>
            <w:r>
              <w:rPr>
                <w:rFonts w:ascii="Arial" w:cs="Arial" w:eastAsia="Arial" w:hAnsi="Arial"/>
                <w:sz w:val="18"/>
                <w:szCs w:val="18"/>
                <w:color w:val="auto"/>
              </w:rPr>
              <w:t>0.12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Loss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(3,615,074)</w:t>
            </w:r>
          </w:p>
        </w:tc>
        <w:tc>
          <w:tcPr>
            <w:tcW w:w="8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(3,419,149)</w:t>
            </w: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(0.18)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Net Realized Gains/(Losses) on Investments</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w w:val="99"/>
              </w:rPr>
              <w:t>13,636,614</w:t>
            </w:r>
          </w:p>
        </w:tc>
        <w:tc>
          <w:tcPr>
            <w:tcW w:w="800" w:type="dxa"/>
            <w:vAlign w:val="bottom"/>
            <w:gridSpan w:val="2"/>
          </w:tcPr>
          <w:p>
            <w:pPr>
              <w:jc w:val="right"/>
              <w:ind w:right="62"/>
              <w:spacing w:after="0"/>
              <w:rPr>
                <w:sz w:val="20"/>
                <w:szCs w:val="20"/>
                <w:color w:val="auto"/>
              </w:rPr>
            </w:pPr>
            <w:r>
              <w:rPr>
                <w:rFonts w:ascii="Arial" w:cs="Arial" w:eastAsia="Arial" w:hAnsi="Arial"/>
                <w:sz w:val="18"/>
                <w:szCs w:val="18"/>
                <w:color w:val="auto"/>
              </w:rPr>
              <w:t>0.71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(7,249,566)</w:t>
            </w:r>
          </w:p>
        </w:tc>
        <w:tc>
          <w:tcPr>
            <w:tcW w:w="920" w:type="dxa"/>
            <w:vAlign w:val="bottom"/>
            <w:gridSpan w:val="2"/>
          </w:tcPr>
          <w:p>
            <w:pPr>
              <w:jc w:val="right"/>
              <w:ind w:right="39"/>
              <w:spacing w:after="0"/>
              <w:rPr>
                <w:sz w:val="20"/>
                <w:szCs w:val="20"/>
                <w:color w:val="auto"/>
              </w:rPr>
            </w:pPr>
            <w:r>
              <w:rPr>
                <w:rFonts w:ascii="Arial" w:cs="Arial" w:eastAsia="Arial" w:hAnsi="Arial"/>
                <w:sz w:val="18"/>
                <w:szCs w:val="18"/>
                <w:color w:val="auto"/>
              </w:rPr>
              <w:t>(0.38)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43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(Provision)/Benefit for Taxes on Net Realized Capital</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Gains/Losses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(5,567,830)</w:t>
            </w:r>
          </w:p>
        </w:tc>
        <w:tc>
          <w:tcPr>
            <w:tcW w:w="8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(0.29)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2,959,998</w:t>
            </w:r>
          </w:p>
        </w:tc>
        <w:tc>
          <w:tcPr>
            <w:tcW w:w="9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0.15</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4300" w:type="dxa"/>
            <w:vAlign w:val="bottom"/>
          </w:tcPr>
          <w:p>
            <w:pPr>
              <w:ind w:left="200"/>
              <w:spacing w:after="0" w:line="201" w:lineRule="exact"/>
              <w:rPr>
                <w:sz w:val="20"/>
                <w:szCs w:val="20"/>
                <w:color w:val="auto"/>
              </w:rPr>
            </w:pPr>
            <w:r>
              <w:rPr>
                <w:rFonts w:ascii="Arial" w:cs="Arial" w:eastAsia="Arial" w:hAnsi="Arial"/>
                <w:sz w:val="18"/>
                <w:szCs w:val="18"/>
                <w:color w:val="auto"/>
              </w:rPr>
              <w:t>Net Change in Unrealized</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300" w:type="dxa"/>
            <w:vAlign w:val="bottom"/>
          </w:tcPr>
          <w:p>
            <w:pPr>
              <w:ind w:left="380"/>
              <w:spacing w:after="0"/>
              <w:rPr>
                <w:sz w:val="20"/>
                <w:szCs w:val="20"/>
                <w:color w:val="auto"/>
              </w:rPr>
            </w:pPr>
            <w:r>
              <w:rPr>
                <w:rFonts w:ascii="Arial" w:cs="Arial" w:eastAsia="Arial" w:hAnsi="Arial"/>
                <w:sz w:val="18"/>
                <w:szCs w:val="18"/>
                <w:color w:val="auto"/>
              </w:rPr>
              <w:t>Appreciation/(Depreciation) on Investments</w:t>
            </w:r>
          </w:p>
        </w:tc>
        <w:tc>
          <w:tcPr>
            <w:tcW w:w="1020" w:type="dxa"/>
            <w:vAlign w:val="bottom"/>
          </w:tcPr>
          <w:p>
            <w:pPr>
              <w:jc w:val="right"/>
              <w:spacing w:after="0"/>
              <w:rPr>
                <w:sz w:val="20"/>
                <w:szCs w:val="20"/>
                <w:color w:val="auto"/>
              </w:rPr>
            </w:pPr>
            <w:r>
              <w:rPr>
                <w:rFonts w:ascii="Arial" w:cs="Arial" w:eastAsia="Arial" w:hAnsi="Arial"/>
                <w:sz w:val="18"/>
                <w:szCs w:val="18"/>
                <w:color w:val="auto"/>
              </w:rPr>
              <w:t>(5,744,399)</w:t>
            </w:r>
          </w:p>
        </w:tc>
        <w:tc>
          <w:tcPr>
            <w:tcW w:w="800" w:type="dxa"/>
            <w:vAlign w:val="bottom"/>
            <w:gridSpan w:val="2"/>
          </w:tcPr>
          <w:p>
            <w:pPr>
              <w:jc w:val="right"/>
              <w:ind w:right="2"/>
              <w:spacing w:after="0"/>
              <w:rPr>
                <w:sz w:val="20"/>
                <w:szCs w:val="20"/>
                <w:color w:val="auto"/>
              </w:rPr>
            </w:pPr>
            <w:r>
              <w:rPr>
                <w:rFonts w:ascii="Arial" w:cs="Arial" w:eastAsia="Arial" w:hAnsi="Arial"/>
                <w:sz w:val="18"/>
                <w:szCs w:val="18"/>
                <w:color w:val="auto"/>
              </w:rPr>
              <w:t>(0.29)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w w:val="88"/>
              </w:rPr>
              <w:t>11,472,725</w:t>
            </w:r>
          </w:p>
        </w:tc>
        <w:tc>
          <w:tcPr>
            <w:tcW w:w="920" w:type="dxa"/>
            <w:vAlign w:val="bottom"/>
            <w:gridSpan w:val="2"/>
          </w:tcPr>
          <w:p>
            <w:pPr>
              <w:jc w:val="right"/>
              <w:ind w:right="99"/>
              <w:spacing w:after="0"/>
              <w:rPr>
                <w:sz w:val="20"/>
                <w:szCs w:val="20"/>
                <w:color w:val="auto"/>
              </w:rPr>
            </w:pPr>
            <w:r>
              <w:rPr>
                <w:rFonts w:ascii="Arial" w:cs="Arial" w:eastAsia="Arial" w:hAnsi="Arial"/>
                <w:sz w:val="18"/>
                <w:szCs w:val="18"/>
                <w:color w:val="auto"/>
              </w:rPr>
              <w:t>0.59</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3"/>
        </w:trPr>
        <w:tc>
          <w:tcPr>
            <w:tcW w:w="1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20" w:type="dxa"/>
            <w:vAlign w:val="bottom"/>
          </w:tcPr>
          <w:p>
            <w:pPr>
              <w:jc w:val="right"/>
              <w:ind w:right="473"/>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30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30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89" w:right="1440"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4380" w:type="dxa"/>
            <w:vAlign w:val="bottom"/>
            <w:gridSpan w:val="4"/>
          </w:tcPr>
          <w:p>
            <w:pPr>
              <w:ind w:left="20"/>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98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2820" w:type="dxa"/>
            <w:vAlign w:val="bottom"/>
          </w:tcPr>
          <w:p>
            <w:pPr>
              <w:spacing w:after="0"/>
              <w:rPr>
                <w:sz w:val="23"/>
                <w:szCs w:val="23"/>
                <w:color w:val="auto"/>
              </w:rPr>
            </w:pPr>
          </w:p>
        </w:tc>
        <w:tc>
          <w:tcPr>
            <w:tcW w:w="17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23"/>
                <w:szCs w:val="23"/>
                <w:color w:val="auto"/>
              </w:rPr>
            </w:pPr>
          </w:p>
        </w:tc>
        <w:tc>
          <w:tcPr>
            <w:tcW w:w="190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June 30, 2014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78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190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3"/>
              </w:rPr>
              <w:t>Per Basic</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8"/>
              <w:spacing w:after="0" w:line="129" w:lineRule="exact"/>
              <w:rPr>
                <w:sz w:val="20"/>
                <w:szCs w:val="20"/>
                <w:color w:val="auto"/>
              </w:rPr>
            </w:pPr>
            <w:r>
              <w:rPr>
                <w:rFonts w:ascii="Arial" w:cs="Arial" w:eastAsia="Arial" w:hAnsi="Arial"/>
                <w:sz w:val="14"/>
                <w:szCs w:val="14"/>
                <w:b w:val="1"/>
                <w:bCs w:val="1"/>
                <w:color w:val="auto"/>
              </w:rPr>
              <w:t>Per Basic</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gridSpan w:val="3"/>
            <w:vMerge w:val="restart"/>
          </w:tcPr>
          <w:p>
            <w:pPr>
              <w:ind w:left="180"/>
              <w:spacing w:after="0"/>
              <w:rPr>
                <w:sz w:val="20"/>
                <w:szCs w:val="20"/>
                <w:color w:val="auto"/>
              </w:rPr>
            </w:pPr>
            <w:r>
              <w:rPr>
                <w:rFonts w:ascii="Arial" w:cs="Arial" w:eastAsia="Arial" w:hAnsi="Arial"/>
                <w:sz w:val="18"/>
                <w:szCs w:val="18"/>
                <w:color w:val="auto"/>
              </w:rPr>
              <w:t>(Provision)/Benefit for Taxes on Unrealized</w:t>
            </w:r>
          </w:p>
        </w:tc>
        <w:tc>
          <w:tcPr>
            <w:tcW w:w="9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660" w:type="dxa"/>
            <w:vAlign w:val="bottom"/>
            <w:tcBorders>
              <w:bottom w:val="single" w:sz="8" w:color="auto"/>
            </w:tcBorders>
          </w:tcPr>
          <w:p>
            <w:pPr>
              <w:jc w:val="right"/>
              <w:ind w:right="8"/>
              <w:spacing w:after="0" w:line="202" w:lineRule="exact"/>
              <w:rPr>
                <w:sz w:val="20"/>
                <w:szCs w:val="20"/>
                <w:color w:val="auto"/>
              </w:rPr>
            </w:pPr>
            <w:r>
              <w:rPr>
                <w:rFonts w:ascii="Arial" w:cs="Arial" w:eastAsia="Arial" w:hAnsi="Arial"/>
                <w:sz w:val="14"/>
                <w:szCs w:val="14"/>
                <w:b w:val="1"/>
                <w:bCs w:val="1"/>
                <w:color w:val="auto"/>
                <w:w w:val="97"/>
              </w:rPr>
              <w:t>Share</w:t>
            </w:r>
            <w:r>
              <w:rPr>
                <w:rFonts w:ascii="Arial" w:cs="Arial" w:eastAsia="Arial" w:hAnsi="Arial"/>
                <w:sz w:val="23"/>
                <w:szCs w:val="23"/>
                <w:b w:val="1"/>
                <w:bCs w:val="1"/>
                <w:color w:val="auto"/>
                <w:w w:val="97"/>
                <w:vertAlign w:val="superscript"/>
              </w:rPr>
              <w:t>(1)</w:t>
            </w:r>
          </w:p>
        </w:tc>
        <w:tc>
          <w:tcPr>
            <w:tcW w:w="160" w:type="dxa"/>
            <w:vAlign w:val="bottom"/>
          </w:tcPr>
          <w:p>
            <w:pPr>
              <w:spacing w:after="0"/>
              <w:rPr>
                <w:sz w:val="17"/>
                <w:szCs w:val="17"/>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ind w:right="48"/>
              <w:spacing w:after="0" w:line="202"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60" w:type="dxa"/>
            <w:vAlign w:val="bottom"/>
            <w:gridSpan w:val="3"/>
            <w:vMerge w:val="continue"/>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gridSpan w:val="3"/>
          </w:tcPr>
          <w:p>
            <w:pPr>
              <w:ind w:left="360"/>
              <w:spacing w:after="0"/>
              <w:rPr>
                <w:sz w:val="20"/>
                <w:szCs w:val="20"/>
                <w:color w:val="auto"/>
              </w:rPr>
            </w:pPr>
            <w:r>
              <w:rPr>
                <w:rFonts w:ascii="Arial" w:cs="Arial" w:eastAsia="Arial" w:hAnsi="Arial"/>
                <w:sz w:val="18"/>
                <w:szCs w:val="18"/>
                <w:color w:val="auto"/>
              </w:rPr>
              <w:t>Appreciation/Depreciation of Investments</w:t>
            </w:r>
          </w:p>
        </w:tc>
        <w:tc>
          <w:tcPr>
            <w:tcW w:w="960" w:type="dxa"/>
            <w:vAlign w:val="bottom"/>
          </w:tcPr>
          <w:p>
            <w:pPr>
              <w:jc w:val="right"/>
              <w:spacing w:after="0"/>
              <w:rPr>
                <w:sz w:val="20"/>
                <w:szCs w:val="20"/>
                <w:color w:val="auto"/>
              </w:rPr>
            </w:pPr>
            <w:r>
              <w:rPr>
                <w:rFonts w:ascii="Arial" w:cs="Arial" w:eastAsia="Arial" w:hAnsi="Arial"/>
                <w:sz w:val="18"/>
                <w:szCs w:val="18"/>
                <w:color w:val="auto"/>
              </w:rPr>
              <w:t>2,372,190</w:t>
            </w:r>
          </w:p>
        </w:tc>
        <w:tc>
          <w:tcPr>
            <w:tcW w:w="820" w:type="dxa"/>
            <w:vAlign w:val="bottom"/>
            <w:gridSpan w:val="2"/>
          </w:tcPr>
          <w:p>
            <w:pPr>
              <w:jc w:val="right"/>
              <w:ind w:right="28"/>
              <w:spacing w:after="0"/>
              <w:rPr>
                <w:sz w:val="20"/>
                <w:szCs w:val="20"/>
                <w:color w:val="auto"/>
              </w:rPr>
            </w:pPr>
            <w:r>
              <w:rPr>
                <w:rFonts w:ascii="Arial" w:cs="Arial" w:eastAsia="Arial" w:hAnsi="Arial"/>
                <w:sz w:val="18"/>
                <w:szCs w:val="18"/>
                <w:color w:val="auto"/>
              </w:rPr>
              <w:t>0.12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(4,684,314)</w:t>
            </w:r>
          </w:p>
        </w:tc>
        <w:tc>
          <w:tcPr>
            <w:tcW w:w="920" w:type="dxa"/>
            <w:vAlign w:val="bottom"/>
            <w:gridSpan w:val="2"/>
          </w:tcPr>
          <w:p>
            <w:pPr>
              <w:jc w:val="right"/>
              <w:ind w:right="48"/>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36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Net Increase (Decrease) in Net Assets Resulting from</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3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Operations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$ 1,081,501</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0.06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(920,306)</w:t>
            </w:r>
          </w:p>
        </w:tc>
        <w:tc>
          <w:tcPr>
            <w:tcW w:w="9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-1225550</wp:posOffset>
            </wp:positionV>
            <wp:extent cx="521398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7" w:lineRule="auto"/>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per-share figures noted are based on a weighted average of 19,320,100 and 19,320,100 shares outstanding for the three months ended June 30, 2015 and 2014, respectively.</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 the six months ended June 30, 2015 and 2014</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results for the six months ended June 30, 2015 and 2014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3"/>
          </w:tcPr>
          <w:p>
            <w:pPr>
              <w:jc w:val="right"/>
              <w:ind w:right="462"/>
              <w:spacing w:after="0"/>
              <w:rPr>
                <w:sz w:val="20"/>
                <w:szCs w:val="20"/>
                <w:color w:val="auto"/>
              </w:rPr>
            </w:pPr>
            <w:r>
              <w:rPr>
                <w:rFonts w:ascii="Arial" w:cs="Arial" w:eastAsia="Arial" w:hAnsi="Arial"/>
                <w:sz w:val="14"/>
                <w:szCs w:val="14"/>
                <w:b w:val="1"/>
                <w:bCs w:val="1"/>
                <w:color w:val="auto"/>
              </w:rPr>
              <w:t>June 30, 2014</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502"/>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29"/>
        </w:trPr>
        <w:tc>
          <w:tcPr>
            <w:tcW w:w="4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3"/>
              </w:rPr>
              <w:t>Per Basic</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2"/>
              <w:spacing w:after="0" w:line="129" w:lineRule="exact"/>
              <w:rPr>
                <w:sz w:val="20"/>
                <w:szCs w:val="20"/>
                <w:color w:val="auto"/>
              </w:rPr>
            </w:pPr>
            <w:r>
              <w:rPr>
                <w:rFonts w:ascii="Arial" w:cs="Arial" w:eastAsia="Arial" w:hAnsi="Arial"/>
                <w:sz w:val="14"/>
                <w:szCs w:val="14"/>
                <w:b w:val="1"/>
                <w:bCs w:val="1"/>
                <w:color w:val="auto"/>
              </w:rPr>
              <w:t>Per Basic</w:t>
            </w:r>
          </w:p>
        </w:tc>
        <w:tc>
          <w:tcPr>
            <w:tcW w:w="0" w:type="dxa"/>
            <w:vAlign w:val="bottom"/>
          </w:tcPr>
          <w:p>
            <w:pPr>
              <w:spacing w:after="0"/>
              <w:rPr>
                <w:sz w:val="1"/>
                <w:szCs w:val="1"/>
                <w:color w:val="auto"/>
              </w:rPr>
            </w:pPr>
          </w:p>
        </w:tc>
      </w:tr>
      <w:tr>
        <w:trPr>
          <w:trHeight w:val="202"/>
        </w:trPr>
        <w:tc>
          <w:tcPr>
            <w:tcW w:w="4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4"/>
                <w:szCs w:val="14"/>
                <w:b w:val="1"/>
                <w:bCs w:val="1"/>
                <w:color w:val="auto"/>
                <w:w w:val="97"/>
              </w:rPr>
              <w:t>Share</w:t>
            </w:r>
            <w:r>
              <w:rPr>
                <w:rFonts w:ascii="Arial" w:cs="Arial" w:eastAsia="Arial" w:hAnsi="Arial"/>
                <w:sz w:val="23"/>
                <w:szCs w:val="23"/>
                <w:b w:val="1"/>
                <w:bCs w:val="1"/>
                <w:color w:val="auto"/>
                <w:w w:val="97"/>
                <w:vertAlign w:val="superscript"/>
              </w:rPr>
              <w:t>(1)</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ind w:right="42"/>
              <w:spacing w:after="0" w:line="202"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182,915</w:t>
            </w:r>
          </w:p>
        </w:tc>
        <w:tc>
          <w:tcPr>
            <w:tcW w:w="160" w:type="dxa"/>
            <w:vAlign w:val="bottom"/>
          </w:tcPr>
          <w:p>
            <w:pPr>
              <w:spacing w:after="0"/>
              <w:rPr>
                <w:sz w:val="18"/>
                <w:szCs w:val="18"/>
                <w:color w:val="auto"/>
              </w:rPr>
            </w:pPr>
          </w:p>
        </w:tc>
        <w:tc>
          <w:tcPr>
            <w:tcW w:w="640" w:type="dxa"/>
            <w:vAlign w:val="bottom"/>
          </w:tcPr>
          <w:p>
            <w:pPr>
              <w:jc w:val="right"/>
              <w:ind w:right="62"/>
              <w:spacing w:after="0"/>
              <w:rPr>
                <w:sz w:val="20"/>
                <w:szCs w:val="20"/>
                <w:color w:val="auto"/>
              </w:rPr>
            </w:pPr>
            <w:r>
              <w:rPr>
                <w:rFonts w:ascii="Arial" w:cs="Arial" w:eastAsia="Arial" w:hAnsi="Arial"/>
                <w:sz w:val="18"/>
                <w:szCs w:val="18"/>
                <w:b w:val="1"/>
                <w:bCs w:val="1"/>
                <w:color w:val="auto"/>
              </w:rPr>
              <w:t>0.01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137,848</w:t>
            </w:r>
          </w:p>
        </w:tc>
        <w:tc>
          <w:tcPr>
            <w:tcW w:w="160" w:type="dxa"/>
            <w:vAlign w:val="bottom"/>
          </w:tcPr>
          <w:p>
            <w:pPr>
              <w:spacing w:after="0"/>
              <w:rPr>
                <w:sz w:val="18"/>
                <w:szCs w:val="18"/>
                <w:color w:val="auto"/>
              </w:rPr>
            </w:pPr>
          </w:p>
        </w:tc>
        <w:tc>
          <w:tcPr>
            <w:tcW w:w="760" w:type="dxa"/>
            <w:vAlign w:val="bottom"/>
          </w:tcPr>
          <w:p>
            <w:pPr>
              <w:jc w:val="right"/>
              <w:ind w:right="102"/>
              <w:spacing w:after="0"/>
              <w:rPr>
                <w:sz w:val="20"/>
                <w:szCs w:val="20"/>
                <w:color w:val="auto"/>
              </w:rPr>
            </w:pPr>
            <w:r>
              <w:rPr>
                <w:rFonts w:ascii="Arial" w:cs="Arial" w:eastAsia="Arial" w:hAnsi="Arial"/>
                <w:sz w:val="18"/>
                <w:szCs w:val="18"/>
                <w:b w:val="1"/>
                <w:bCs w:val="1"/>
                <w:color w:val="auto"/>
              </w:rPr>
              <w:t>0.01</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136,134</w:t>
            </w:r>
          </w:p>
        </w:tc>
        <w:tc>
          <w:tcPr>
            <w:tcW w:w="8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136,961</w:t>
            </w:r>
          </w:p>
        </w:tc>
        <w:tc>
          <w:tcPr>
            <w:tcW w:w="9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Dividend income</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46,781</w:t>
            </w:r>
          </w:p>
        </w:tc>
        <w:tc>
          <w:tcPr>
            <w:tcW w:w="800" w:type="dxa"/>
            <w:vAlign w:val="bottom"/>
            <w:gridSpan w:val="2"/>
          </w:tcPr>
          <w:p>
            <w:pPr>
              <w:jc w:val="right"/>
              <w:ind w:right="62"/>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887</w:t>
            </w:r>
          </w:p>
        </w:tc>
        <w:tc>
          <w:tcPr>
            <w:tcW w:w="920" w:type="dxa"/>
            <w:vAlign w:val="bottom"/>
            <w:gridSpan w:val="2"/>
          </w:tcPr>
          <w:p>
            <w:pPr>
              <w:jc w:val="right"/>
              <w:ind w:right="10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5"/>
              </w:rPr>
              <w:t>19,085,854</w:t>
            </w:r>
          </w:p>
        </w:tc>
        <w:tc>
          <w:tcPr>
            <w:tcW w:w="8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b w:val="1"/>
                <w:bCs w:val="1"/>
                <w:color w:val="auto"/>
              </w:rPr>
              <w:t>0.99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88"/>
              </w:rPr>
              <w:t>10,724,094</w:t>
            </w:r>
          </w:p>
        </w:tc>
        <w:tc>
          <w:tcPr>
            <w:tcW w:w="9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b w:val="1"/>
                <w:bCs w:val="1"/>
                <w:color w:val="auto"/>
              </w:rPr>
              <w:t>0.56</w:t>
            </w: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3,931,513</w:t>
            </w:r>
          </w:p>
        </w:tc>
        <w:tc>
          <w:tcPr>
            <w:tcW w:w="800" w:type="dxa"/>
            <w:vAlign w:val="bottom"/>
            <w:gridSpan w:val="2"/>
          </w:tcPr>
          <w:p>
            <w:pPr>
              <w:jc w:val="right"/>
              <w:ind w:right="62"/>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3,689,859</w:t>
            </w:r>
          </w:p>
        </w:tc>
        <w:tc>
          <w:tcPr>
            <w:tcW w:w="920" w:type="dxa"/>
            <w:vAlign w:val="bottom"/>
            <w:gridSpan w:val="2"/>
          </w:tcPr>
          <w:p>
            <w:pPr>
              <w:jc w:val="right"/>
              <w:ind w:right="102"/>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Incentive fees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9,777,067</w:t>
            </w:r>
          </w:p>
        </w:tc>
        <w:tc>
          <w:tcPr>
            <w:tcW w:w="8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1,814,285</w:t>
            </w:r>
          </w:p>
        </w:tc>
        <w:tc>
          <w:tcPr>
            <w:tcW w:w="9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2"/>
        </w:trPr>
        <w:tc>
          <w:tcPr>
            <w:tcW w:w="4240" w:type="dxa"/>
            <w:vAlign w:val="bottom"/>
          </w:tcPr>
          <w:p>
            <w:pPr>
              <w:ind w:left="200"/>
              <w:spacing w:after="0" w:line="201" w:lineRule="exact"/>
              <w:rPr>
                <w:sz w:val="20"/>
                <w:szCs w:val="20"/>
                <w:color w:val="auto"/>
              </w:rPr>
            </w:pPr>
            <w:r>
              <w:rPr>
                <w:rFonts w:ascii="Arial" w:cs="Arial" w:eastAsia="Arial" w:hAnsi="Arial"/>
                <w:sz w:val="18"/>
                <w:szCs w:val="18"/>
                <w:color w:val="auto"/>
              </w:rPr>
              <w:t>Costs incurred under administration</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380"/>
              <w:spacing w:after="0"/>
              <w:rPr>
                <w:sz w:val="20"/>
                <w:szCs w:val="20"/>
                <w:color w:val="auto"/>
              </w:rPr>
            </w:pPr>
            <w:r>
              <w:rPr>
                <w:rFonts w:ascii="Arial" w:cs="Arial" w:eastAsia="Arial" w:hAnsi="Arial"/>
                <w:sz w:val="18"/>
                <w:szCs w:val="18"/>
                <w:color w:val="auto"/>
              </w:rPr>
              <w:t>agreement</w:t>
            </w:r>
          </w:p>
        </w:tc>
        <w:tc>
          <w:tcPr>
            <w:tcW w:w="1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1,587,432</w:t>
            </w:r>
          </w:p>
        </w:tc>
        <w:tc>
          <w:tcPr>
            <w:tcW w:w="800" w:type="dxa"/>
            <w:vAlign w:val="bottom"/>
            <w:gridSpan w:val="2"/>
          </w:tcPr>
          <w:p>
            <w:pPr>
              <w:jc w:val="right"/>
              <w:ind w:right="62"/>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1,838,233</w:t>
            </w:r>
          </w:p>
        </w:tc>
        <w:tc>
          <w:tcPr>
            <w:tcW w:w="920" w:type="dxa"/>
            <w:vAlign w:val="bottom"/>
            <w:gridSpan w:val="2"/>
          </w:tcPr>
          <w:p>
            <w:pPr>
              <w:jc w:val="right"/>
              <w:ind w:right="102"/>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Directors' fees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192,806</w:t>
            </w:r>
          </w:p>
        </w:tc>
        <w:tc>
          <w:tcPr>
            <w:tcW w:w="8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130,000</w:t>
            </w:r>
          </w:p>
        </w:tc>
        <w:tc>
          <w:tcPr>
            <w:tcW w:w="9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735,972</w:t>
            </w:r>
          </w:p>
        </w:tc>
        <w:tc>
          <w:tcPr>
            <w:tcW w:w="800" w:type="dxa"/>
            <w:vAlign w:val="bottom"/>
            <w:gridSpan w:val="2"/>
          </w:tcPr>
          <w:p>
            <w:pPr>
              <w:jc w:val="right"/>
              <w:ind w:right="62"/>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859,094</w:t>
            </w:r>
          </w:p>
        </w:tc>
        <w:tc>
          <w:tcPr>
            <w:tcW w:w="920" w:type="dxa"/>
            <w:vAlign w:val="bottom"/>
            <w:gridSpan w:val="2"/>
          </w:tcPr>
          <w:p>
            <w:pPr>
              <w:jc w:val="right"/>
              <w:ind w:right="102"/>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credit facility expense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2,597,586</w:t>
            </w:r>
          </w:p>
        </w:tc>
        <w:tc>
          <w:tcPr>
            <w:tcW w:w="8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2,713,696</w:t>
            </w:r>
          </w:p>
        </w:tc>
        <w:tc>
          <w:tcPr>
            <w:tcW w:w="9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Other expenses</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264,478</w:t>
            </w:r>
          </w:p>
        </w:tc>
        <w:tc>
          <w:tcPr>
            <w:tcW w:w="800" w:type="dxa"/>
            <w:vAlign w:val="bottom"/>
            <w:gridSpan w:val="2"/>
          </w:tcPr>
          <w:p>
            <w:pPr>
              <w:jc w:val="right"/>
              <w:ind w:right="62"/>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318,927</w:t>
            </w:r>
          </w:p>
        </w:tc>
        <w:tc>
          <w:tcPr>
            <w:tcW w:w="920" w:type="dxa"/>
            <w:vAlign w:val="bottom"/>
            <w:gridSpan w:val="2"/>
          </w:tcPr>
          <w:p>
            <w:pPr>
              <w:jc w:val="right"/>
              <w:ind w:right="102"/>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Gain on fair value adjustment for embedded</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derivative</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(640,000)</w:t>
            </w:r>
          </w:p>
        </w:tc>
        <w:tc>
          <w:tcPr>
            <w:tcW w:w="9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Benefit for Taxes on Net Investment Loss</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7,718,070</w:t>
            </w:r>
          </w:p>
        </w:tc>
        <w:tc>
          <w:tcPr>
            <w:tcW w:w="800" w:type="dxa"/>
            <w:vAlign w:val="bottom"/>
            <w:gridSpan w:val="2"/>
          </w:tcPr>
          <w:p>
            <w:pPr>
              <w:jc w:val="right"/>
              <w:ind w:right="62"/>
              <w:spacing w:after="0"/>
              <w:rPr>
                <w:sz w:val="20"/>
                <w:szCs w:val="20"/>
                <w:color w:val="auto"/>
              </w:rPr>
            </w:pPr>
            <w:r>
              <w:rPr>
                <w:rFonts w:ascii="Arial" w:cs="Arial" w:eastAsia="Arial" w:hAnsi="Arial"/>
                <w:sz w:val="18"/>
                <w:szCs w:val="18"/>
                <w:color w:val="auto"/>
              </w:rPr>
              <w:t>0.40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4,372,283</w:t>
            </w:r>
          </w:p>
        </w:tc>
        <w:tc>
          <w:tcPr>
            <w:tcW w:w="920" w:type="dxa"/>
            <w:vAlign w:val="bottom"/>
            <w:gridSpan w:val="2"/>
          </w:tcPr>
          <w:p>
            <w:pPr>
              <w:jc w:val="right"/>
              <w:ind w:right="102"/>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Loss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(11,184,869)</w:t>
            </w:r>
          </w:p>
        </w:tc>
        <w:tc>
          <w:tcPr>
            <w:tcW w:w="8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(0.58)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(6,213,963)</w:t>
            </w:r>
          </w:p>
        </w:tc>
        <w:tc>
          <w:tcPr>
            <w:tcW w:w="9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Net Realized Gains on Investments</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w w:val="95"/>
              </w:rPr>
              <w:t>26,855,017</w:t>
            </w:r>
          </w:p>
        </w:tc>
        <w:tc>
          <w:tcPr>
            <w:tcW w:w="800" w:type="dxa"/>
            <w:vAlign w:val="bottom"/>
            <w:gridSpan w:val="2"/>
          </w:tcPr>
          <w:p>
            <w:pPr>
              <w:jc w:val="right"/>
              <w:ind w:right="62"/>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682,179</w:t>
            </w:r>
          </w:p>
        </w:tc>
        <w:tc>
          <w:tcPr>
            <w:tcW w:w="920" w:type="dxa"/>
            <w:vAlign w:val="bottom"/>
            <w:gridSpan w:val="2"/>
          </w:tcPr>
          <w:p>
            <w:pPr>
              <w:jc w:val="right"/>
              <w:ind w:right="102"/>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Provision for Taxes on Net Realized Capital</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Gains</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(10,964,904)</w:t>
            </w:r>
          </w:p>
        </w:tc>
        <w:tc>
          <w:tcPr>
            <w:tcW w:w="8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(0.57)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(278,533)</w:t>
            </w:r>
          </w:p>
        </w:tc>
        <w:tc>
          <w:tcPr>
            <w:tcW w:w="9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2"/>
        </w:trPr>
        <w:tc>
          <w:tcPr>
            <w:tcW w:w="4240" w:type="dxa"/>
            <w:vAlign w:val="bottom"/>
          </w:tcPr>
          <w:p>
            <w:pPr>
              <w:ind w:left="200"/>
              <w:spacing w:after="0" w:line="201" w:lineRule="exact"/>
              <w:rPr>
                <w:sz w:val="20"/>
                <w:szCs w:val="20"/>
                <w:color w:val="auto"/>
              </w:rPr>
            </w:pPr>
            <w:r>
              <w:rPr>
                <w:rFonts w:ascii="Arial" w:cs="Arial" w:eastAsia="Arial" w:hAnsi="Arial"/>
                <w:sz w:val="18"/>
                <w:szCs w:val="18"/>
                <w:color w:val="auto"/>
              </w:rPr>
              <w:t>Net Change in Unrealized Appreciation on</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38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w w:val="95"/>
              </w:rPr>
              <w:t>22,039,682</w:t>
            </w:r>
          </w:p>
        </w:tc>
        <w:tc>
          <w:tcPr>
            <w:tcW w:w="800" w:type="dxa"/>
            <w:vAlign w:val="bottom"/>
            <w:gridSpan w:val="2"/>
          </w:tcPr>
          <w:p>
            <w:pPr>
              <w:jc w:val="right"/>
              <w:ind w:right="62"/>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8,399,046</w:t>
            </w:r>
          </w:p>
        </w:tc>
        <w:tc>
          <w:tcPr>
            <w:tcW w:w="920" w:type="dxa"/>
            <w:vAlign w:val="bottom"/>
            <w:gridSpan w:val="2"/>
          </w:tcPr>
          <w:p>
            <w:pPr>
              <w:jc w:val="right"/>
              <w:ind w:right="102"/>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Provision for taxes on Unrealized Appreciation of</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(8,998,803)</w:t>
            </w:r>
          </w:p>
        </w:tc>
        <w:tc>
          <w:tcPr>
            <w:tcW w:w="8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(0.47)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(3,429,331)</w:t>
            </w:r>
          </w:p>
        </w:tc>
        <w:tc>
          <w:tcPr>
            <w:tcW w:w="9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2"/>
        </w:trPr>
        <w:tc>
          <w:tcPr>
            <w:tcW w:w="4240" w:type="dxa"/>
            <w:vAlign w:val="bottom"/>
          </w:tcPr>
          <w:p>
            <w:pPr>
              <w:ind w:left="200"/>
              <w:spacing w:after="0" w:line="201" w:lineRule="exact"/>
              <w:rPr>
                <w:sz w:val="20"/>
                <w:szCs w:val="20"/>
                <w:color w:val="auto"/>
              </w:rPr>
            </w:pPr>
            <w:r>
              <w:rPr>
                <w:rFonts w:ascii="Arial" w:cs="Arial" w:eastAsia="Arial" w:hAnsi="Arial"/>
                <w:sz w:val="18"/>
                <w:szCs w:val="18"/>
                <w:color w:val="auto"/>
                <w:w w:val="93"/>
              </w:rPr>
              <w:t>Net Increase (Decrease) in Net Assets Resulting from</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380"/>
              <w:spacing w:after="0"/>
              <w:rPr>
                <w:sz w:val="20"/>
                <w:szCs w:val="20"/>
                <w:color w:val="auto"/>
              </w:rPr>
            </w:pPr>
            <w:r>
              <w:rPr>
                <w:rFonts w:ascii="Arial" w:cs="Arial" w:eastAsia="Arial" w:hAnsi="Arial"/>
                <w:sz w:val="18"/>
                <w:szCs w:val="18"/>
                <w:color w:val="auto"/>
              </w:rPr>
              <w:t>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w w:val="95"/>
              </w:rPr>
              <w:t>17,746,123</w:t>
            </w:r>
          </w:p>
        </w:tc>
        <w:tc>
          <w:tcPr>
            <w:tcW w:w="800" w:type="dxa"/>
            <w:vAlign w:val="bottom"/>
            <w:gridSpan w:val="2"/>
          </w:tcPr>
          <w:p>
            <w:pPr>
              <w:jc w:val="right"/>
              <w:ind w:right="62"/>
              <w:spacing w:after="0"/>
              <w:rPr>
                <w:sz w:val="20"/>
                <w:szCs w:val="20"/>
                <w:color w:val="auto"/>
              </w:rPr>
            </w:pPr>
            <w:r>
              <w:rPr>
                <w:rFonts w:ascii="Arial" w:cs="Arial" w:eastAsia="Arial" w:hAnsi="Arial"/>
                <w:sz w:val="18"/>
                <w:szCs w:val="18"/>
                <w:color w:val="auto"/>
              </w:rPr>
              <w:t>0.92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(840,602)</w:t>
            </w:r>
          </w:p>
        </w:tc>
        <w:tc>
          <w:tcPr>
            <w:tcW w:w="920" w:type="dxa"/>
            <w:vAlign w:val="bottom"/>
            <w:gridSpan w:val="2"/>
          </w:tcPr>
          <w:p>
            <w:pPr>
              <w:jc w:val="right"/>
              <w:ind w:right="42"/>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171450</wp:posOffset>
            </wp:positionV>
            <wp:extent cx="6172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00" w:right="519" w:hanging="272"/>
        <w:spacing w:after="0" w:line="277" w:lineRule="auto"/>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per-share figures noted are based on a weighted average of 19,320,100 and 19,320,100 shares outstanding for the six months ended June 30, 2015 and 2014, respectively.</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three and six months ended June 30, 2015, and 2014</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Investment income increased to $123,891 for the three months ended June 30, 2015, as compared to $97,033 for the three months ended June 30, 2014. The increase was primarily due to the addition of new loans during the three months ended June 30, 2015 versus the three months ended June 30, 2014.</w:t>
      </w:r>
    </w:p>
    <w:p>
      <w:pPr>
        <w:spacing w:after="0" w:line="73"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Investment income increased to $182,915 for the six months ended June 30, 2015, as compared to $137,848 for the six months ended June 30, 2014. The increase was primarily due to the addition of new loans during the six months ended June 30, 2015 versus the six months ended June 30, 2014.</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left="40" w:right="539" w:firstLine="270"/>
        <w:spacing w:after="0" w:line="270" w:lineRule="auto"/>
        <w:rPr>
          <w:sz w:val="20"/>
          <w:szCs w:val="20"/>
          <w:color w:val="auto"/>
        </w:rPr>
      </w:pPr>
      <w:r>
        <w:rPr>
          <w:rFonts w:ascii="Arial" w:cs="Arial" w:eastAsia="Arial" w:hAnsi="Arial"/>
          <w:sz w:val="17"/>
          <w:szCs w:val="17"/>
          <w:color w:val="auto"/>
        </w:rPr>
        <w:t>Total operating expenses increased to $6,233,424 for the three months ended June 30, 2015, as compared to $5,875,551 for the three months ended June 30, 2014. The increase of $357,873 was primarily due to an increase in incentive fees, which was partially offset by decreased interest expense and costs incurred under our administration agreement. The increase in incentive fees resulted from the appreciation of our portfolio for the three months ended June 30, 2015 relative to the three months ended June 30, 2014. The primary drivers of the increase in our portfolio’s fair value were 2U, Inc. (f/k/a 2tor, Inc.), Dropbox, Inc., Spotify Technology S.A. and Palantir Technologies, Inc. The decrease in interest expense resulted from the fact that we did not borrow under the Credit Facility for the three months ended June 30, 2015, while during the three months ended June 30, 2014 we incurred interest expense of $353,426 due to borrowings under the Credit Facility. The decrease in costs under our administration agreement was primarily the result of a $115,202 decrease in overhead expenses.</w:t>
      </w:r>
    </w:p>
    <w:p>
      <w:pPr>
        <w:spacing w:after="0" w:line="74"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Total operating expenses increased to $19,085,854 for the six months ended June 30, 2015, as compared to $10,724,094 for the six months ended June 30, 2014. The increase of $8,361,760 was primarily due to a significant increase in incentive fees, a smaller gain on the fair value of the embedded derivative and a small increase in management fees, all of which was offset to a small degree by a decrease in costs incurred under our administration agreement. The $7,962,782 increase in incentive fees resulted from the appreciation of our portfolio for the six months ended June 30, 2015 relative to the six months ended June 30, 2014. The primary drivers of the increase in our portfolio’s fair value were 2U, Inc. (f/k/a 2tor, Inc.), Dataminr, Inc. and Dropbox, Inc. The decrease in the gain of $639,000 on the fair value of the embedded derivative is primarily the result of time elapsed until the expiration of the interest make-whole provision on our embedded derivative. The increased management fees are a result of the growth in our total assets, which primarily results from the growth of our investment portfolio for the six months ended June 30, 2015 relative to the six months ended June 30, 2014. The decrease in costs under our administration agreement was primarily the result of a $245,260 decrease in overhead expenses.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Benefit for Taxes on Net Investment Loss</w:t>
      </w:r>
    </w:p>
    <w:p>
      <w:pPr>
        <w:spacing w:after="0" w:line="11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For the three months ended June 30, 2015, we recognized a benefit for taxes on net investment loss of $2,494,459, compared to a corresponding benefit of $2,359,369 for three months ended June 30, 2014. The increase in benefit for taxes on net investment loss is due primarily to the $357,873 increase in operating expenses for the three months ended June 30, 2015, as compared to the three months ended June 30, 2014.</w:t>
      </w:r>
    </w:p>
    <w:p>
      <w:pPr>
        <w:spacing w:after="0" w:line="79"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For the six months ended June 30, 2015, we recognized a benefit for taxes on net investment loss of $7,718,070, compared to a corresponding benefit of $4,372,283 for six months ended June 30, 2014. The increase in benefit for taxes on net investment loss is due primarily to the $8,361,760 increase in operating expenses for the six months ended June 30, 2015, as compared to the six months ended June 30, 2014.</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Investment Loss</w:t>
      </w:r>
    </w:p>
    <w:p>
      <w:pPr>
        <w:spacing w:after="0" w:line="117" w:lineRule="exact"/>
        <w:rPr>
          <w:sz w:val="20"/>
          <w:szCs w:val="20"/>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For the three months ended June 30, 2015, we recognized a net investment loss of $3,615,074, compared to a corresponding net investment loss of $3,419,149 for the three months ended June 30, 2014. The $195,925 increase in net investment loss is a result of the increased operating expenses discussed above, partially offset by the increased benefit for taxes on net investment loss.</w:t>
      </w:r>
    </w:p>
    <w:p>
      <w:pPr>
        <w:spacing w:after="0" w:line="200" w:lineRule="exact"/>
        <w:rPr>
          <w:sz w:val="20"/>
          <w:szCs w:val="20"/>
          <w:color w:val="auto"/>
        </w:rPr>
      </w:pPr>
    </w:p>
    <w:p>
      <w:pPr>
        <w:spacing w:after="0" w:line="28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1" w:name="page52"/>
    <w:bookmarkEnd w:id="5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60" w:right="519" w:firstLine="270"/>
        <w:spacing w:after="0" w:line="312" w:lineRule="auto"/>
        <w:rPr>
          <w:sz w:val="20"/>
          <w:szCs w:val="20"/>
          <w:color w:val="auto"/>
        </w:rPr>
      </w:pPr>
      <w:r>
        <w:rPr>
          <w:rFonts w:ascii="Arial" w:cs="Arial" w:eastAsia="Arial" w:hAnsi="Arial"/>
          <w:sz w:val="16"/>
          <w:szCs w:val="16"/>
          <w:color w:val="auto"/>
        </w:rPr>
        <w:t>For the six months ended June 30, 2015, we recognized a net investment loss of $11,184,869, compared to a corresponding net investment loss of $6,213,963 for the six months ended June 30, 2014. The $4,970,906 increase in net investment loss is a result of the increased operating expenses discussed above, partially offset by the increased benefit for taxes on net investment loss.</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Realized Gains/(Losses) on Investments</w:t>
      </w:r>
    </w:p>
    <w:p>
      <w:pPr>
        <w:spacing w:after="0" w:line="117" w:lineRule="exact"/>
        <w:rPr>
          <w:sz w:val="20"/>
          <w:szCs w:val="20"/>
          <w:color w:val="auto"/>
        </w:rPr>
      </w:pPr>
    </w:p>
    <w:p>
      <w:pPr>
        <w:jc w:val="both"/>
        <w:ind w:left="60" w:right="539" w:firstLine="270"/>
        <w:spacing w:after="0" w:line="259" w:lineRule="auto"/>
        <w:rPr>
          <w:sz w:val="20"/>
          <w:szCs w:val="20"/>
          <w:color w:val="auto"/>
        </w:rPr>
      </w:pPr>
      <w:r>
        <w:rPr>
          <w:rFonts w:ascii="Arial" w:cs="Arial" w:eastAsia="Arial" w:hAnsi="Arial"/>
          <w:sz w:val="18"/>
          <w:szCs w:val="18"/>
          <w:color w:val="auto"/>
        </w:rPr>
        <w:t>For the three months ended June 30, 2015, net realized gains on investments were $13,636,614, which resulted from the partial sale of our investment in Twitter, Inc. For the three months ended June 30, 2014, we had $7,249,566 of realized capital losses, which resulted primarily from the sales of Violin Memory, Inc. and Silver Spring Networks, Inc. These losses were partially offset by gains from the sales of our shares in Control4 Corporation.</w:t>
      </w:r>
    </w:p>
    <w:p>
      <w:pPr>
        <w:spacing w:after="0" w:line="79" w:lineRule="exact"/>
        <w:rPr>
          <w:sz w:val="20"/>
          <w:szCs w:val="20"/>
          <w:color w:val="auto"/>
        </w:rPr>
      </w:pPr>
    </w:p>
    <w:p>
      <w:pPr>
        <w:jc w:val="both"/>
        <w:ind w:left="60" w:right="539" w:firstLine="270"/>
        <w:spacing w:after="0" w:line="259" w:lineRule="auto"/>
        <w:rPr>
          <w:sz w:val="20"/>
          <w:szCs w:val="20"/>
          <w:color w:val="auto"/>
        </w:rPr>
      </w:pPr>
      <w:r>
        <w:rPr>
          <w:rFonts w:ascii="Arial" w:cs="Arial" w:eastAsia="Arial" w:hAnsi="Arial"/>
          <w:sz w:val="18"/>
          <w:szCs w:val="18"/>
          <w:color w:val="auto"/>
        </w:rPr>
        <w:t>For the six months ended June 30, 2015, net realized gains on investments were $26,855,017, which resulted from the partial sale of our investment in Twitter, Inc. For the six months ended June 30, 2014, we had $682,179 of realized capital gains, which was due to gains from the sales of our shares of Control4 Corporation and Facebook, Inc., offset by losses resulting from the sales of Violin Memory, Inc. and Silver Springs Networks, Inc.</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Benefit/Provision for Taxes on Net Realized Capital Losses/Gains</w:t>
      </w:r>
    </w:p>
    <w:p>
      <w:pPr>
        <w:spacing w:after="0" w:line="117" w:lineRule="exact"/>
        <w:rPr>
          <w:sz w:val="20"/>
          <w:szCs w:val="20"/>
          <w:color w:val="auto"/>
        </w:rPr>
      </w:pPr>
    </w:p>
    <w:p>
      <w:pPr>
        <w:jc w:val="both"/>
        <w:ind w:left="60" w:right="539" w:firstLine="270"/>
        <w:spacing w:after="0" w:line="342" w:lineRule="auto"/>
        <w:rPr>
          <w:sz w:val="20"/>
          <w:szCs w:val="20"/>
          <w:color w:val="auto"/>
        </w:rPr>
      </w:pPr>
      <w:r>
        <w:rPr>
          <w:rFonts w:ascii="Arial" w:cs="Arial" w:eastAsia="Arial" w:hAnsi="Arial"/>
          <w:sz w:val="16"/>
          <w:szCs w:val="16"/>
          <w:color w:val="auto"/>
        </w:rPr>
        <w:t>For the three months ended June 30, 2015, we recognized a provision of $5,567,830 for taxes on net realized capital gains. The provision for taxes on net realized capital gains is due to the significant net realized gains from the sales of Twitter, Inc.</w:t>
      </w:r>
    </w:p>
    <w:p>
      <w:pPr>
        <w:spacing w:after="0" w:line="16"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For the three months ended June 30, 2014, we recognized a benefit of $2,959,998 for taxes on net realized capital losses. The benefit for taxes on net realized capital losses was due to the significant net realized losses on the sales of Violin Memory, Inc. and Silver Spring Networks, Inc.</w:t>
      </w:r>
    </w:p>
    <w:p>
      <w:pPr>
        <w:spacing w:after="0" w:line="73"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For the six months ended June 30, 2015, we recognized a provision of $10,964,904 for taxes on net realized capital gains. The provision for taxes on net realized capital gains is due to the significant net realized gains for the six months ended June 30, 2015 from the sales of Twitter, Inc.</w:t>
      </w:r>
    </w:p>
    <w:p>
      <w:pPr>
        <w:spacing w:after="0" w:line="73" w:lineRule="exact"/>
        <w:rPr>
          <w:sz w:val="20"/>
          <w:szCs w:val="20"/>
          <w:color w:val="auto"/>
        </w:rPr>
      </w:pPr>
    </w:p>
    <w:p>
      <w:pPr>
        <w:jc w:val="both"/>
        <w:ind w:left="60" w:right="519" w:firstLine="270"/>
        <w:spacing w:after="0" w:line="286" w:lineRule="auto"/>
        <w:rPr>
          <w:sz w:val="20"/>
          <w:szCs w:val="20"/>
          <w:color w:val="auto"/>
        </w:rPr>
      </w:pPr>
      <w:r>
        <w:rPr>
          <w:rFonts w:ascii="Arial" w:cs="Arial" w:eastAsia="Arial" w:hAnsi="Arial"/>
          <w:sz w:val="17"/>
          <w:szCs w:val="17"/>
          <w:color w:val="auto"/>
        </w:rPr>
        <w:t>For the six months ended June 30, 2014, we recognized a provision of $278,533 for taxes on net realized capital gains. The provision for taxes on net realized capital gains was due to gains from the sales of our shares of Control4 Corporation and Facebook, Inc., which were offset by losses resulting from the sales of Violin Memory, Inc. and Silver Springs Networks, Inc.</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Change in Unrealized Appreciation (Depreciation) of Investments</w:t>
      </w:r>
    </w:p>
    <w:p>
      <w:pPr>
        <w:spacing w:after="0" w:line="117"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For the three months ended June 30, 2015, we had a net change in unrealized depreciation of $5,744,399. For three months ended June 30, 2014, we had a net change in unrealized appreciation of $11,472,725. The following tables summarize, by portfolio company, the significant changes in unrealized appreciation (depreciation) of our investment portfolio for the three months ended June 30, 2015 and 2014,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63633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36333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153670</wp:posOffset>
            </wp:positionV>
            <wp:extent cx="63633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363335" cy="8890"/>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w w:val="89"/>
              </w:rPr>
              <w:t>As of June 30, 2015</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6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As of March 31, 2015</w:t>
            </w: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Change in</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5"/>
              </w:rPr>
              <w:t>(Unaudited)</w:t>
            </w: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Fair</w:t>
            </w:r>
          </w:p>
        </w:tc>
        <w:tc>
          <w:tcPr>
            <w:tcW w:w="108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0"/>
                <w:szCs w:val="10"/>
                <w:color w:val="auto"/>
              </w:rPr>
            </w:pPr>
          </w:p>
        </w:tc>
        <w:tc>
          <w:tcPr>
            <w:tcW w:w="104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49"/>
        </w:trPr>
        <w:tc>
          <w:tcPr>
            <w:tcW w:w="2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 w:type="dxa"/>
            <w:vAlign w:val="bottom"/>
          </w:tcPr>
          <w:p>
            <w:pPr>
              <w:spacing w:after="0"/>
              <w:rPr>
                <w:sz w:val="12"/>
                <w:szCs w:val="12"/>
                <w:color w:val="auto"/>
              </w:rPr>
            </w:pPr>
          </w:p>
        </w:tc>
        <w:tc>
          <w:tcPr>
            <w:tcW w:w="9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 w:type="dxa"/>
            <w:vAlign w:val="bottom"/>
          </w:tcPr>
          <w:p>
            <w:pPr>
              <w:spacing w:after="0"/>
              <w:rPr>
                <w:sz w:val="12"/>
                <w:szCs w:val="12"/>
                <w:color w:val="auto"/>
              </w:rPr>
            </w:pPr>
          </w:p>
        </w:tc>
        <w:tc>
          <w:tcPr>
            <w:tcW w:w="9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2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(Depreciation)</w:t>
            </w: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10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(Depreciation)</w:t>
            </w: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210"/>
        </w:trPr>
        <w:tc>
          <w:tcPr>
            <w:tcW w:w="2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Twitter, Inc.</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0"/>
              </w:rPr>
              <w:t>(24,186,724)</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14,271,866</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28,997,732</w:t>
            </w:r>
          </w:p>
        </w:tc>
        <w:tc>
          <w:tcPr>
            <w:tcW w:w="100" w:type="dxa"/>
            <w:vAlign w:val="bottom"/>
          </w:tcPr>
          <w:p>
            <w:pPr>
              <w:spacing w:after="0"/>
              <w:rPr>
                <w:sz w:val="18"/>
                <w:szCs w:val="18"/>
                <w:color w:val="auto"/>
              </w:rPr>
            </w:pPr>
          </w:p>
        </w:tc>
        <w:tc>
          <w:tcPr>
            <w:tcW w:w="10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89"/>
              </w:rPr>
              <w:t>$14,725,866</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21,213,458</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60,126,048</w:t>
            </w:r>
          </w:p>
        </w:tc>
        <w:tc>
          <w:tcPr>
            <w:tcW w:w="120" w:type="dxa"/>
            <w:vAlign w:val="bottom"/>
          </w:tcPr>
          <w:p>
            <w:pPr>
              <w:spacing w:after="0"/>
              <w:rPr>
                <w:sz w:val="18"/>
                <w:szCs w:val="18"/>
                <w:color w:val="auto"/>
              </w:rPr>
            </w:pPr>
          </w:p>
        </w:tc>
        <w:tc>
          <w:tcPr>
            <w:tcW w:w="10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85"/>
              </w:rPr>
              <w:t>$ 38,912,590</w:t>
            </w: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Palantir Technologies, Inc.</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2,412,783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17,200,023</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48,783,020</w:t>
            </w:r>
          </w:p>
        </w:tc>
        <w:tc>
          <w:tcPr>
            <w:tcW w:w="100" w:type="dxa"/>
            <w:vAlign w:val="bottom"/>
            <w:tcBorders>
              <w:lef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31,582,997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17,200,023</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46,370,237</w:t>
            </w:r>
          </w:p>
        </w:tc>
        <w:tc>
          <w:tcPr>
            <w:tcW w:w="116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29,170,214</w:t>
            </w:r>
          </w:p>
        </w:tc>
        <w:tc>
          <w:tcPr>
            <w:tcW w:w="0" w:type="dxa"/>
            <w:vAlign w:val="bottom"/>
          </w:tcPr>
          <w:p>
            <w:pPr>
              <w:spacing w:after="0"/>
              <w:rPr>
                <w:sz w:val="1"/>
                <w:szCs w:val="1"/>
                <w:color w:val="auto"/>
              </w:rPr>
            </w:pPr>
          </w:p>
        </w:tc>
      </w:tr>
      <w:tr>
        <w:trPr>
          <w:trHeight w:val="216"/>
        </w:trPr>
        <w:tc>
          <w:tcPr>
            <w:tcW w:w="2360" w:type="dxa"/>
            <w:vAlign w:val="bottom"/>
          </w:tcPr>
          <w:p>
            <w:pPr>
              <w:ind w:left="20"/>
              <w:spacing w:after="0"/>
              <w:rPr>
                <w:sz w:val="20"/>
                <w:szCs w:val="20"/>
                <w:color w:val="auto"/>
              </w:rPr>
            </w:pPr>
            <w:r>
              <w:rPr>
                <w:rFonts w:ascii="Arial" w:cs="Arial" w:eastAsia="Arial" w:hAnsi="Arial"/>
                <w:sz w:val="18"/>
                <w:szCs w:val="18"/>
                <w:color w:val="auto"/>
              </w:rPr>
              <w:t>Dropbox, Inc.</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4,391,357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13,656,926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30,027,479</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16,370,553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13,656,926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25,636,122</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11,979,196</w:t>
            </w: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2U, Inc. (f/k/a 2tor, Inc.)</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7,848,117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10,032,117</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38,219,499</w:t>
            </w:r>
          </w:p>
        </w:tc>
        <w:tc>
          <w:tcPr>
            <w:tcW w:w="100" w:type="dxa"/>
            <w:vAlign w:val="bottom"/>
            <w:tcBorders>
              <w:lef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28,187,382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10,032,117</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30,371,382</w:t>
            </w:r>
          </w:p>
        </w:tc>
        <w:tc>
          <w:tcPr>
            <w:tcW w:w="116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20,339,265</w:t>
            </w:r>
          </w:p>
        </w:tc>
        <w:tc>
          <w:tcPr>
            <w:tcW w:w="0" w:type="dxa"/>
            <w:vAlign w:val="bottom"/>
          </w:tcPr>
          <w:p>
            <w:pPr>
              <w:spacing w:after="0"/>
              <w:rPr>
                <w:sz w:val="1"/>
                <w:szCs w:val="1"/>
                <w:color w:val="auto"/>
              </w:rPr>
            </w:pPr>
          </w:p>
        </w:tc>
      </w:tr>
      <w:tr>
        <w:trPr>
          <w:trHeight w:val="216"/>
        </w:trPr>
        <w:tc>
          <w:tcPr>
            <w:tcW w:w="2360" w:type="dxa"/>
            <w:vAlign w:val="bottom"/>
          </w:tcPr>
          <w:p>
            <w:pPr>
              <w:ind w:left="20"/>
              <w:spacing w:after="0"/>
              <w:rPr>
                <w:sz w:val="20"/>
                <w:szCs w:val="20"/>
                <w:color w:val="auto"/>
              </w:rPr>
            </w:pPr>
            <w:r>
              <w:rPr>
                <w:rFonts w:ascii="Arial" w:cs="Arial" w:eastAsia="Arial" w:hAnsi="Arial"/>
                <w:sz w:val="18"/>
                <w:szCs w:val="18"/>
                <w:color w:val="auto"/>
              </w:rPr>
              <w:t>JAMF Holdings, Inc.</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1,238,327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9,999,928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11,237,917</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1,237,989</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9,999,928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9,999,590</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Spotify Technology S.A.</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2,500,645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3,598,472</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8,152,255</w:t>
            </w:r>
          </w:p>
        </w:tc>
        <w:tc>
          <w:tcPr>
            <w:tcW w:w="100" w:type="dxa"/>
            <w:vAlign w:val="bottom"/>
            <w:tcBorders>
              <w:lef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4,553,783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3,598,472</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5,651,610</w:t>
            </w:r>
          </w:p>
        </w:tc>
        <w:tc>
          <w:tcPr>
            <w:tcW w:w="116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2,053,138</w:t>
            </w:r>
          </w:p>
        </w:tc>
        <w:tc>
          <w:tcPr>
            <w:tcW w:w="0" w:type="dxa"/>
            <w:vAlign w:val="bottom"/>
          </w:tcPr>
          <w:p>
            <w:pPr>
              <w:spacing w:after="0"/>
              <w:rPr>
                <w:sz w:val="1"/>
                <w:szCs w:val="1"/>
                <w:color w:val="auto"/>
              </w:rPr>
            </w:pPr>
          </w:p>
        </w:tc>
      </w:tr>
      <w:tr>
        <w:trPr>
          <w:trHeight w:val="257"/>
        </w:trPr>
        <w:tc>
          <w:tcPr>
            <w:tcW w:w="2360" w:type="dxa"/>
            <w:vAlign w:val="bottom"/>
          </w:tcPr>
          <w:p>
            <w:pPr>
              <w:ind w:left="20"/>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51,096</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335,160,624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330,424,438</w:t>
            </w:r>
          </w:p>
        </w:tc>
        <w:tc>
          <w:tcPr>
            <w:tcW w:w="10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(4,736,186)</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333,561,891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328,774,609</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(4,787,282)</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3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(5,744,399)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403,919,956</w:t>
            </w: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495,842,340</w:t>
            </w:r>
          </w:p>
        </w:tc>
        <w:tc>
          <w:tcPr>
            <w:tcW w:w="100" w:type="dxa"/>
            <w:vAlign w:val="bottom"/>
            <w:tcBorders>
              <w:left w:val="single" w:sz="8" w:color="CCEEFF"/>
            </w:tcBorders>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91,922,384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409,262,815</w:t>
            </w: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506,929,598</w:t>
            </w:r>
          </w:p>
        </w:tc>
        <w:tc>
          <w:tcPr>
            <w:tcW w:w="116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97,666,783</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149225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922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149225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492250" cy="8890"/>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-33655</wp:posOffset>
            </wp:positionV>
            <wp:extent cx="1028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-8255</wp:posOffset>
            </wp:positionV>
            <wp:extent cx="1028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2853055</wp:posOffset>
            </wp:positionH>
            <wp:positionV relativeFrom="paragraph">
              <wp:posOffset>-33655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2853055</wp:posOffset>
            </wp:positionH>
            <wp:positionV relativeFrom="paragraph">
              <wp:posOffset>-8255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3556635</wp:posOffset>
            </wp:positionH>
            <wp:positionV relativeFrom="paragraph">
              <wp:posOffset>-33655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3556635</wp:posOffset>
            </wp:positionH>
            <wp:positionV relativeFrom="paragraph">
              <wp:posOffset>-8255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4199890</wp:posOffset>
            </wp:positionH>
            <wp:positionV relativeFrom="paragraph">
              <wp:posOffset>-33655</wp:posOffset>
            </wp:positionV>
            <wp:extent cx="1028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4199890</wp:posOffset>
            </wp:positionH>
            <wp:positionV relativeFrom="paragraph">
              <wp:posOffset>-8255</wp:posOffset>
            </wp:positionV>
            <wp:extent cx="1028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-33655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-8255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-33655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-8255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6292215</wp:posOffset>
            </wp:positionH>
            <wp:positionV relativeFrom="paragraph">
              <wp:posOffset>-33655</wp:posOffset>
            </wp:positionV>
            <wp:extent cx="774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6292215</wp:posOffset>
            </wp:positionH>
            <wp:positionV relativeFrom="paragraph">
              <wp:posOffset>-8255</wp:posOffset>
            </wp:positionV>
            <wp:extent cx="774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1"/>
        </w:trPr>
        <w:tc>
          <w:tcPr>
            <w:tcW w:w="2300" w:type="dxa"/>
            <w:vAlign w:val="bottom"/>
            <w:gridSpan w:val="4"/>
          </w:tcPr>
          <w:p>
            <w:pPr>
              <w:ind w:left="20"/>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2"/>
        </w:trPr>
        <w:tc>
          <w:tcPr>
            <w:tcW w:w="2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gridSpan w:val="6"/>
          </w:tcPr>
          <w:p>
            <w:pPr>
              <w:ind w:left="20"/>
              <w:spacing w:after="0"/>
              <w:rPr>
                <w:sz w:val="20"/>
                <w:szCs w:val="20"/>
                <w:color w:val="auto"/>
              </w:rPr>
            </w:pPr>
            <w:r>
              <w:rPr>
                <w:rFonts w:ascii="Arial" w:cs="Arial" w:eastAsia="Arial" w:hAnsi="Arial"/>
                <w:sz w:val="14"/>
                <w:szCs w:val="14"/>
                <w:b w:val="1"/>
                <w:bCs w:val="1"/>
                <w:color w:val="auto"/>
                <w:w w:val="89"/>
              </w:rPr>
              <w:t>As of June 30, 2014</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9"/>
          </w:tcPr>
          <w:p>
            <w:pPr>
              <w:jc w:val="center"/>
              <w:ind w:right="80"/>
              <w:spacing w:after="0"/>
              <w:rPr>
                <w:sz w:val="20"/>
                <w:szCs w:val="20"/>
                <w:color w:val="auto"/>
              </w:rPr>
            </w:pPr>
            <w:r>
              <w:rPr>
                <w:rFonts w:ascii="Arial" w:cs="Arial" w:eastAsia="Arial" w:hAnsi="Arial"/>
                <w:sz w:val="14"/>
                <w:szCs w:val="14"/>
                <w:b w:val="1"/>
                <w:bCs w:val="1"/>
                <w:color w:val="auto"/>
                <w:w w:val="93"/>
              </w:rPr>
              <w:t>As of March 31, 2014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5"/>
              </w:rPr>
              <w:t>(Unaudited)</w:t>
            </w: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5"/>
              </w:rPr>
              <w:t>(Unaudited)</w:t>
            </w: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rPr>
              <w:t>Fair</w:t>
            </w:r>
          </w:p>
        </w:tc>
        <w:tc>
          <w:tcPr>
            <w:tcW w:w="10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0"/>
                <w:szCs w:val="10"/>
                <w:color w:val="auto"/>
              </w:rPr>
            </w:pPr>
          </w:p>
        </w:tc>
        <w:tc>
          <w:tcPr>
            <w:tcW w:w="10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49"/>
        </w:trPr>
        <w:tc>
          <w:tcPr>
            <w:tcW w:w="23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23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210"/>
        </w:trPr>
        <w:tc>
          <w:tcPr>
            <w:tcW w:w="230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Twitter, Inc.</w:t>
            </w:r>
          </w:p>
        </w:tc>
        <w:tc>
          <w:tcPr>
            <w:tcW w:w="60" w:type="dxa"/>
            <w:vAlign w:val="bottom"/>
          </w:tcPr>
          <w:p>
            <w:pPr>
              <w:spacing w:after="0"/>
              <w:rPr>
                <w:sz w:val="18"/>
                <w:szCs w:val="18"/>
                <w:color w:val="auto"/>
              </w:rPr>
            </w:pPr>
          </w:p>
        </w:tc>
        <w:tc>
          <w:tcPr>
            <w:tcW w:w="10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9"/>
              </w:rPr>
              <w:t>$ (2,850,330)</w:t>
            </w: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32,991,111</w:t>
            </w: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7"/>
              </w:rPr>
              <w:t>77,867,582</w:t>
            </w:r>
          </w:p>
        </w:tc>
        <w:tc>
          <w:tcPr>
            <w:tcW w:w="40" w:type="dxa"/>
            <w:vAlign w:val="bottom"/>
          </w:tcPr>
          <w:p>
            <w:pPr>
              <w:spacing w:after="0"/>
              <w:rPr>
                <w:sz w:val="18"/>
                <w:szCs w:val="18"/>
                <w:color w:val="auto"/>
              </w:rPr>
            </w:pPr>
          </w:p>
        </w:tc>
        <w:tc>
          <w:tcPr>
            <w:tcW w:w="10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9"/>
              </w:rPr>
              <w:t>$44,876,471</w:t>
            </w: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7"/>
              </w:rPr>
              <w:t>32,991,111</w:t>
            </w: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7"/>
              </w:rPr>
              <w:t>80,717,912</w:t>
            </w:r>
          </w:p>
        </w:tc>
        <w:tc>
          <w:tcPr>
            <w:tcW w:w="60" w:type="dxa"/>
            <w:vAlign w:val="bottom"/>
          </w:tcPr>
          <w:p>
            <w:pPr>
              <w:spacing w:after="0"/>
              <w:rPr>
                <w:sz w:val="18"/>
                <w:szCs w:val="18"/>
                <w:color w:val="auto"/>
              </w:rPr>
            </w:pPr>
          </w:p>
        </w:tc>
        <w:tc>
          <w:tcPr>
            <w:tcW w:w="10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5"/>
              </w:rPr>
              <w:t>$ 47,726,801</w:t>
            </w:r>
          </w:p>
        </w:tc>
        <w:tc>
          <w:tcPr>
            <w:tcW w:w="0" w:type="dxa"/>
            <w:vAlign w:val="bottom"/>
          </w:tcPr>
          <w:p>
            <w:pPr>
              <w:spacing w:after="0"/>
              <w:rPr>
                <w:sz w:val="1"/>
                <w:szCs w:val="1"/>
                <w:color w:val="auto"/>
              </w:rPr>
            </w:pPr>
          </w:p>
        </w:tc>
      </w:tr>
      <w:tr>
        <w:trPr>
          <w:trHeight w:val="216"/>
        </w:trPr>
        <w:tc>
          <w:tcPr>
            <w:tcW w:w="23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Palantir Technologies, Inc.</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(1,214,388)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21,060,447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41,233,482</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20,173,035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21,060,448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42,447,871</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21,387,423</w:t>
            </w:r>
          </w:p>
        </w:tc>
        <w:tc>
          <w:tcPr>
            <w:tcW w:w="0" w:type="dxa"/>
            <w:vAlign w:val="bottom"/>
          </w:tcPr>
          <w:p>
            <w:pPr>
              <w:spacing w:after="0"/>
              <w:rPr>
                <w:sz w:val="1"/>
                <w:szCs w:val="1"/>
                <w:color w:val="auto"/>
              </w:rPr>
            </w:pPr>
          </w:p>
        </w:tc>
      </w:tr>
      <w:tr>
        <w:trPr>
          <w:trHeight w:val="216"/>
        </w:trPr>
        <w:tc>
          <w:tcPr>
            <w:tcW w:w="2300" w:type="dxa"/>
            <w:vAlign w:val="bottom"/>
            <w:gridSpan w:val="4"/>
          </w:tcPr>
          <w:p>
            <w:pPr>
              <w:ind w:left="20"/>
              <w:spacing w:after="0"/>
              <w:rPr>
                <w:sz w:val="20"/>
                <w:szCs w:val="20"/>
                <w:color w:val="auto"/>
              </w:rPr>
            </w:pPr>
            <w:r>
              <w:rPr>
                <w:rFonts w:ascii="Arial" w:cs="Arial" w:eastAsia="Arial" w:hAnsi="Arial"/>
                <w:sz w:val="18"/>
                <w:szCs w:val="18"/>
                <w:color w:val="auto"/>
              </w:rPr>
              <w:t>Dropbox, Inc.</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3,088,514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13,656,486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28,156,997</w:t>
            </w:r>
          </w:p>
        </w:tc>
        <w:tc>
          <w:tcPr>
            <w:tcW w:w="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14,500,511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13,656,486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25,068,483</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11,411,997</w:t>
            </w:r>
          </w:p>
        </w:tc>
        <w:tc>
          <w:tcPr>
            <w:tcW w:w="0" w:type="dxa"/>
            <w:vAlign w:val="bottom"/>
          </w:tcPr>
          <w:p>
            <w:pPr>
              <w:spacing w:after="0"/>
              <w:rPr>
                <w:sz w:val="1"/>
                <w:szCs w:val="1"/>
                <w:color w:val="auto"/>
              </w:rPr>
            </w:pPr>
          </w:p>
        </w:tc>
      </w:tr>
      <w:tr>
        <w:trPr>
          <w:trHeight w:val="216"/>
        </w:trPr>
        <w:tc>
          <w:tcPr>
            <w:tcW w:w="23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2U, Inc. (f/k/a 2tor, Inc.)</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4,436,894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10,032,117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19,293,387</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9,261,270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10,031,837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14,856,213</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4,824,376</w:t>
            </w:r>
          </w:p>
        </w:tc>
        <w:tc>
          <w:tcPr>
            <w:tcW w:w="0" w:type="dxa"/>
            <w:vAlign w:val="bottom"/>
          </w:tcPr>
          <w:p>
            <w:pPr>
              <w:spacing w:after="0"/>
              <w:rPr>
                <w:sz w:val="1"/>
                <w:szCs w:val="1"/>
                <w:color w:val="auto"/>
              </w:rPr>
            </w:pPr>
          </w:p>
        </w:tc>
      </w:tr>
      <w:tr>
        <w:trPr>
          <w:trHeight w:val="216"/>
        </w:trPr>
        <w:tc>
          <w:tcPr>
            <w:tcW w:w="2300" w:type="dxa"/>
            <w:vAlign w:val="bottom"/>
            <w:gridSpan w:val="4"/>
          </w:tcPr>
          <w:p>
            <w:pPr>
              <w:ind w:left="20"/>
              <w:spacing w:after="0"/>
              <w:rPr>
                <w:sz w:val="20"/>
                <w:szCs w:val="20"/>
                <w:color w:val="auto"/>
              </w:rPr>
            </w:pPr>
            <w:r>
              <w:rPr>
                <w:rFonts w:ascii="Arial" w:cs="Arial" w:eastAsia="Arial" w:hAnsi="Arial"/>
                <w:sz w:val="18"/>
                <w:szCs w:val="18"/>
                <w:color w:val="auto"/>
              </w:rPr>
              <w:t>ZocDoc Inc.</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2,147,233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5,298,056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7,796,650</w:t>
            </w:r>
          </w:p>
        </w:tc>
        <w:tc>
          <w:tcPr>
            <w:tcW w:w="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2,498,594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5,298,056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5,649,417</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351,361</w:t>
            </w:r>
          </w:p>
        </w:tc>
        <w:tc>
          <w:tcPr>
            <w:tcW w:w="0" w:type="dxa"/>
            <w:vAlign w:val="bottom"/>
          </w:tcPr>
          <w:p>
            <w:pPr>
              <w:spacing w:after="0"/>
              <w:rPr>
                <w:sz w:val="1"/>
                <w:szCs w:val="1"/>
                <w:color w:val="auto"/>
              </w:rPr>
            </w:pPr>
          </w:p>
        </w:tc>
      </w:tr>
      <w:tr>
        <w:trPr>
          <w:trHeight w:val="216"/>
        </w:trPr>
        <w:tc>
          <w:tcPr>
            <w:tcW w:w="23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2"/>
              </w:rPr>
              <w:t>Avenues Global Holdings, LLC</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2,729,607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8,299,914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11,097,728</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2,797,814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10,151,854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10,220,061</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68,207</w:t>
            </w:r>
          </w:p>
        </w:tc>
        <w:tc>
          <w:tcPr>
            <w:tcW w:w="0" w:type="dxa"/>
            <w:vAlign w:val="bottom"/>
          </w:tcPr>
          <w:p>
            <w:pPr>
              <w:spacing w:after="0"/>
              <w:rPr>
                <w:sz w:val="1"/>
                <w:szCs w:val="1"/>
                <w:color w:val="auto"/>
              </w:rPr>
            </w:pPr>
          </w:p>
        </w:tc>
      </w:tr>
      <w:tr>
        <w:trPr>
          <w:trHeight w:val="202"/>
        </w:trPr>
        <w:tc>
          <w:tcPr>
            <w:tcW w:w="2300" w:type="dxa"/>
            <w:vAlign w:val="bottom"/>
            <w:gridSpan w:val="4"/>
          </w:tcPr>
          <w:p>
            <w:pPr>
              <w:ind w:left="20"/>
              <w:spacing w:after="0" w:line="201" w:lineRule="exact"/>
              <w:rPr>
                <w:sz w:val="20"/>
                <w:szCs w:val="20"/>
                <w:color w:val="auto"/>
              </w:rPr>
            </w:pPr>
            <w:r>
              <w:rPr>
                <w:rFonts w:ascii="Arial" w:cs="Arial" w:eastAsia="Arial" w:hAnsi="Arial"/>
                <w:sz w:val="18"/>
                <w:szCs w:val="18"/>
                <w:color w:val="auto"/>
              </w:rPr>
              <w:t>Silver Spring Networks,</w:t>
            </w: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3"/>
          </w:tcPr>
          <w:p>
            <w:pPr>
              <w:ind w:left="180"/>
              <w:spacing w:after="0"/>
              <w:rPr>
                <w:sz w:val="20"/>
                <w:szCs w:val="20"/>
                <w:color w:val="auto"/>
              </w:rPr>
            </w:pPr>
            <w:r>
              <w:rPr>
                <w:rFonts w:ascii="Arial" w:cs="Arial" w:eastAsia="Arial" w:hAnsi="Arial"/>
                <w:sz w:val="18"/>
                <w:szCs w:val="18"/>
                <w:color w:val="auto"/>
              </w:rPr>
              <w:t>Inc.</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3,372,024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5,145,271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1,773,247</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(3,372,024)</w:t>
            </w:r>
          </w:p>
        </w:tc>
        <w:tc>
          <w:tcPr>
            <w:tcW w:w="0" w:type="dxa"/>
            <w:vAlign w:val="bottom"/>
          </w:tcPr>
          <w:p>
            <w:pPr>
              <w:spacing w:after="0"/>
              <w:rPr>
                <w:sz w:val="1"/>
                <w:szCs w:val="1"/>
                <w:color w:val="auto"/>
              </w:rPr>
            </w:pPr>
          </w:p>
        </w:tc>
      </w:tr>
      <w:tr>
        <w:trPr>
          <w:trHeight w:val="216"/>
        </w:trPr>
        <w:tc>
          <w:tcPr>
            <w:tcW w:w="23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Violin Memory, Inc.</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9,830,186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14,820,178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4,989,992</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(9,830,186)</w:t>
            </w:r>
          </w:p>
        </w:tc>
        <w:tc>
          <w:tcPr>
            <w:tcW w:w="0" w:type="dxa"/>
            <w:vAlign w:val="bottom"/>
          </w:tcPr>
          <w:p>
            <w:pPr>
              <w:spacing w:after="0"/>
              <w:rPr>
                <w:sz w:val="1"/>
                <w:szCs w:val="1"/>
                <w:color w:val="auto"/>
              </w:rPr>
            </w:pPr>
          </w:p>
        </w:tc>
      </w:tr>
      <w:tr>
        <w:trPr>
          <w:trHeight w:val="216"/>
        </w:trPr>
        <w:tc>
          <w:tcPr>
            <w:tcW w:w="2300" w:type="dxa"/>
            <w:vAlign w:val="bottom"/>
            <w:gridSpan w:val="4"/>
          </w:tcPr>
          <w:p>
            <w:pPr>
              <w:ind w:left="20"/>
              <w:spacing w:after="0"/>
              <w:rPr>
                <w:sz w:val="20"/>
                <w:szCs w:val="20"/>
                <w:color w:val="auto"/>
              </w:rPr>
            </w:pPr>
            <w:r>
              <w:rPr>
                <w:rFonts w:ascii="Arial" w:cs="Arial" w:eastAsia="Arial" w:hAnsi="Arial"/>
                <w:sz w:val="18"/>
                <w:szCs w:val="18"/>
                <w:color w:val="auto"/>
              </w:rPr>
              <w:t>Control4 Corporation</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(7,024,773)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5,257,705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12,282,478</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7,024,773</w:t>
            </w:r>
          </w:p>
        </w:tc>
        <w:tc>
          <w:tcPr>
            <w:tcW w:w="0" w:type="dxa"/>
            <w:vAlign w:val="bottom"/>
          </w:tcPr>
          <w:p>
            <w:pPr>
              <w:spacing w:after="0"/>
              <w:rPr>
                <w:sz w:val="1"/>
                <w:szCs w:val="1"/>
                <w:color w:val="auto"/>
              </w:rPr>
            </w:pPr>
          </w:p>
        </w:tc>
      </w:tr>
      <w:tr>
        <w:trPr>
          <w:trHeight w:val="216"/>
        </w:trPr>
        <w:tc>
          <w:tcPr>
            <w:tcW w:w="23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Totus Solutions, Inc.</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(2,609,239)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6,100,283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1,094,403</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(5,005,880)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6,023,973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3,627,332</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(2,396,641)</w:t>
            </w:r>
          </w:p>
        </w:tc>
        <w:tc>
          <w:tcPr>
            <w:tcW w:w="0" w:type="dxa"/>
            <w:vAlign w:val="bottom"/>
          </w:tcPr>
          <w:p>
            <w:pPr>
              <w:spacing w:after="0"/>
              <w:rPr>
                <w:sz w:val="1"/>
                <w:szCs w:val="1"/>
                <w:color w:val="auto"/>
              </w:rPr>
            </w:pPr>
          </w:p>
        </w:tc>
      </w:tr>
      <w:tr>
        <w:trPr>
          <w:trHeight w:val="257"/>
        </w:trPr>
        <w:tc>
          <w:tcPr>
            <w:tcW w:w="2300" w:type="dxa"/>
            <w:vAlign w:val="bottom"/>
            <w:gridSpan w:val="4"/>
          </w:tcPr>
          <w:p>
            <w:pPr>
              <w:ind w:left="20"/>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(1)</w:t>
            </w:r>
          </w:p>
        </w:tc>
        <w:tc>
          <w:tcPr>
            <w:tcW w:w="6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(433,003)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274,608,465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269,600,195</w:t>
            </w:r>
          </w:p>
        </w:tc>
        <w:tc>
          <w:tcPr>
            <w:tcW w:w="4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(5,008,270)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260,055,782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255,480,515</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(4,575,267)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$ 11,472,725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372,046,879</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456,140,424</w:t>
            </w:r>
          </w:p>
        </w:tc>
        <w:tc>
          <w:tcPr>
            <w:tcW w:w="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84,093,545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384,492,701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457,113,521</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 xml:space="preserve"> 72,620,820</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149225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4922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-187960</wp:posOffset>
            </wp:positionV>
            <wp:extent cx="149225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492250" cy="8890"/>
                    </a:xfrm>
                    <a:prstGeom prst="rect">
                      <a:avLst/>
                    </a:prstGeom>
                    <a:noFill/>
                  </pic:spPr>
                </pic:pic>
              </a:graphicData>
            </a:graphic>
          </wp:anchor>
        </w:drawing>
        <w:drawing>
          <wp:anchor simplePos="0" relativeHeight="251657728" behindDoc="1" locked="0" layoutInCell="0" allowOverlap="1">
            <wp:simplePos x="0" y="0"/>
            <wp:positionH relativeFrom="column">
              <wp:posOffset>2081530</wp:posOffset>
            </wp:positionH>
            <wp:positionV relativeFrom="paragraph">
              <wp:posOffset>-213995</wp:posOffset>
            </wp:positionV>
            <wp:extent cx="11176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2081530</wp:posOffset>
            </wp:positionH>
            <wp:positionV relativeFrom="paragraph">
              <wp:posOffset>-187960</wp:posOffset>
            </wp:positionV>
            <wp:extent cx="11176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2827655</wp:posOffset>
            </wp:positionH>
            <wp:positionV relativeFrom="paragraph">
              <wp:posOffset>-213995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2827655</wp:posOffset>
            </wp:positionH>
            <wp:positionV relativeFrom="paragraph">
              <wp:posOffset>-187960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3530600</wp:posOffset>
            </wp:positionH>
            <wp:positionV relativeFrom="paragraph">
              <wp:posOffset>-213995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3530600</wp:posOffset>
            </wp:positionH>
            <wp:positionV relativeFrom="paragraph">
              <wp:posOffset>-187960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4173855</wp:posOffset>
            </wp:positionH>
            <wp:positionV relativeFrom="paragraph">
              <wp:posOffset>-213995</wp:posOffset>
            </wp:positionV>
            <wp:extent cx="10287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4173855</wp:posOffset>
            </wp:positionH>
            <wp:positionV relativeFrom="paragraph">
              <wp:posOffset>-187960</wp:posOffset>
            </wp:positionV>
            <wp:extent cx="10287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-213995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-187960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-213995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-187960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6266180</wp:posOffset>
            </wp:positionH>
            <wp:positionV relativeFrom="paragraph">
              <wp:posOffset>-213995</wp:posOffset>
            </wp:positionV>
            <wp:extent cx="7747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6266180</wp:posOffset>
            </wp:positionH>
            <wp:positionV relativeFrom="paragraph">
              <wp:posOffset>-187960</wp:posOffset>
            </wp:positionV>
            <wp:extent cx="7747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-2734945</wp:posOffset>
            </wp:positionV>
            <wp:extent cx="63373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33730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-2597785</wp:posOffset>
            </wp:positionV>
            <wp:extent cx="63373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337300" cy="8890"/>
                    </a:xfrm>
                    <a:prstGeom prst="rect">
                      <a:avLst/>
                    </a:prstGeom>
                    <a:noFill/>
                  </pic:spPr>
                </pic:pic>
              </a:graphicData>
            </a:graphic>
          </wp:anchor>
        </w:drawing>
      </w:r>
    </w:p>
    <w:p>
      <w:pPr>
        <w:spacing w:after="0" w:line="236" w:lineRule="exact"/>
        <w:rPr>
          <w:sz w:val="20"/>
          <w:szCs w:val="20"/>
          <w:color w:val="auto"/>
        </w:rPr>
      </w:pPr>
    </w:p>
    <w:p>
      <w:pPr>
        <w:ind w:left="300" w:right="540" w:hanging="272"/>
        <w:spacing w:after="0" w:line="308" w:lineRule="auto"/>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Other represents all investments (including U.S. Treasury Bills and U.S. Treasury Strips) whose individual change in unrealized appreciation (depreciation) was less than $1,000,000 for the three months ended June 30, 2015 and 2014.</w:t>
      </w:r>
    </w:p>
    <w:p>
      <w:pPr>
        <w:spacing w:after="0" w:line="38" w:lineRule="exact"/>
        <w:rPr>
          <w:sz w:val="20"/>
          <w:szCs w:val="20"/>
          <w:color w:val="auto"/>
        </w:rPr>
      </w:pPr>
    </w:p>
    <w:p>
      <w:pPr>
        <w:jc w:val="both"/>
        <w:ind w:left="60" w:right="520" w:firstLine="270"/>
        <w:spacing w:after="0" w:line="259" w:lineRule="auto"/>
        <w:rPr>
          <w:sz w:val="20"/>
          <w:szCs w:val="20"/>
          <w:color w:val="auto"/>
        </w:rPr>
      </w:pPr>
      <w:r>
        <w:rPr>
          <w:rFonts w:ascii="Arial" w:cs="Arial" w:eastAsia="Arial" w:hAnsi="Arial"/>
          <w:sz w:val="18"/>
          <w:szCs w:val="18"/>
          <w:color w:val="auto"/>
        </w:rPr>
        <w:t>For the six months ended June 30, 2015, we had a net change in unrealized appreciation of $22,039,682. For the six months ended June 30, 2014, we had a net change in unrealized appreciation of $8,399,046. The following tables summarize, by portfolio company, the significant changes in unrealized appreciation (depreciation) of our investment portfolio for the six months ended June 30, 2015 and 2014,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64058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40588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153670</wp:posOffset>
            </wp:positionV>
            <wp:extent cx="64058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405880" cy="8890"/>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4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87"/>
              </w:rPr>
              <w:t>As of June 30, 2015</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Change in</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5"/>
              </w:rPr>
              <w:t>(Unaudited)</w:t>
            </w: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2"/>
              </w:rPr>
              <w:t>As of December 31, 2014</w:t>
            </w:r>
          </w:p>
        </w:tc>
        <w:tc>
          <w:tcPr>
            <w:tcW w:w="0" w:type="dxa"/>
            <w:vAlign w:val="bottom"/>
          </w:tcPr>
          <w:p>
            <w:pPr>
              <w:spacing w:after="0"/>
              <w:rPr>
                <w:sz w:val="1"/>
                <w:szCs w:val="1"/>
                <w:color w:val="auto"/>
              </w:rPr>
            </w:pPr>
          </w:p>
        </w:tc>
      </w:tr>
      <w:tr>
        <w:trPr>
          <w:trHeight w:val="119"/>
        </w:trPr>
        <w:tc>
          <w:tcPr>
            <w:tcW w:w="2360" w:type="dxa"/>
            <w:vAlign w:val="bottom"/>
          </w:tcPr>
          <w:p>
            <w:pPr>
              <w:spacing w:after="0"/>
              <w:rPr>
                <w:sz w:val="10"/>
                <w:szCs w:val="10"/>
                <w:color w:val="auto"/>
              </w:rPr>
            </w:pPr>
          </w:p>
        </w:tc>
        <w:tc>
          <w:tcPr>
            <w:tcW w:w="114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rPr>
              <w:t>Fair</w:t>
            </w:r>
          </w:p>
        </w:tc>
        <w:tc>
          <w:tcPr>
            <w:tcW w:w="114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rPr>
              <w:t>Fair</w:t>
            </w:r>
          </w:p>
        </w:tc>
        <w:tc>
          <w:tcPr>
            <w:tcW w:w="10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49"/>
        </w:trPr>
        <w:tc>
          <w:tcPr>
            <w:tcW w:w="2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 w:type="dxa"/>
            <w:vAlign w:val="bottom"/>
          </w:tcPr>
          <w:p>
            <w:pPr>
              <w:spacing w:after="0"/>
              <w:rPr>
                <w:sz w:val="12"/>
                <w:szCs w:val="12"/>
                <w:color w:val="auto"/>
              </w:rPr>
            </w:pPr>
          </w:p>
        </w:tc>
        <w:tc>
          <w:tcPr>
            <w:tcW w:w="10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1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 w:type="dxa"/>
            <w:vAlign w:val="bottom"/>
          </w:tcPr>
          <w:p>
            <w:pPr>
              <w:spacing w:after="0"/>
              <w:rPr>
                <w:sz w:val="12"/>
                <w:szCs w:val="12"/>
                <w:color w:val="auto"/>
              </w:rPr>
            </w:pPr>
          </w:p>
        </w:tc>
        <w:tc>
          <w:tcPr>
            <w:tcW w:w="10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236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3"/>
              </w:rPr>
              <w:t>(Depreciation)</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3"/>
              </w:rPr>
              <w:t>(Depreciation)</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Value</w:t>
            </w: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210"/>
        </w:trPr>
        <w:tc>
          <w:tcPr>
            <w:tcW w:w="2360" w:type="dxa"/>
            <w:vAlign w:val="bottom"/>
          </w:tcPr>
          <w:p>
            <w:pPr>
              <w:ind w:left="20"/>
              <w:spacing w:after="0"/>
              <w:rPr>
                <w:sz w:val="20"/>
                <w:szCs w:val="20"/>
                <w:color w:val="auto"/>
              </w:rPr>
            </w:pPr>
            <w:r>
              <w:rPr>
                <w:rFonts w:ascii="Arial" w:cs="Arial" w:eastAsia="Arial" w:hAnsi="Arial"/>
                <w:sz w:val="18"/>
                <w:szCs w:val="18"/>
                <w:color w:val="auto"/>
              </w:rPr>
              <w:t>Twitter, Inc.</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$(15,136,093)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w w:val="97"/>
              </w:rPr>
              <w:t>14,271,866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w w:val="97"/>
              </w:rPr>
              <w:t>28,997,732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$ 14,725,866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w w:val="97"/>
              </w:rPr>
              <w:t>27,551,563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99"/>
              </w:rPr>
              <w:t>57,413,522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$ 29,861,959</w:t>
            </w: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Dataminr, Inc.</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7,931,309</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3,164,265</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11,876,054</w:t>
            </w: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8,711,789</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3,164,265</w:t>
            </w: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3,944,745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780,480</w:t>
            </w:r>
          </w:p>
        </w:tc>
        <w:tc>
          <w:tcPr>
            <w:tcW w:w="0" w:type="dxa"/>
            <w:vAlign w:val="bottom"/>
          </w:tcPr>
          <w:p>
            <w:pPr>
              <w:spacing w:after="0"/>
              <w:rPr>
                <w:sz w:val="1"/>
                <w:szCs w:val="1"/>
                <w:color w:val="auto"/>
              </w:rPr>
            </w:pPr>
          </w:p>
        </w:tc>
      </w:tr>
      <w:tr>
        <w:trPr>
          <w:trHeight w:val="216"/>
        </w:trPr>
        <w:tc>
          <w:tcPr>
            <w:tcW w:w="2360" w:type="dxa"/>
            <w:vAlign w:val="bottom"/>
          </w:tcPr>
          <w:p>
            <w:pPr>
              <w:ind w:left="20"/>
              <w:spacing w:after="0"/>
              <w:rPr>
                <w:sz w:val="20"/>
                <w:szCs w:val="20"/>
                <w:color w:val="auto"/>
              </w:rPr>
            </w:pPr>
            <w:r>
              <w:rPr>
                <w:rFonts w:ascii="Arial" w:cs="Arial" w:eastAsia="Arial" w:hAnsi="Arial"/>
                <w:sz w:val="18"/>
                <w:szCs w:val="18"/>
                <w:color w:val="auto"/>
              </w:rPr>
              <w:t>2U, Inc. (f/k/a 2tor, Inc.)</w:t>
            </w:r>
          </w:p>
        </w:tc>
        <w:tc>
          <w:tcPr>
            <w:tcW w:w="980" w:type="dxa"/>
            <w:vAlign w:val="bottom"/>
          </w:tcPr>
          <w:p>
            <w:pPr>
              <w:jc w:val="right"/>
              <w:spacing w:after="0"/>
              <w:rPr>
                <w:sz w:val="20"/>
                <w:szCs w:val="20"/>
                <w:color w:val="auto"/>
              </w:rPr>
            </w:pPr>
            <w:r>
              <w:rPr>
                <w:rFonts w:ascii="Arial" w:cs="Arial" w:eastAsia="Arial" w:hAnsi="Arial"/>
                <w:sz w:val="18"/>
                <w:szCs w:val="18"/>
                <w:color w:val="auto"/>
              </w:rPr>
              <w:t>14,876,990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w w:val="97"/>
              </w:rPr>
              <w:t>10,032,117</w:t>
            </w:r>
          </w:p>
        </w:tc>
        <w:tc>
          <w:tcPr>
            <w:tcW w:w="10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w w:val="97"/>
              </w:rPr>
              <w:t>38,219,499</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28,187,382</w:t>
            </w:r>
          </w:p>
        </w:tc>
        <w:tc>
          <w:tcPr>
            <w:tcW w:w="1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w w:val="97"/>
              </w:rPr>
              <w:t>10,032,117</w:t>
            </w:r>
          </w:p>
        </w:tc>
        <w:tc>
          <w:tcPr>
            <w:tcW w:w="8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99"/>
              </w:rPr>
              <w:t>23,342,509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13,310,392</w:t>
            </w: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Lyft, Inc.</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3,659,875</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7,507,216</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11,162,511</w:t>
            </w: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3,655,295</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5,003,634</w:t>
            </w: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4,999,054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(4,580)</w:t>
            </w:r>
          </w:p>
        </w:tc>
        <w:tc>
          <w:tcPr>
            <w:tcW w:w="0" w:type="dxa"/>
            <w:vAlign w:val="bottom"/>
          </w:tcPr>
          <w:p>
            <w:pPr>
              <w:spacing w:after="0"/>
              <w:rPr>
                <w:sz w:val="1"/>
                <w:szCs w:val="1"/>
                <w:color w:val="auto"/>
              </w:rPr>
            </w:pPr>
          </w:p>
        </w:tc>
      </w:tr>
      <w:tr>
        <w:trPr>
          <w:trHeight w:val="216"/>
        </w:trPr>
        <w:tc>
          <w:tcPr>
            <w:tcW w:w="2360" w:type="dxa"/>
            <w:vAlign w:val="bottom"/>
          </w:tcPr>
          <w:p>
            <w:pPr>
              <w:ind w:left="20"/>
              <w:spacing w:after="0"/>
              <w:rPr>
                <w:sz w:val="20"/>
                <w:szCs w:val="20"/>
                <w:color w:val="auto"/>
              </w:rPr>
            </w:pPr>
            <w:r>
              <w:rPr>
                <w:rFonts w:ascii="Arial" w:cs="Arial" w:eastAsia="Arial" w:hAnsi="Arial"/>
                <w:sz w:val="18"/>
                <w:szCs w:val="18"/>
                <w:color w:val="auto"/>
              </w:rPr>
              <w:t>Chegg, Inc.</w:t>
            </w:r>
          </w:p>
        </w:tc>
        <w:tc>
          <w:tcPr>
            <w:tcW w:w="980" w:type="dxa"/>
            <w:vAlign w:val="bottom"/>
          </w:tcPr>
          <w:p>
            <w:pPr>
              <w:jc w:val="right"/>
              <w:spacing w:after="0"/>
              <w:rPr>
                <w:sz w:val="20"/>
                <w:szCs w:val="20"/>
                <w:color w:val="auto"/>
              </w:rPr>
            </w:pPr>
            <w:r>
              <w:rPr>
                <w:rFonts w:ascii="Arial" w:cs="Arial" w:eastAsia="Arial" w:hAnsi="Arial"/>
                <w:sz w:val="18"/>
                <w:szCs w:val="18"/>
                <w:color w:val="auto"/>
              </w:rPr>
              <w:t>1,099,996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w w:val="97"/>
              </w:rPr>
              <w:t>14,022,863</w:t>
            </w:r>
          </w:p>
        </w:tc>
        <w:tc>
          <w:tcPr>
            <w:tcW w:w="10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9,273,089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(4,749,774)</w:t>
            </w:r>
          </w:p>
        </w:tc>
        <w:tc>
          <w:tcPr>
            <w:tcW w:w="1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w w:val="97"/>
              </w:rPr>
              <w:t>14,022,863</w:t>
            </w:r>
          </w:p>
        </w:tc>
        <w:tc>
          <w:tcPr>
            <w:tcW w:w="8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8,173,093</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(5,849,770)</w:t>
            </w: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JAMF Holdings, Inc.</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1,238,327</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9,999,928</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11,237,917</w:t>
            </w: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1,237,989</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9,999,928</w:t>
            </w: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9,999,590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360" w:type="dxa"/>
            <w:vAlign w:val="bottom"/>
          </w:tcPr>
          <w:p>
            <w:pPr>
              <w:ind w:left="20"/>
              <w:spacing w:after="0"/>
              <w:rPr>
                <w:sz w:val="20"/>
                <w:szCs w:val="20"/>
                <w:color w:val="auto"/>
              </w:rPr>
            </w:pPr>
            <w:r>
              <w:rPr>
                <w:rFonts w:ascii="Arial" w:cs="Arial" w:eastAsia="Arial" w:hAnsi="Arial"/>
                <w:sz w:val="18"/>
                <w:szCs w:val="18"/>
                <w:color w:val="auto"/>
              </w:rPr>
              <w:t>Spotify Technology S.A.</w:t>
            </w:r>
          </w:p>
        </w:tc>
        <w:tc>
          <w:tcPr>
            <w:tcW w:w="980" w:type="dxa"/>
            <w:vAlign w:val="bottom"/>
          </w:tcPr>
          <w:p>
            <w:pPr>
              <w:jc w:val="right"/>
              <w:spacing w:after="0"/>
              <w:rPr>
                <w:sz w:val="20"/>
                <w:szCs w:val="20"/>
                <w:color w:val="auto"/>
              </w:rPr>
            </w:pPr>
            <w:r>
              <w:rPr>
                <w:rFonts w:ascii="Arial" w:cs="Arial" w:eastAsia="Arial" w:hAnsi="Arial"/>
                <w:sz w:val="18"/>
                <w:szCs w:val="18"/>
                <w:color w:val="auto"/>
              </w:rPr>
              <w:t>2,475,382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3,598,472</w:t>
            </w:r>
          </w:p>
        </w:tc>
        <w:tc>
          <w:tcPr>
            <w:tcW w:w="10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8,152,255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4,553,783</w:t>
            </w:r>
          </w:p>
        </w:tc>
        <w:tc>
          <w:tcPr>
            <w:tcW w:w="1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3,598,472</w:t>
            </w:r>
          </w:p>
        </w:tc>
        <w:tc>
          <w:tcPr>
            <w:tcW w:w="8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5,676,873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2,078,401</w:t>
            </w: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Palantir Technologies, Inc.</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3,306,585</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17,200,023</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48,783,020</w:t>
            </w: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31,582,997</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17,198,903</w:t>
            </w: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45,475,315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28,276,412</w:t>
            </w:r>
          </w:p>
        </w:tc>
        <w:tc>
          <w:tcPr>
            <w:tcW w:w="0" w:type="dxa"/>
            <w:vAlign w:val="bottom"/>
          </w:tcPr>
          <w:p>
            <w:pPr>
              <w:spacing w:after="0"/>
              <w:rPr>
                <w:sz w:val="1"/>
                <w:szCs w:val="1"/>
                <w:color w:val="auto"/>
              </w:rPr>
            </w:pPr>
          </w:p>
        </w:tc>
      </w:tr>
      <w:tr>
        <w:trPr>
          <w:trHeight w:val="216"/>
        </w:trPr>
        <w:tc>
          <w:tcPr>
            <w:tcW w:w="2360" w:type="dxa"/>
            <w:vAlign w:val="bottom"/>
          </w:tcPr>
          <w:p>
            <w:pPr>
              <w:ind w:left="20"/>
              <w:spacing w:after="0"/>
              <w:rPr>
                <w:sz w:val="20"/>
                <w:szCs w:val="20"/>
                <w:color w:val="auto"/>
              </w:rPr>
            </w:pPr>
            <w:r>
              <w:rPr>
                <w:rFonts w:ascii="Arial" w:cs="Arial" w:eastAsia="Arial" w:hAnsi="Arial"/>
                <w:sz w:val="18"/>
                <w:szCs w:val="18"/>
                <w:color w:val="auto"/>
              </w:rPr>
              <w:t>Dropbox, Inc.</w:t>
            </w:r>
          </w:p>
        </w:tc>
        <w:tc>
          <w:tcPr>
            <w:tcW w:w="980" w:type="dxa"/>
            <w:vAlign w:val="bottom"/>
          </w:tcPr>
          <w:p>
            <w:pPr>
              <w:jc w:val="right"/>
              <w:spacing w:after="0"/>
              <w:rPr>
                <w:sz w:val="20"/>
                <w:szCs w:val="20"/>
                <w:color w:val="auto"/>
              </w:rPr>
            </w:pPr>
            <w:r>
              <w:rPr>
                <w:rFonts w:ascii="Arial" w:cs="Arial" w:eastAsia="Arial" w:hAnsi="Arial"/>
                <w:sz w:val="18"/>
                <w:szCs w:val="18"/>
                <w:color w:val="auto"/>
              </w:rPr>
              <w:t>4,958,996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w w:val="97"/>
              </w:rPr>
              <w:t>13,656,926</w:t>
            </w:r>
          </w:p>
        </w:tc>
        <w:tc>
          <w:tcPr>
            <w:tcW w:w="10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w w:val="97"/>
              </w:rPr>
              <w:t>30,027,479</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16,370,553</w:t>
            </w:r>
          </w:p>
        </w:tc>
        <w:tc>
          <w:tcPr>
            <w:tcW w:w="1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w w:val="97"/>
              </w:rPr>
              <w:t>13,656,926</w:t>
            </w:r>
          </w:p>
        </w:tc>
        <w:tc>
          <w:tcPr>
            <w:tcW w:w="8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99"/>
              </w:rPr>
              <w:t>25,068,483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11,411,557</w:t>
            </w: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SugarCRM, Inc.</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1,029,396</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8,301,474</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12,291,890</w:t>
            </w: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3,990,416</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8,299,914</w:t>
            </w: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11,260,934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2,961,020</w:t>
            </w:r>
          </w:p>
        </w:tc>
        <w:tc>
          <w:tcPr>
            <w:tcW w:w="0" w:type="dxa"/>
            <w:vAlign w:val="bottom"/>
          </w:tcPr>
          <w:p>
            <w:pPr>
              <w:spacing w:after="0"/>
              <w:rPr>
                <w:sz w:val="1"/>
                <w:szCs w:val="1"/>
                <w:color w:val="auto"/>
              </w:rPr>
            </w:pPr>
          </w:p>
        </w:tc>
      </w:tr>
      <w:tr>
        <w:trPr>
          <w:trHeight w:val="216"/>
        </w:trPr>
        <w:tc>
          <w:tcPr>
            <w:tcW w:w="2360" w:type="dxa"/>
            <w:vAlign w:val="bottom"/>
          </w:tcPr>
          <w:p>
            <w:pPr>
              <w:ind w:left="20"/>
              <w:spacing w:after="0"/>
              <w:rPr>
                <w:sz w:val="20"/>
                <w:szCs w:val="20"/>
                <w:color w:val="auto"/>
              </w:rPr>
            </w:pPr>
            <w:r>
              <w:rPr>
                <w:rFonts w:ascii="Arial" w:cs="Arial" w:eastAsia="Arial" w:hAnsi="Arial"/>
                <w:sz w:val="18"/>
                <w:szCs w:val="18"/>
                <w:color w:val="auto"/>
              </w:rPr>
              <w:t>Gilt Groupe Holdings, Inc.</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(1,973,186)</w:t>
            </w:r>
          </w:p>
        </w:tc>
        <w:tc>
          <w:tcPr>
            <w:tcW w:w="10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6,594,433</w:t>
            </w:r>
          </w:p>
        </w:tc>
        <w:tc>
          <w:tcPr>
            <w:tcW w:w="10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1,194,922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(5,399,511)</w:t>
            </w:r>
          </w:p>
        </w:tc>
        <w:tc>
          <w:tcPr>
            <w:tcW w:w="1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6,594,433</w:t>
            </w:r>
          </w:p>
        </w:tc>
        <w:tc>
          <w:tcPr>
            <w:tcW w:w="8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3,168,108</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(3,426,325)</w:t>
            </w:r>
          </w:p>
        </w:tc>
        <w:tc>
          <w:tcPr>
            <w:tcW w:w="0" w:type="dxa"/>
            <w:vAlign w:val="bottom"/>
          </w:tcPr>
          <w:p>
            <w:pPr>
              <w:spacing w:after="0"/>
              <w:rPr>
                <w:sz w:val="1"/>
                <w:szCs w:val="1"/>
                <w:color w:val="auto"/>
              </w:rPr>
            </w:pPr>
          </w:p>
        </w:tc>
      </w:tr>
      <w:tr>
        <w:trPr>
          <w:trHeight w:val="257"/>
        </w:trPr>
        <w:tc>
          <w:tcPr>
            <w:tcW w:w="2360" w:type="dxa"/>
            <w:vAlign w:val="bottom"/>
            <w:tcBorders>
              <w:right w:val="single" w:sz="8" w:color="CCEEFF"/>
            </w:tcBorders>
            <w:shd w:val="clear" w:color="auto" w:fill="CCEEFF"/>
          </w:tcPr>
          <w:p>
            <w:pPr>
              <w:ind w:left="20"/>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(1)</w:t>
            </w: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(1,427,895)</w:t>
            </w:r>
          </w:p>
        </w:tc>
        <w:tc>
          <w:tcPr>
            <w:tcW w:w="100" w:type="dxa"/>
            <w:vAlign w:val="bottom"/>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295,570,373</w:t>
            </w:r>
          </w:p>
        </w:tc>
        <w:tc>
          <w:tcPr>
            <w:tcW w:w="100" w:type="dxa"/>
            <w:vAlign w:val="bottom"/>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7"/>
              </w:rPr>
              <w:t>284,625,972</w:t>
            </w: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(10,944,401)</w:t>
            </w:r>
          </w:p>
        </w:tc>
        <w:tc>
          <w:tcPr>
            <w:tcW w:w="100" w:type="dxa"/>
            <w:vAlign w:val="bottom"/>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7"/>
              </w:rPr>
              <w:t>289,276,695</w:t>
            </w:r>
          </w:p>
        </w:tc>
        <w:tc>
          <w:tcPr>
            <w:tcW w:w="80" w:type="dxa"/>
            <w:vAlign w:val="bottom"/>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279,760,189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(9,516,506)</w:t>
            </w:r>
          </w:p>
        </w:tc>
        <w:tc>
          <w:tcPr>
            <w:tcW w:w="0" w:type="dxa"/>
            <w:vAlign w:val="bottom"/>
          </w:tcPr>
          <w:p>
            <w:pPr>
              <w:spacing w:after="0"/>
              <w:rPr>
                <w:sz w:val="1"/>
                <w:szCs w:val="1"/>
                <w:color w:val="auto"/>
              </w:rPr>
            </w:pPr>
          </w:p>
        </w:tc>
      </w:tr>
      <w:tr>
        <w:trPr>
          <w:trHeight w:val="20"/>
        </w:trPr>
        <w:tc>
          <w:tcPr>
            <w:tcW w:w="236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60" w:type="dxa"/>
            <w:vAlign w:val="bottom"/>
          </w:tcPr>
          <w:p>
            <w:pPr>
              <w:ind w:left="20"/>
              <w:spacing w:after="0"/>
              <w:rPr>
                <w:sz w:val="20"/>
                <w:szCs w:val="20"/>
                <w:color w:val="auto"/>
              </w:rPr>
            </w:pPr>
            <w:r>
              <w:rPr>
                <w:rFonts w:ascii="Arial" w:cs="Arial" w:eastAsia="Arial" w:hAnsi="Arial"/>
                <w:sz w:val="18"/>
                <w:szCs w:val="18"/>
                <w:color w:val="auto"/>
              </w:rPr>
              <w:t>Totals</w:t>
            </w:r>
          </w:p>
        </w:tc>
        <w:tc>
          <w:tcPr>
            <w:tcW w:w="980" w:type="dxa"/>
            <w:vAlign w:val="bottom"/>
          </w:tcPr>
          <w:p>
            <w:pPr>
              <w:jc w:val="right"/>
              <w:spacing w:after="0"/>
              <w:rPr>
                <w:sz w:val="20"/>
                <w:szCs w:val="20"/>
                <w:color w:val="auto"/>
              </w:rPr>
            </w:pPr>
            <w:r>
              <w:rPr>
                <w:rFonts w:ascii="Arial" w:cs="Arial" w:eastAsia="Arial" w:hAnsi="Arial"/>
                <w:sz w:val="18"/>
                <w:szCs w:val="18"/>
                <w:color w:val="auto"/>
                <w:w w:val="91"/>
              </w:rPr>
              <w:t>$ 22,039,682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w w:val="87"/>
              </w:rPr>
              <w:t>403,919,956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w w:val="87"/>
              </w:rPr>
              <w:t>495,842,340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$ 91,922,384</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w w:val="87"/>
              </w:rPr>
              <w:t>408,399,713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89"/>
              </w:rPr>
              <w:t>478,282,415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69,882,702</w:t>
            </w:r>
          </w:p>
        </w:tc>
        <w:tc>
          <w:tcPr>
            <w:tcW w:w="0" w:type="dxa"/>
            <w:vAlign w:val="bottom"/>
          </w:tcPr>
          <w:p>
            <w:pPr>
              <w:spacing w:after="0"/>
              <w:rPr>
                <w:sz w:val="1"/>
                <w:szCs w:val="1"/>
                <w:color w:val="auto"/>
              </w:rPr>
            </w:pPr>
          </w:p>
        </w:tc>
      </w:tr>
      <w:tr>
        <w:trPr>
          <w:trHeight w:val="21"/>
        </w:trPr>
        <w:tc>
          <w:tcPr>
            <w:tcW w:w="2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6405880" cy="1803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405880" cy="18034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100"/>
          </w:cols>
          <w:pgMar w:left="360" w:top="789" w:right="14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2300" w:type="dxa"/>
            <w:vAlign w:val="bottom"/>
            <w:gridSpan w:val="4"/>
          </w:tcPr>
          <w:p>
            <w:pPr>
              <w:ind w:left="20"/>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2"/>
        </w:trPr>
        <w:tc>
          <w:tcPr>
            <w:tcW w:w="2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gridSpan w:val="6"/>
          </w:tcPr>
          <w:p>
            <w:pPr>
              <w:ind w:left="20"/>
              <w:spacing w:after="0"/>
              <w:rPr>
                <w:sz w:val="20"/>
                <w:szCs w:val="20"/>
                <w:color w:val="auto"/>
              </w:rPr>
            </w:pPr>
            <w:r>
              <w:rPr>
                <w:rFonts w:ascii="Arial" w:cs="Arial" w:eastAsia="Arial" w:hAnsi="Arial"/>
                <w:sz w:val="14"/>
                <w:szCs w:val="14"/>
                <w:b w:val="1"/>
                <w:bCs w:val="1"/>
                <w:color w:val="auto"/>
                <w:w w:val="89"/>
              </w:rPr>
              <w:t>As of June 30, 2014</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0"/>
              </w:rPr>
              <w:t>As of December 31, 2013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Change in</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5"/>
              </w:rPr>
              <w:t>(Unaudited)</w:t>
            </w: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rPr>
              <w:t>Fair</w:t>
            </w:r>
          </w:p>
        </w:tc>
        <w:tc>
          <w:tcPr>
            <w:tcW w:w="10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0"/>
                <w:szCs w:val="10"/>
                <w:color w:val="auto"/>
              </w:rPr>
            </w:pPr>
          </w:p>
        </w:tc>
        <w:tc>
          <w:tcPr>
            <w:tcW w:w="108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49"/>
        </w:trPr>
        <w:tc>
          <w:tcPr>
            <w:tcW w:w="23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23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(Depreciation)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210"/>
        </w:trPr>
        <w:tc>
          <w:tcPr>
            <w:tcW w:w="230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Twitter, Inc.</w:t>
            </w: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0"/>
              </w:rPr>
              <w:t>(24,954,878)</w:t>
            </w: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32,991,111</w:t>
            </w: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7"/>
              </w:rPr>
              <w:t>77,867,582</w:t>
            </w:r>
          </w:p>
        </w:tc>
        <w:tc>
          <w:tcPr>
            <w:tcW w:w="40" w:type="dxa"/>
            <w:vAlign w:val="bottom"/>
          </w:tcPr>
          <w:p>
            <w:pPr>
              <w:spacing w:after="0"/>
              <w:rPr>
                <w:sz w:val="18"/>
                <w:szCs w:val="18"/>
                <w:color w:val="auto"/>
              </w:rPr>
            </w:pPr>
          </w:p>
        </w:tc>
        <w:tc>
          <w:tcPr>
            <w:tcW w:w="10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9"/>
              </w:rPr>
              <w:t>$44,876,471</w:t>
            </w: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7"/>
              </w:rPr>
              <w:t>32,991,111</w:t>
            </w:r>
          </w:p>
        </w:tc>
        <w:tc>
          <w:tcPr>
            <w:tcW w:w="60" w:type="dxa"/>
            <w:vAlign w:val="bottom"/>
          </w:tcPr>
          <w:p>
            <w:pPr>
              <w:spacing w:after="0"/>
              <w:rPr>
                <w:sz w:val="18"/>
                <w:szCs w:val="18"/>
                <w:color w:val="auto"/>
              </w:rPr>
            </w:pPr>
          </w:p>
        </w:tc>
        <w:tc>
          <w:tcPr>
            <w:tcW w:w="10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8"/>
              </w:rPr>
              <w:t>$102,822,460</w:t>
            </w:r>
          </w:p>
        </w:tc>
        <w:tc>
          <w:tcPr>
            <w:tcW w:w="60" w:type="dxa"/>
            <w:vAlign w:val="bottom"/>
          </w:tcPr>
          <w:p>
            <w:pPr>
              <w:spacing w:after="0"/>
              <w:rPr>
                <w:sz w:val="18"/>
                <w:szCs w:val="18"/>
                <w:color w:val="auto"/>
              </w:rPr>
            </w:pPr>
          </w:p>
        </w:tc>
        <w:tc>
          <w:tcPr>
            <w:tcW w:w="10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89"/>
              </w:rPr>
              <w:t>$ 69,831,349</w:t>
            </w:r>
          </w:p>
        </w:tc>
        <w:tc>
          <w:tcPr>
            <w:tcW w:w="0" w:type="dxa"/>
            <w:vAlign w:val="bottom"/>
          </w:tcPr>
          <w:p>
            <w:pPr>
              <w:spacing w:after="0"/>
              <w:rPr>
                <w:sz w:val="1"/>
                <w:szCs w:val="1"/>
                <w:color w:val="auto"/>
              </w:rPr>
            </w:pPr>
          </w:p>
        </w:tc>
      </w:tr>
      <w:tr>
        <w:trPr>
          <w:trHeight w:val="216"/>
        </w:trPr>
        <w:tc>
          <w:tcPr>
            <w:tcW w:w="23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Palantir Technologies, Inc.</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7,394,652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21,060,447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41,233,482</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20,173,035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21,060,447</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33,838,830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12,778,383</w:t>
            </w:r>
          </w:p>
        </w:tc>
        <w:tc>
          <w:tcPr>
            <w:tcW w:w="0" w:type="dxa"/>
            <w:vAlign w:val="bottom"/>
          </w:tcPr>
          <w:p>
            <w:pPr>
              <w:spacing w:after="0"/>
              <w:rPr>
                <w:sz w:val="1"/>
                <w:szCs w:val="1"/>
                <w:color w:val="auto"/>
              </w:rPr>
            </w:pPr>
          </w:p>
        </w:tc>
      </w:tr>
      <w:tr>
        <w:trPr>
          <w:trHeight w:val="216"/>
        </w:trPr>
        <w:tc>
          <w:tcPr>
            <w:tcW w:w="2300" w:type="dxa"/>
            <w:vAlign w:val="bottom"/>
            <w:gridSpan w:val="4"/>
          </w:tcPr>
          <w:p>
            <w:pPr>
              <w:ind w:left="20"/>
              <w:spacing w:after="0"/>
              <w:rPr>
                <w:sz w:val="20"/>
                <w:szCs w:val="20"/>
                <w:color w:val="auto"/>
              </w:rPr>
            </w:pPr>
            <w:r>
              <w:rPr>
                <w:rFonts w:ascii="Arial" w:cs="Arial" w:eastAsia="Arial" w:hAnsi="Arial"/>
                <w:sz w:val="18"/>
                <w:szCs w:val="18"/>
                <w:color w:val="auto"/>
              </w:rPr>
              <w:t>Dropbox, Inc.</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12,301,800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13,656,486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28,156,997</w:t>
            </w:r>
          </w:p>
        </w:tc>
        <w:tc>
          <w:tcPr>
            <w:tcW w:w="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14,500,511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13,656,486</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15,855,197</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2,198,711</w:t>
            </w:r>
          </w:p>
        </w:tc>
        <w:tc>
          <w:tcPr>
            <w:tcW w:w="0" w:type="dxa"/>
            <w:vAlign w:val="bottom"/>
          </w:tcPr>
          <w:p>
            <w:pPr>
              <w:spacing w:after="0"/>
              <w:rPr>
                <w:sz w:val="1"/>
                <w:szCs w:val="1"/>
                <w:color w:val="auto"/>
              </w:rPr>
            </w:pPr>
          </w:p>
        </w:tc>
      </w:tr>
      <w:tr>
        <w:trPr>
          <w:trHeight w:val="216"/>
        </w:trPr>
        <w:tc>
          <w:tcPr>
            <w:tcW w:w="23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2U, Inc. (f/k/a 2tor, Inc.)</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7,981,879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10,032,117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19,293,387</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9,261,270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10,031,318</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11,310,709</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1,279,391</w:t>
            </w:r>
          </w:p>
        </w:tc>
        <w:tc>
          <w:tcPr>
            <w:tcW w:w="0" w:type="dxa"/>
            <w:vAlign w:val="bottom"/>
          </w:tcPr>
          <w:p>
            <w:pPr>
              <w:spacing w:after="0"/>
              <w:rPr>
                <w:sz w:val="1"/>
                <w:szCs w:val="1"/>
                <w:color w:val="auto"/>
              </w:rPr>
            </w:pPr>
          </w:p>
        </w:tc>
      </w:tr>
      <w:tr>
        <w:trPr>
          <w:trHeight w:val="216"/>
        </w:trPr>
        <w:tc>
          <w:tcPr>
            <w:tcW w:w="2300" w:type="dxa"/>
            <w:vAlign w:val="bottom"/>
            <w:gridSpan w:val="4"/>
          </w:tcPr>
          <w:p>
            <w:pPr>
              <w:ind w:left="20"/>
              <w:spacing w:after="0"/>
              <w:rPr>
                <w:sz w:val="20"/>
                <w:szCs w:val="20"/>
                <w:color w:val="auto"/>
              </w:rPr>
            </w:pPr>
            <w:r>
              <w:rPr>
                <w:rFonts w:ascii="Arial" w:cs="Arial" w:eastAsia="Arial" w:hAnsi="Arial"/>
                <w:sz w:val="18"/>
                <w:szCs w:val="18"/>
                <w:color w:val="auto"/>
              </w:rPr>
              <w:t>SugarCRM, Inc.</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1,717,935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8,299,914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11,097,728</w:t>
            </w:r>
          </w:p>
        </w:tc>
        <w:tc>
          <w:tcPr>
            <w:tcW w:w="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2,797,814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8,299,794</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9,379,673</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1,079,879</w:t>
            </w:r>
          </w:p>
        </w:tc>
        <w:tc>
          <w:tcPr>
            <w:tcW w:w="0" w:type="dxa"/>
            <w:vAlign w:val="bottom"/>
          </w:tcPr>
          <w:p>
            <w:pPr>
              <w:spacing w:after="0"/>
              <w:rPr>
                <w:sz w:val="1"/>
                <w:szCs w:val="1"/>
                <w:color w:val="auto"/>
              </w:rPr>
            </w:pPr>
          </w:p>
        </w:tc>
      </w:tr>
      <w:tr>
        <w:trPr>
          <w:trHeight w:val="216"/>
        </w:trPr>
        <w:tc>
          <w:tcPr>
            <w:tcW w:w="23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ZocDoc Inc.</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1,673,626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5,298,056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7,796,650</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2,498,594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5,298,056</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6,123,024</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824,968</w:t>
            </w:r>
          </w:p>
        </w:tc>
        <w:tc>
          <w:tcPr>
            <w:tcW w:w="0" w:type="dxa"/>
            <w:vAlign w:val="bottom"/>
          </w:tcPr>
          <w:p>
            <w:pPr>
              <w:spacing w:after="0"/>
              <w:rPr>
                <w:sz w:val="1"/>
                <w:szCs w:val="1"/>
                <w:color w:val="auto"/>
              </w:rPr>
            </w:pPr>
          </w:p>
        </w:tc>
      </w:tr>
      <w:tr>
        <w:trPr>
          <w:trHeight w:val="216"/>
        </w:trPr>
        <w:tc>
          <w:tcPr>
            <w:tcW w:w="2300" w:type="dxa"/>
            <w:vAlign w:val="bottom"/>
            <w:gridSpan w:val="4"/>
          </w:tcPr>
          <w:p>
            <w:pPr>
              <w:ind w:left="20"/>
              <w:spacing w:after="0"/>
              <w:rPr>
                <w:sz w:val="20"/>
                <w:szCs w:val="20"/>
                <w:color w:val="auto"/>
              </w:rPr>
            </w:pPr>
            <w:r>
              <w:rPr>
                <w:rFonts w:ascii="Arial" w:cs="Arial" w:eastAsia="Arial" w:hAnsi="Arial"/>
                <w:sz w:val="18"/>
                <w:szCs w:val="18"/>
                <w:color w:val="auto"/>
                <w:w w:val="92"/>
              </w:rPr>
              <w:t>Avenues Global Holdings, LLC</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1,243,050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10,151,854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11,258,690</w:t>
            </w:r>
          </w:p>
        </w:tc>
        <w:tc>
          <w:tcPr>
            <w:tcW w:w="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1,106,836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10,150,484</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10,014,270</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(136,214)</w:t>
            </w:r>
          </w:p>
        </w:tc>
        <w:tc>
          <w:tcPr>
            <w:tcW w:w="0" w:type="dxa"/>
            <w:vAlign w:val="bottom"/>
          </w:tcPr>
          <w:p>
            <w:pPr>
              <w:spacing w:after="0"/>
              <w:rPr>
                <w:sz w:val="1"/>
                <w:szCs w:val="1"/>
                <w:color w:val="auto"/>
              </w:rPr>
            </w:pPr>
          </w:p>
        </w:tc>
      </w:tr>
      <w:tr>
        <w:trPr>
          <w:trHeight w:val="216"/>
        </w:trPr>
        <w:tc>
          <w:tcPr>
            <w:tcW w:w="23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Facebook, Inc.</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(4,327,603)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5,236,147</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9,563,750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4,327,603</w:t>
            </w:r>
          </w:p>
        </w:tc>
        <w:tc>
          <w:tcPr>
            <w:tcW w:w="0" w:type="dxa"/>
            <w:vAlign w:val="bottom"/>
          </w:tcPr>
          <w:p>
            <w:pPr>
              <w:spacing w:after="0"/>
              <w:rPr>
                <w:sz w:val="1"/>
                <w:szCs w:val="1"/>
                <w:color w:val="auto"/>
              </w:rPr>
            </w:pPr>
          </w:p>
        </w:tc>
      </w:tr>
      <w:tr>
        <w:trPr>
          <w:trHeight w:val="202"/>
        </w:trPr>
        <w:tc>
          <w:tcPr>
            <w:tcW w:w="2300" w:type="dxa"/>
            <w:vAlign w:val="bottom"/>
            <w:gridSpan w:val="4"/>
          </w:tcPr>
          <w:p>
            <w:pPr>
              <w:ind w:left="20"/>
              <w:spacing w:after="0" w:line="201" w:lineRule="exact"/>
              <w:rPr>
                <w:sz w:val="20"/>
                <w:szCs w:val="20"/>
                <w:color w:val="auto"/>
              </w:rPr>
            </w:pPr>
            <w:r>
              <w:rPr>
                <w:rFonts w:ascii="Arial" w:cs="Arial" w:eastAsia="Arial" w:hAnsi="Arial"/>
                <w:sz w:val="18"/>
                <w:szCs w:val="18"/>
                <w:color w:val="auto"/>
              </w:rPr>
              <w:t>Silver Spring Networks,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3"/>
          </w:tcPr>
          <w:p>
            <w:pPr>
              <w:ind w:left="180"/>
              <w:spacing w:after="0"/>
              <w:rPr>
                <w:sz w:val="20"/>
                <w:szCs w:val="20"/>
                <w:color w:val="auto"/>
              </w:rPr>
            </w:pPr>
            <w:r>
              <w:rPr>
                <w:rFonts w:ascii="Arial" w:cs="Arial" w:eastAsia="Arial" w:hAnsi="Arial"/>
                <w:sz w:val="18"/>
                <w:szCs w:val="18"/>
                <w:color w:val="auto"/>
              </w:rPr>
              <w:t>Inc.</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3,002,683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5,145,271</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2,142,588</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(3,002,683)</w:t>
            </w:r>
          </w:p>
        </w:tc>
        <w:tc>
          <w:tcPr>
            <w:tcW w:w="0" w:type="dxa"/>
            <w:vAlign w:val="bottom"/>
          </w:tcPr>
          <w:p>
            <w:pPr>
              <w:spacing w:after="0"/>
              <w:rPr>
                <w:sz w:val="1"/>
                <w:szCs w:val="1"/>
                <w:color w:val="auto"/>
              </w:rPr>
            </w:pPr>
          </w:p>
        </w:tc>
      </w:tr>
      <w:tr>
        <w:trPr>
          <w:trHeight w:val="216"/>
        </w:trPr>
        <w:tc>
          <w:tcPr>
            <w:tcW w:w="23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Violin Memory, Inc.</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10,615,550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14,819,618</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4,204,068</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(10,615,550)</w:t>
            </w:r>
          </w:p>
        </w:tc>
        <w:tc>
          <w:tcPr>
            <w:tcW w:w="0" w:type="dxa"/>
            <w:vAlign w:val="bottom"/>
          </w:tcPr>
          <w:p>
            <w:pPr>
              <w:spacing w:after="0"/>
              <w:rPr>
                <w:sz w:val="1"/>
                <w:szCs w:val="1"/>
                <w:color w:val="auto"/>
              </w:rPr>
            </w:pPr>
          </w:p>
        </w:tc>
      </w:tr>
      <w:tr>
        <w:trPr>
          <w:trHeight w:val="216"/>
        </w:trPr>
        <w:tc>
          <w:tcPr>
            <w:tcW w:w="2300" w:type="dxa"/>
            <w:vAlign w:val="bottom"/>
            <w:gridSpan w:val="4"/>
          </w:tcPr>
          <w:p>
            <w:pPr>
              <w:ind w:left="20"/>
              <w:spacing w:after="0"/>
              <w:rPr>
                <w:sz w:val="20"/>
                <w:szCs w:val="20"/>
                <w:color w:val="auto"/>
              </w:rPr>
            </w:pPr>
            <w:r>
              <w:rPr>
                <w:rFonts w:ascii="Arial" w:cs="Arial" w:eastAsia="Arial" w:hAnsi="Arial"/>
                <w:sz w:val="18"/>
                <w:szCs w:val="18"/>
                <w:color w:val="auto"/>
              </w:rPr>
              <w:t>Control4 Corporation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(6,289,367)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7,010,762</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13,300,129</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6,289,367</w:t>
            </w:r>
          </w:p>
        </w:tc>
        <w:tc>
          <w:tcPr>
            <w:tcW w:w="0" w:type="dxa"/>
            <w:vAlign w:val="bottom"/>
          </w:tcPr>
          <w:p>
            <w:pPr>
              <w:spacing w:after="0"/>
              <w:rPr>
                <w:sz w:val="1"/>
                <w:szCs w:val="1"/>
                <w:color w:val="auto"/>
              </w:rPr>
            </w:pPr>
          </w:p>
        </w:tc>
      </w:tr>
      <w:tr>
        <w:trPr>
          <w:trHeight w:val="216"/>
        </w:trPr>
        <w:tc>
          <w:tcPr>
            <w:tcW w:w="23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Totus Solutions, Inc.</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(2,732,746)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6,100,283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1,094,403</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(5,005,880)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6,023,973</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3,750,839</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(2,273,134)</w:t>
            </w:r>
          </w:p>
        </w:tc>
        <w:tc>
          <w:tcPr>
            <w:tcW w:w="0" w:type="dxa"/>
            <w:vAlign w:val="bottom"/>
          </w:tcPr>
          <w:p>
            <w:pPr>
              <w:spacing w:after="0"/>
              <w:rPr>
                <w:sz w:val="1"/>
                <w:szCs w:val="1"/>
                <w:color w:val="auto"/>
              </w:rPr>
            </w:pPr>
          </w:p>
        </w:tc>
      </w:tr>
      <w:tr>
        <w:trPr>
          <w:trHeight w:val="257"/>
        </w:trPr>
        <w:tc>
          <w:tcPr>
            <w:tcW w:w="2300" w:type="dxa"/>
            <w:vAlign w:val="bottom"/>
            <w:gridSpan w:val="4"/>
          </w:tcPr>
          <w:p>
            <w:pPr>
              <w:ind w:left="20"/>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772,465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264,456,611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258,341,505</w:t>
            </w:r>
          </w:p>
        </w:tc>
        <w:tc>
          <w:tcPr>
            <w:tcW w:w="4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(6,115,106)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150,830,887</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143,943,316</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(6,887,571)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8,399,046</w:t>
            </w:r>
          </w:p>
        </w:tc>
        <w:tc>
          <w:tcPr>
            <w:tcW w:w="1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372,046,879</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456,140,424</w:t>
            </w:r>
          </w:p>
        </w:tc>
        <w:tc>
          <w:tcPr>
            <w:tcW w:w="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84,093,545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290,554,354</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366,248,853</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$ 75,694,499</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149225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4922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-187960</wp:posOffset>
            </wp:positionV>
            <wp:extent cx="149225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492250" cy="8890"/>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-213995</wp:posOffset>
            </wp:positionV>
            <wp:extent cx="1028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-187960</wp:posOffset>
            </wp:positionV>
            <wp:extent cx="10287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2853055</wp:posOffset>
            </wp:positionH>
            <wp:positionV relativeFrom="paragraph">
              <wp:posOffset>-213995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2853055</wp:posOffset>
            </wp:positionH>
            <wp:positionV relativeFrom="paragraph">
              <wp:posOffset>-187960</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3556635</wp:posOffset>
            </wp:positionH>
            <wp:positionV relativeFrom="paragraph">
              <wp:posOffset>-213995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3556635</wp:posOffset>
            </wp:positionH>
            <wp:positionV relativeFrom="paragraph">
              <wp:posOffset>-187960</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4199890</wp:posOffset>
            </wp:positionH>
            <wp:positionV relativeFrom="paragraph">
              <wp:posOffset>-213995</wp:posOffset>
            </wp:positionV>
            <wp:extent cx="10287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4199890</wp:posOffset>
            </wp:positionH>
            <wp:positionV relativeFrom="paragraph">
              <wp:posOffset>-187960</wp:posOffset>
            </wp:positionV>
            <wp:extent cx="10287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-213995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-187960</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-213995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-187960</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6326505</wp:posOffset>
            </wp:positionH>
            <wp:positionV relativeFrom="paragraph">
              <wp:posOffset>-213995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6326505</wp:posOffset>
            </wp:positionH>
            <wp:positionV relativeFrom="paragraph">
              <wp:posOffset>-187960</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-3009265</wp:posOffset>
            </wp:positionV>
            <wp:extent cx="63633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36333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-2872105</wp:posOffset>
            </wp:positionV>
            <wp:extent cx="636333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363335" cy="88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7" w:lineRule="auto"/>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represents all investments (including U.S. Treasury Bills and U.S. Treasury Strips) whose individual change in unrealized appreciation (depreciation) was less than $1,000,000 for the six months ended June 30, 2015 and 2014.</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Provision/Benefit for Taxes on Unrealized Appreciation/Depreciation of Investments</w:t>
      </w:r>
    </w:p>
    <w:p>
      <w:pPr>
        <w:spacing w:after="0" w:line="117"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For the three months ended June 30, 2015, we recognized a benefit for taxes of $2,372,190 on the unrealized depreciation of our portfolio investments.</w:t>
      </w:r>
    </w:p>
    <w:p>
      <w:pPr>
        <w:spacing w:after="0" w:line="62" w:lineRule="exact"/>
        <w:rPr>
          <w:sz w:val="20"/>
          <w:szCs w:val="20"/>
          <w:color w:val="auto"/>
        </w:rPr>
      </w:pPr>
    </w:p>
    <w:p>
      <w:pPr>
        <w:jc w:val="both"/>
        <w:ind w:left="60" w:right="519" w:firstLine="270"/>
        <w:spacing w:after="0" w:line="277" w:lineRule="auto"/>
        <w:rPr>
          <w:sz w:val="20"/>
          <w:szCs w:val="20"/>
          <w:color w:val="auto"/>
        </w:rPr>
      </w:pPr>
      <w:r>
        <w:rPr>
          <w:rFonts w:ascii="Arial" w:cs="Arial" w:eastAsia="Arial" w:hAnsi="Arial"/>
          <w:sz w:val="18"/>
          <w:szCs w:val="18"/>
          <w:color w:val="auto"/>
        </w:rPr>
        <w:t>For the three months ended June 30, 2014, we recognized a provision of $4,684,314 for taxes on the unrealized appreciation of our portfolio investments.</w:t>
      </w:r>
    </w:p>
    <w:p>
      <w:pPr>
        <w:spacing w:after="0" w:line="62" w:lineRule="exact"/>
        <w:rPr>
          <w:sz w:val="20"/>
          <w:szCs w:val="20"/>
          <w:color w:val="auto"/>
        </w:rPr>
      </w:pPr>
    </w:p>
    <w:p>
      <w:pPr>
        <w:jc w:val="both"/>
        <w:ind w:left="60" w:right="519" w:firstLine="270"/>
        <w:spacing w:after="0" w:line="272" w:lineRule="auto"/>
        <w:rPr>
          <w:sz w:val="20"/>
          <w:szCs w:val="20"/>
          <w:color w:val="auto"/>
        </w:rPr>
      </w:pPr>
      <w:r>
        <w:rPr>
          <w:rFonts w:ascii="Arial" w:cs="Arial" w:eastAsia="Arial" w:hAnsi="Arial"/>
          <w:sz w:val="17"/>
          <w:szCs w:val="17"/>
          <w:color w:val="auto"/>
        </w:rPr>
        <w:t>The change between the two periods is due to the fact that the change in unrealized appreciation from investments decreased to approximately $5.7 million of unrealized depreciation from approximately $11.4 million of unrealized appreciation as shown in the tables above. The unrealized depreciation for the three months ended June 30, 2015 was primarily due to the unrealized depreciation of our Twitter shares, partially offset by the unrealized appreciation of 2U, Inc. (f/k/a 2tor, Inc.), Dropbox, Inc., Spotify Technology S.A. and Palantir Technologies, Inc. The unrealized depreciation from our Twitter shares resulted from the decline in Twitter’s share price to $36.22 from $50.08 as of June 30, 2015 and March 31, 2015, respectively. Refer to the tables above for the largest components of our change in unrealized appreciation (depreciation).</w:t>
      </w:r>
    </w:p>
    <w:p>
      <w:pPr>
        <w:spacing w:after="0" w:line="70"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For the six months ended June 30, 2015, we recognized a provision for taxes of $8,998,803 on the unrealized appreciation of our portfolio investments.</w:t>
      </w:r>
    </w:p>
    <w:p>
      <w:pPr>
        <w:spacing w:after="0" w:line="62"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For the six months ended June 30, 2014, we recognized a provision of $3,429,331 for taxes on the unrealized appreciation of our portfolio investments.</w:t>
      </w:r>
    </w:p>
    <w:p>
      <w:pPr>
        <w:spacing w:after="0" w:line="62" w:lineRule="exact"/>
        <w:rPr>
          <w:sz w:val="20"/>
          <w:szCs w:val="20"/>
          <w:color w:val="auto"/>
        </w:rPr>
      </w:pPr>
    </w:p>
    <w:p>
      <w:pPr>
        <w:jc w:val="both"/>
        <w:ind w:left="60" w:right="519" w:firstLine="270"/>
        <w:spacing w:after="0" w:line="297" w:lineRule="auto"/>
        <w:rPr>
          <w:sz w:val="20"/>
          <w:szCs w:val="20"/>
          <w:color w:val="auto"/>
        </w:rPr>
      </w:pPr>
      <w:r>
        <w:rPr>
          <w:rFonts w:ascii="Arial" w:cs="Arial" w:eastAsia="Arial" w:hAnsi="Arial"/>
          <w:sz w:val="16"/>
          <w:szCs w:val="16"/>
          <w:color w:val="auto"/>
        </w:rPr>
        <w:t>The change between the two periods is due to the fact that the change in unrealized appreciation from investments increased to approximately $22.0 million from approximately $8.4 million as shown in the table above. The increase in unrealized appreciation for the six months ended June 30, 2015 was primarily due to the appreciation of 2U, Inc. (f/k/a 2tor, Inc.), Dataminr, Inc. and Dropbox, Inc., which was partially offset by the reversal of our unrealized appreciation caused by the sales of our Twitter shares. Refer to the tables above for the largest components of our change in unrealized appreciation (depreciation).</w:t>
      </w:r>
    </w:p>
    <w:p>
      <w:pPr>
        <w:spacing w:after="0" w:line="200" w:lineRule="exact"/>
        <w:rPr>
          <w:sz w:val="20"/>
          <w:szCs w:val="20"/>
          <w:color w:val="auto"/>
        </w:rPr>
      </w:pPr>
    </w:p>
    <w:p>
      <w:pPr>
        <w:spacing w:after="0" w:line="29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54" w:name="page55"/>
    <w:bookmarkEnd w:id="5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Increase (Decrease) in Net Assets Resulting from Operations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three months ended June 30, 2015, the net increase in net assets resulting from operations was $1,081,501.</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June 30, 2014, the net decrease in net assets resulting from operations was $920,306.</w:t>
      </w:r>
    </w:p>
    <w:p>
      <w:pPr>
        <w:spacing w:after="0" w:line="117" w:lineRule="exact"/>
        <w:rPr>
          <w:sz w:val="20"/>
          <w:szCs w:val="20"/>
          <w:color w:val="auto"/>
        </w:rPr>
      </w:pPr>
    </w:p>
    <w:p>
      <w:pPr>
        <w:jc w:val="both"/>
        <w:ind w:left="60" w:right="539" w:firstLine="270"/>
        <w:spacing w:after="0" w:line="264" w:lineRule="auto"/>
        <w:rPr>
          <w:sz w:val="20"/>
          <w:szCs w:val="20"/>
          <w:color w:val="auto"/>
        </w:rPr>
      </w:pPr>
      <w:r>
        <w:rPr>
          <w:rFonts w:ascii="Arial" w:cs="Arial" w:eastAsia="Arial" w:hAnsi="Arial"/>
          <w:sz w:val="18"/>
          <w:szCs w:val="18"/>
          <w:color w:val="auto"/>
        </w:rPr>
        <w:t>The change in in net assets resulting from operations for the three months ended June 30, 2015, as compared to the three months ended June 30, 2014, resulted from the increased realized gains, which were largely offset by the change in unrealized depreciation of the portfolio as a whole, as well an increase in operating expenses.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six months ended June 30, 2015, the net increase in net assets resulting from operations was $17,746,123.</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six months ended June 30, 2014, the net decrease in net assets resulting from operations was $840,602.</w:t>
      </w:r>
    </w:p>
    <w:p>
      <w:pPr>
        <w:spacing w:after="0" w:line="117" w:lineRule="exact"/>
        <w:rPr>
          <w:sz w:val="20"/>
          <w:szCs w:val="20"/>
          <w:color w:val="auto"/>
        </w:rPr>
      </w:pPr>
    </w:p>
    <w:p>
      <w:pPr>
        <w:jc w:val="both"/>
        <w:ind w:left="60" w:right="519" w:firstLine="270"/>
        <w:spacing w:after="0" w:line="286" w:lineRule="auto"/>
        <w:rPr>
          <w:sz w:val="20"/>
          <w:szCs w:val="20"/>
          <w:color w:val="auto"/>
        </w:rPr>
      </w:pPr>
      <w:r>
        <w:rPr>
          <w:rFonts w:ascii="Arial" w:cs="Arial" w:eastAsia="Arial" w:hAnsi="Arial"/>
          <w:sz w:val="17"/>
          <w:szCs w:val="17"/>
          <w:color w:val="auto"/>
        </w:rPr>
        <w:t>The change in net assets resulting from operations for the six months ended June 30, 2015, as compared to the six months ended June 30, 2014, resulted from the significant increase in realized gains, as well as the change in unrealized appreciation of the portfolio as a whole, which were partially offset by a significant increase in operating expenses.</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Our liquidity and capital resources are generated primarily from the net proceeds of public offerings of our equity and debt securities, advances from our Credit Facility, as well as sales of our investments.</w:t>
      </w:r>
    </w:p>
    <w:p>
      <w:pPr>
        <w:spacing w:after="0" w:line="62" w:lineRule="exact"/>
        <w:rPr>
          <w:sz w:val="20"/>
          <w:szCs w:val="20"/>
          <w:color w:val="auto"/>
        </w:rPr>
      </w:pPr>
    </w:p>
    <w:p>
      <w:pPr>
        <w:jc w:val="both"/>
        <w:ind w:left="60" w:right="519" w:firstLine="270"/>
        <w:spacing w:after="0" w:line="279" w:lineRule="auto"/>
        <w:rPr>
          <w:sz w:val="20"/>
          <w:szCs w:val="20"/>
          <w:color w:val="auto"/>
        </w:rPr>
      </w:pPr>
      <w:r>
        <w:rPr>
          <w:rFonts w:ascii="Arial" w:cs="Arial" w:eastAsia="Arial" w:hAnsi="Arial"/>
          <w:sz w:val="17"/>
          <w:szCs w:val="17"/>
          <w:color w:val="auto"/>
        </w:rPr>
        <w:t>Our primary use of cash is to make investments and to pay our operating expenses. Our current policy is to maintain cash reserves and liquid securities in an amount sufficient to pay our operating expenses, including investment management fees and costs incurred under the administration agreement, for approximately two years. For the six months ended June 30, 2015 and 2014, our operating expenses were $19,085,854 and $10,724,094,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19684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Cash reserves and Liquid securities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558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2015</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6"/>
              </w:rPr>
              <w:t>June 30, 2014</w:t>
            </w:r>
          </w:p>
        </w:tc>
        <w:tc>
          <w:tcPr>
            <w:tcW w:w="0" w:type="dxa"/>
            <w:vAlign w:val="bottom"/>
          </w:tcPr>
          <w:p>
            <w:pPr>
              <w:spacing w:after="0"/>
              <w:rPr>
                <w:sz w:val="1"/>
                <w:szCs w:val="1"/>
                <w:color w:val="auto"/>
              </w:rPr>
            </w:pPr>
          </w:p>
        </w:tc>
      </w:tr>
      <w:tr>
        <w:trPr>
          <w:trHeight w:val="210"/>
        </w:trPr>
        <w:tc>
          <w:tcPr>
            <w:tcW w:w="5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8,049,760</w:t>
            </w:r>
          </w:p>
        </w:tc>
        <w:tc>
          <w:tcPr>
            <w:tcW w:w="3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4,194,280</w:t>
            </w:r>
          </w:p>
        </w:tc>
        <w:tc>
          <w:tcPr>
            <w:tcW w:w="0" w:type="dxa"/>
            <w:vAlign w:val="bottom"/>
          </w:tcPr>
          <w:p>
            <w:pPr>
              <w:spacing w:after="0"/>
              <w:rPr>
                <w:sz w:val="1"/>
                <w:szCs w:val="1"/>
                <w:color w:val="auto"/>
              </w:rPr>
            </w:pPr>
          </w:p>
        </w:tc>
      </w:tr>
      <w:tr>
        <w:trPr>
          <w:trHeight w:val="257"/>
        </w:trPr>
        <w:tc>
          <w:tcPr>
            <w:tcW w:w="55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Amounts available for borrowing under the Credit Facility</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18,000,000</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2,858,667</w:t>
            </w:r>
          </w:p>
        </w:tc>
        <w:tc>
          <w:tcPr>
            <w:tcW w:w="0" w:type="dxa"/>
            <w:vAlign w:val="bottom"/>
          </w:tcPr>
          <w:p>
            <w:pPr>
              <w:spacing w:after="0"/>
              <w:rPr>
                <w:sz w:val="1"/>
                <w:szCs w:val="1"/>
                <w:color w:val="auto"/>
              </w:rPr>
            </w:pPr>
          </w:p>
        </w:tc>
      </w:tr>
      <w:tr>
        <w:trPr>
          <w:trHeight w:val="257"/>
        </w:trPr>
        <w:tc>
          <w:tcPr>
            <w:tcW w:w="55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Marketable Securities of Publicly Traded Portfolio Companies</w:t>
            </w:r>
            <w:r>
              <w:rPr>
                <w:rFonts w:ascii="Arial" w:cs="Arial" w:eastAsia="Arial" w:hAnsi="Arial"/>
                <w:sz w:val="29"/>
                <w:szCs w:val="29"/>
                <w:color w:val="auto"/>
                <w:vertAlign w:val="superscript"/>
              </w:rPr>
              <w:t>(2)</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tcBorders>
              <w:lef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6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Unrestricted Securities</w:t>
            </w:r>
            <w:r>
              <w:rPr>
                <w:rFonts w:ascii="Arial" w:cs="Arial" w:eastAsia="Arial" w:hAnsi="Arial"/>
                <w:sz w:val="29"/>
                <w:szCs w:val="29"/>
                <w:color w:val="auto"/>
                <w:vertAlign w:val="superscript"/>
              </w:rPr>
              <w:t>(3)</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38,270,821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86,194,438</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56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Subject to other Sales Restrictions</w:t>
            </w:r>
            <w:r>
              <w:rPr>
                <w:rFonts w:ascii="Arial" w:cs="Arial" w:eastAsia="Arial" w:hAnsi="Arial"/>
                <w:sz w:val="29"/>
                <w:szCs w:val="29"/>
                <w:color w:val="auto"/>
                <w:vertAlign w:val="superscript"/>
              </w:rPr>
              <w:t>(4)(5)</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38,456,939</w:t>
            </w:r>
          </w:p>
        </w:tc>
        <w:tc>
          <w:tcPr>
            <w:tcW w:w="220" w:type="dxa"/>
            <w:vAlign w:val="bottom"/>
            <w:tcBorders>
              <w:lef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23,185,930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gridSpan w:val="3"/>
          </w:tcPr>
          <w:p>
            <w:pPr>
              <w:ind w:left="20"/>
              <w:spacing w:after="0" w:line="250" w:lineRule="exact"/>
              <w:rPr>
                <w:sz w:val="20"/>
                <w:szCs w:val="20"/>
                <w:color w:val="auto"/>
              </w:rPr>
            </w:pPr>
            <w:r>
              <w:rPr>
                <w:rFonts w:ascii="Arial" w:cs="Arial" w:eastAsia="Arial" w:hAnsi="Arial"/>
                <w:sz w:val="17"/>
                <w:szCs w:val="17"/>
                <w:color w:val="auto"/>
              </w:rPr>
              <w:t>Total Marketable Securities</w:t>
            </w:r>
            <w:r>
              <w:rPr>
                <w:rFonts w:ascii="Arial" w:cs="Arial" w:eastAsia="Arial" w:hAnsi="Arial"/>
                <w:sz w:val="28"/>
                <w:szCs w:val="28"/>
                <w:color w:val="auto"/>
                <w:vertAlign w:val="superscript"/>
              </w:rPr>
              <w:t>(2)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76,727,760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109,380,368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Cash reserves and Marketable Securities</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102,777,520</w:t>
            </w:r>
          </w:p>
        </w:tc>
        <w:tc>
          <w:tcPr>
            <w:tcW w:w="3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116,433,315</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45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-530860</wp:posOffset>
            </wp:positionV>
            <wp:extent cx="5213985" cy="1803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519" w:hanging="272"/>
        <w:spacing w:after="0" w:line="342" w:lineRule="auto"/>
        <w:tabs>
          <w:tab w:leader="none" w:pos="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Subject to leverage and borrowing base restrictions under the Credit facility. Refer to “Note 9 — Long Term Liabilities” to our Condensed Consolidated Financial Statements for the period ended June 30, 2015 for detail regarding the Credit Facility.</w:t>
      </w:r>
    </w:p>
    <w:p>
      <w:pPr>
        <w:spacing w:after="0" w:line="15" w:lineRule="exact"/>
        <w:rPr>
          <w:rFonts w:ascii="Arial" w:cs="Arial" w:eastAsia="Arial" w:hAnsi="Arial"/>
          <w:sz w:val="16"/>
          <w:szCs w:val="16"/>
          <w:color w:val="auto"/>
        </w:rPr>
      </w:pPr>
    </w:p>
    <w:p>
      <w:pPr>
        <w:jc w:val="both"/>
        <w:ind w:left="300" w:right="519" w:hanging="272"/>
        <w:spacing w:after="0" w:line="259"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portfolio investments are pledged first to secure the payment of both principal and interest on the Convertible Senior Notes. Thereafter the portfolio investments are pledged as collateral to secure any borrowings under the Credit Facility. We may incur losses if we liquidate these positions in order to pay operating expenses or fund new investments. The Convertible Senior Notes mature on September 15, 2018.</w:t>
      </w:r>
    </w:p>
    <w:p>
      <w:pPr>
        <w:spacing w:after="0" w:line="78"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“Unrestricted securities” represents the common stock of our publicly traded companies that are not subject to any restrictions upon sale.</w:t>
      </w:r>
    </w:p>
    <w:p>
      <w:pPr>
        <w:spacing w:after="0" w:line="62" w:lineRule="exact"/>
        <w:rPr>
          <w:rFonts w:ascii="Arial" w:cs="Arial" w:eastAsia="Arial" w:hAnsi="Arial"/>
          <w:sz w:val="18"/>
          <w:szCs w:val="18"/>
          <w:color w:val="auto"/>
        </w:rPr>
      </w:pPr>
    </w:p>
    <w:p>
      <w:pPr>
        <w:jc w:val="both"/>
        <w:ind w:left="300" w:right="539" w:hanging="272"/>
        <w:spacing w:after="0" w:line="279" w:lineRule="auto"/>
        <w:tabs>
          <w:tab w:leader="none" w:pos="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As of June 30, 2015, this balance represents our common shares of Cricket Media (f/k/a ePals Inc.) and 2U, Inc. (f/k/a 2tor, Inc.). During the majority of the year, these shares are freely tradable, however at certain times during the year, these shares are subject to black-out periods as a result of Michael Moe’s seats on the Boards of these portfolio companies. During these black-out periods, we are unable to sell these securities under Canadian and U.S. Securities law.</w:t>
      </w:r>
    </w:p>
    <w:p>
      <w:pPr>
        <w:spacing w:after="0" w:line="200" w:lineRule="exact"/>
        <w:rPr>
          <w:sz w:val="20"/>
          <w:szCs w:val="20"/>
          <w:color w:val="auto"/>
        </w:rPr>
      </w:pPr>
    </w:p>
    <w:p>
      <w:pPr>
        <w:spacing w:after="0" w:line="3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5" w:name="page56"/>
    <w:bookmarkEnd w:id="5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300" w:right="519" w:hanging="272"/>
        <w:spacing w:after="0" w:line="255" w:lineRule="auto"/>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of June 30, 2014, this balance represented our common shares of Cricket Media (f/k/a ePals Inc.) as well as other Level 2 securities that were subject to lock-up restrictions. Our shares of Cricket Media (f/k/a ePals Inc.), are freely tradable during the majority of the year, however at certain times, these shares are subject to black-out periods as a result of Michael Moe’s seats on the boards of these portfolio companies. During these black-out periods, we are unable to sell these securities under Canadian and U.S. Securities law. We are unable to sell securities that are subject to lock-up agreements for 180 days following the IPO date.</w:t>
      </w:r>
    </w:p>
    <w:p>
      <w:pPr>
        <w:spacing w:after="0" w:line="85" w:lineRule="exact"/>
        <w:rPr>
          <w:sz w:val="20"/>
          <w:szCs w:val="20"/>
          <w:color w:val="auto"/>
        </w:rPr>
      </w:pPr>
    </w:p>
    <w:p>
      <w:pPr>
        <w:jc w:val="both"/>
        <w:ind w:left="60" w:right="539" w:firstLine="270"/>
        <w:spacing w:after="0" w:line="255" w:lineRule="auto"/>
        <w:rPr>
          <w:sz w:val="20"/>
          <w:szCs w:val="20"/>
          <w:color w:val="auto"/>
        </w:rPr>
      </w:pPr>
      <w:r>
        <w:rPr>
          <w:rFonts w:ascii="Arial" w:cs="Arial" w:eastAsia="Arial" w:hAnsi="Arial"/>
          <w:sz w:val="18"/>
          <w:szCs w:val="18"/>
          <w:color w:val="auto"/>
        </w:rPr>
        <w:t>During the six months ended June 30, 2015, cash and cash equivalents increased to approximately $8.0 million at the end of the period, from approximately $3.5 million at the beginning of the period. Net cash provided by operating activities during the six months ended June 30, 2015, consisting primarily of the items described in “— Results of Operations,” was approximately $22.6 million, reflecting purchases of portfolio investments of approximately $10.5 million and proceeds from sales of investments of approximately $40.2 million. During the period, net cash used by financing activities was approximately $18.0 million, reflecting net repayments of borrowings under the Credit Facility.</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Issuances &amp; Debt Capital Activities</w:t>
      </w:r>
    </w:p>
    <w:p>
      <w:pPr>
        <w:spacing w:after="0" w:line="117" w:lineRule="exact"/>
        <w:rPr>
          <w:sz w:val="20"/>
          <w:szCs w:val="20"/>
          <w:color w:val="auto"/>
        </w:rPr>
      </w:pPr>
    </w:p>
    <w:p>
      <w:pPr>
        <w:jc w:val="both"/>
        <w:ind w:left="60" w:right="519" w:firstLine="270"/>
        <w:spacing w:after="0" w:line="277" w:lineRule="auto"/>
        <w:rPr>
          <w:sz w:val="20"/>
          <w:szCs w:val="20"/>
          <w:color w:val="auto"/>
        </w:rPr>
      </w:pPr>
      <w:r>
        <w:rPr>
          <w:rFonts w:ascii="Arial" w:cs="Arial" w:eastAsia="Arial" w:hAnsi="Arial"/>
          <w:sz w:val="18"/>
          <w:szCs w:val="18"/>
          <w:color w:val="auto"/>
        </w:rPr>
        <w:t>There were no sales of our equity securities during the six months ended June 30, 2015 or for the year ended December 31, 2014.</w:t>
      </w:r>
    </w:p>
    <w:p>
      <w:pPr>
        <w:spacing w:after="0" w:line="62" w:lineRule="exact"/>
        <w:rPr>
          <w:sz w:val="20"/>
          <w:szCs w:val="20"/>
          <w:color w:val="auto"/>
        </w:rPr>
      </w:pPr>
    </w:p>
    <w:p>
      <w:pPr>
        <w:ind w:left="60" w:right="1199" w:firstLine="270"/>
        <w:spacing w:after="0" w:line="425" w:lineRule="auto"/>
        <w:rPr>
          <w:sz w:val="20"/>
          <w:szCs w:val="20"/>
          <w:color w:val="auto"/>
        </w:rPr>
      </w:pPr>
      <w:r>
        <w:rPr>
          <w:rFonts w:ascii="Arial" w:cs="Arial" w:eastAsia="Arial" w:hAnsi="Arial"/>
          <w:sz w:val="18"/>
          <w:szCs w:val="18"/>
          <w:color w:val="auto"/>
        </w:rPr>
        <w:t xml:space="preserve">As of June 30, 2015, we had no borrowings under the Credit Facility, and $18 million unused under the Credit Facility. </w:t>
      </w:r>
      <w:r>
        <w:rPr>
          <w:rFonts w:ascii="Arial" w:cs="Arial" w:eastAsia="Arial" w:hAnsi="Arial"/>
          <w:sz w:val="18"/>
          <w:szCs w:val="18"/>
          <w:b w:val="1"/>
          <w:bCs w:val="1"/>
          <w:i w:val="1"/>
          <w:iCs w:val="1"/>
          <w:color w:val="auto"/>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21398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9"/>
          </w:tcPr>
          <w:p>
            <w:pPr>
              <w:ind w:left="340"/>
              <w:spacing w:after="0" w:line="150" w:lineRule="exact"/>
              <w:rPr>
                <w:sz w:val="20"/>
                <w:szCs w:val="20"/>
                <w:color w:val="auto"/>
              </w:rPr>
            </w:pPr>
            <w:r>
              <w:rPr>
                <w:rFonts w:ascii="Arial" w:cs="Arial" w:eastAsia="Arial" w:hAnsi="Arial"/>
                <w:sz w:val="14"/>
                <w:szCs w:val="14"/>
                <w:b w:val="1"/>
                <w:bCs w:val="1"/>
                <w:color w:val="auto"/>
                <w:w w:val="91"/>
              </w:rPr>
              <w:t>Payments Due By Period</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0"/>
                <w:szCs w:val="10"/>
                <w:color w:val="auto"/>
              </w:rPr>
            </w:pPr>
          </w:p>
        </w:tc>
        <w:tc>
          <w:tcPr>
            <w:tcW w:w="840" w:type="dxa"/>
            <w:vAlign w:val="bottom"/>
            <w:gridSpan w:val="3"/>
          </w:tcPr>
          <w:p>
            <w:pPr>
              <w:jc w:val="right"/>
              <w:ind w:right="80"/>
              <w:spacing w:after="0" w:line="119" w:lineRule="exact"/>
              <w:rPr>
                <w:sz w:val="20"/>
                <w:szCs w:val="20"/>
                <w:color w:val="auto"/>
              </w:rPr>
            </w:pPr>
            <w:r>
              <w:rPr>
                <w:rFonts w:ascii="Arial" w:cs="Arial" w:eastAsia="Arial" w:hAnsi="Arial"/>
                <w:sz w:val="13"/>
                <w:szCs w:val="13"/>
                <w:b w:val="1"/>
                <w:bCs w:val="1"/>
                <w:color w:val="auto"/>
              </w:rPr>
              <w:t>Less than 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1 – 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ind w:left="40"/>
              <w:spacing w:after="0" w:line="119" w:lineRule="exact"/>
              <w:rPr>
                <w:sz w:val="20"/>
                <w:szCs w:val="20"/>
                <w:color w:val="auto"/>
              </w:rPr>
            </w:pPr>
            <w:r>
              <w:rPr>
                <w:rFonts w:ascii="Arial" w:cs="Arial" w:eastAsia="Arial" w:hAnsi="Arial"/>
                <w:sz w:val="13"/>
                <w:szCs w:val="13"/>
                <w:b w:val="1"/>
                <w:bCs w:val="1"/>
                <w:color w:val="auto"/>
                <w:w w:val="82"/>
              </w:rPr>
              <w:t>3</w:t>
            </w:r>
          </w:p>
        </w:tc>
        <w:tc>
          <w:tcPr>
            <w:tcW w:w="40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9"/>
              </w:rPr>
              <w:t>– 5</w:t>
            </w:r>
          </w:p>
        </w:tc>
        <w:tc>
          <w:tcPr>
            <w:tcW w:w="160" w:type="dxa"/>
            <w:vAlign w:val="bottom"/>
          </w:tcPr>
          <w:p>
            <w:pPr>
              <w:spacing w:after="0"/>
              <w:rPr>
                <w:sz w:val="10"/>
                <w:szCs w:val="10"/>
                <w:color w:val="auto"/>
              </w:rPr>
            </w:pPr>
          </w:p>
        </w:tc>
        <w:tc>
          <w:tcPr>
            <w:tcW w:w="76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4020" w:type="dxa"/>
            <w:vAlign w:val="bottom"/>
            <w:gridSpan w:val="3"/>
            <w:vMerge w:val="restart"/>
          </w:tcPr>
          <w:p>
            <w:pPr>
              <w:ind w:left="20"/>
              <w:spacing w:after="0"/>
              <w:rPr>
                <w:sz w:val="20"/>
                <w:szCs w:val="20"/>
                <w:color w:val="auto"/>
              </w:rPr>
            </w:pPr>
            <w:r>
              <w:rPr>
                <w:rFonts w:ascii="Arial" w:cs="Arial" w:eastAsia="Arial" w:hAnsi="Arial"/>
                <w:sz w:val="18"/>
                <w:szCs w:val="18"/>
                <w:color w:val="auto"/>
              </w:rPr>
              <w:t>Payable for securities purchased</w:t>
            </w:r>
            <w:r>
              <w:rPr>
                <w:rFonts w:ascii="Arial" w:cs="Arial" w:eastAsia="Arial" w:hAnsi="Arial"/>
                <w:sz w:val="30"/>
                <w:szCs w:val="30"/>
                <w:color w:val="auto"/>
                <w:vertAlign w:val="superscript"/>
              </w:rPr>
              <w:t>(1)</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020" w:type="dxa"/>
            <w:vAlign w:val="bottom"/>
            <w:gridSpan w:val="3"/>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89.5</w:t>
            </w:r>
          </w:p>
        </w:tc>
        <w:tc>
          <w:tcPr>
            <w:tcW w:w="36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89.5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69.0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2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Credit Facility</w:t>
            </w:r>
            <w:r>
              <w:rPr>
                <w:rFonts w:ascii="Arial" w:cs="Arial" w:eastAsia="Arial" w:hAnsi="Arial"/>
                <w:sz w:val="29"/>
                <w:szCs w:val="29"/>
                <w:color w:val="auto"/>
                <w:vertAlign w:val="superscript"/>
              </w:rPr>
              <w:t>(2)(3)</w:t>
            </w:r>
          </w:p>
        </w:tc>
        <w:tc>
          <w:tcPr>
            <w:tcW w:w="140" w:type="dxa"/>
            <w:vAlign w:val="bottom"/>
          </w:tcPr>
          <w:p>
            <w:pPr>
              <w:spacing w:after="0"/>
              <w:rPr>
                <w:sz w:val="22"/>
                <w:szCs w:val="2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158.5</w:t>
            </w:r>
          </w:p>
        </w:tc>
        <w:tc>
          <w:tcPr>
            <w:tcW w:w="36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69.0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302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jc w:val="both"/>
        <w:ind w:left="300" w:right="519" w:hanging="272"/>
        <w:spacing w:after="0" w:line="264" w:lineRule="auto"/>
        <w:tabs>
          <w:tab w:leader="none" w:pos="30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Payable for securities purchased relates to the purchase of the United States Treasury Bill on margin. The payable for securities purchased was subsequently repaid on July 2, 2015 when the United States Treasury Bill matured and the $10.5 million margin deposit which was posted as collateral was returned.</w:t>
      </w:r>
    </w:p>
    <w:p>
      <w:pPr>
        <w:spacing w:after="0" w:line="73" w:lineRule="exact"/>
        <w:rPr>
          <w:rFonts w:ascii="Arial" w:cs="Arial" w:eastAsia="Arial" w:hAnsi="Arial"/>
          <w:sz w:val="18"/>
          <w:szCs w:val="18"/>
          <w:i w:val="1"/>
          <w:iCs w:val="1"/>
          <w:color w:val="auto"/>
        </w:rPr>
      </w:pPr>
    </w:p>
    <w:p>
      <w:pPr>
        <w:ind w:left="300" w:hanging="272"/>
        <w:spacing w:after="0"/>
        <w:tabs>
          <w:tab w:leader="none" w:pos="30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Total unused amount of the Credit Facility as of June 30, 2015 was $18 million.</w:t>
      </w:r>
    </w:p>
    <w:p>
      <w:pPr>
        <w:spacing w:after="0" w:line="117" w:lineRule="exact"/>
        <w:rPr>
          <w:rFonts w:ascii="Arial" w:cs="Arial" w:eastAsia="Arial" w:hAnsi="Arial"/>
          <w:sz w:val="18"/>
          <w:szCs w:val="18"/>
          <w:i w:val="1"/>
          <w:iCs w:val="1"/>
          <w:color w:val="auto"/>
        </w:rPr>
      </w:pPr>
    </w:p>
    <w:p>
      <w:pPr>
        <w:ind w:left="300" w:hanging="272"/>
        <w:spacing w:after="0"/>
        <w:tabs>
          <w:tab w:leader="none" w:pos="300" w:val="left"/>
        </w:tabs>
        <w:numPr>
          <w:ilvl w:val="0"/>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The weighted average interest rate incurred under the Credit Facility was 4.02% for the six months ended June 30, 2015.</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jc w:val="both"/>
        <w:ind w:left="60" w:right="539" w:firstLine="270"/>
        <w:spacing w:after="0" w:line="308" w:lineRule="auto"/>
        <w:rPr>
          <w:sz w:val="20"/>
          <w:szCs w:val="20"/>
          <w:color w:val="auto"/>
        </w:rPr>
      </w:pPr>
      <w:r>
        <w:rPr>
          <w:rFonts w:ascii="Arial" w:cs="Arial" w:eastAsia="Arial" w:hAnsi="Arial"/>
          <w:sz w:val="17"/>
          <w:szCs w:val="17"/>
          <w:color w:val="auto"/>
        </w:rPr>
        <w:t>As of June 30, 2015, we had no off-balance sheet arrangements, including any risk management of commodity pricing or other hedging practices. However, we may employ hedging and other risk management techniques in the future.</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Distribution Policy</w:t>
      </w:r>
    </w:p>
    <w:p>
      <w:pPr>
        <w:spacing w:after="0" w:line="117" w:lineRule="exact"/>
        <w:rPr>
          <w:sz w:val="20"/>
          <w:szCs w:val="20"/>
          <w:color w:val="auto"/>
        </w:rPr>
      </w:pPr>
    </w:p>
    <w:p>
      <w:pPr>
        <w:jc w:val="both"/>
        <w:ind w:left="60" w:right="519" w:firstLine="270"/>
        <w:spacing w:after="0" w:line="290" w:lineRule="auto"/>
        <w:rPr>
          <w:sz w:val="20"/>
          <w:szCs w:val="20"/>
          <w:color w:val="auto"/>
        </w:rPr>
      </w:pPr>
      <w:r>
        <w:rPr>
          <w:rFonts w:ascii="Arial" w:cs="Arial" w:eastAsia="Arial" w:hAnsi="Arial"/>
          <w:sz w:val="16"/>
          <w:szCs w:val="16"/>
          <w:color w:val="auto"/>
        </w:rPr>
        <w:t>The timing and amount of our dividends, if any, will be determined by our board of directors. Any dividends to our stockholders will be declared out of assets legally available for distribution. We intend to focus on making capital gains-based investments from which we will derive primarily capital gains. As a consequence, we do not anticipate that we will pay dividends on a quarterly basis or become a predictable distributor of dividends, and we expect that our dividends, if any, will be much less consistent than the dividends of other business development companies that primarily make debt investments. We have made no distributions since inception and are not certain as to when we will be able to distribute dividends in the future. However, if there are earnings or realized capital gains to be distributed, we intend to declare and pay a dividend at least annually. The amount of realized capital gains available for distribution to stockholders will be impacted by our tax status, which remains uncertain.</w:t>
      </w:r>
    </w:p>
    <w:p>
      <w:pPr>
        <w:spacing w:after="0" w:line="200" w:lineRule="exact"/>
        <w:rPr>
          <w:sz w:val="20"/>
          <w:szCs w:val="20"/>
          <w:color w:val="auto"/>
        </w:rPr>
      </w:pPr>
    </w:p>
    <w:p>
      <w:pPr>
        <w:spacing w:after="0" w:line="30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Our current intention is to make any distributions out of assets legally available therefrom in additional shares of our common stock under our dividend reinvestment plan, unless you elect to receive your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remain taxable to the U.S. stockholder, although no cash distribution has been made. As a result, if you do not elect to opt out of the dividend reinvestment plan, you will be required to pay applicable federal, state and local taxes on any reinvested dividends even though you will not receive a corresponding cash distribution. In addition, reinvested dividends have the effect of increasing our gross assets, which may correspondingly increase the management fee payable to our investment adviser. If you hold shares in the name of a broker or financial intermediary, you should contact the broker or financial intermediary regarding your election to receive distributions in cash.</w:t>
      </w:r>
    </w:p>
    <w:p>
      <w:pPr>
        <w:spacing w:after="0" w:line="72"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Although we intend to elect to be taxed as a RIC under Subchapter M of the Code for the 2014 taxable year, we may be taxed as a C Corporation under the Code for our 2013 taxable year. We are unable to make a reasonably reliable estimate of when, if ever, we will become eligible to be treated as a RIC and thereby release the deferred tax liabilities associated with being a C Corporation. In September 2014, we filed our 2013 tax return as a RIC and are seeking to be granted RIC status for the 2013 taxable year. However, we will not be eligible to elect to be treated as a RIC for the 2013 taxable year unless we receive an SEC Certification, for which we have applied. In the event that we do not receive such SEC Certification or are otherwise unable to meet all of the qualifications to be treated as a RIC for 2013, we will be taxed as a C Corporation for the 2013 taxable year. Should we not qualify as a RIC for 2013, we intend to elect to be treated as a RIC for the 2014 taxable year and 2015 taxable year, if management determines that it is in our best interests to do so. If management opts not to do so or we are unable to qualify, we will continue to be taxed as a C corporation under the Code for the 2014 taxable year and 2015 taxable year.</w:t>
      </w:r>
    </w:p>
    <w:p>
      <w:pPr>
        <w:spacing w:after="0" w:line="61"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Should we become eligible to be treated as a RIC, we generally will not pay corporate-level U.S. federal income taxes on any net ordinary income or capital gains that we distribute to our stockholders as dividends and claim dividends paid deductions to compute taxable income. In the event we convert to a RIC from a C Corporation, we may be required to pay a corporate-level tax on the net amount of the net built-in gains, if any, in our assets (the amount by which the net fair market value of our assets exceeds the net adjusted basis in our assets) as of the date of conversion (i.e., the beginning of the first taxable year that we qualify as a RIC) to the extent that such gains are recognized by us during the applicable recognition period, which is the ten-year period (or shorter applicable period) beginning on the date of conversion. Alternatively, we may make a special election to cause the gain to be recognized at the time of the conversion. The payment of any such corporate-level tax on built-in gain will be a Company expense that will reduce the amount available for distribution to stockholders. Should we not obtain SEC Certification for the 2013 tax year and elect to be a RIC for the 2014 tax year, then it is expected that we should not incur built-in gains tax for the 2014 tax year due to the fact that there are sufficient net capital loss carryforwards alone to completely offset recognized built-in gains as well as available net operating losses. See “Note 8 — Income Tax” to our Condensed Consolidated Financial Statements for the period ended June 30, 2015 for more information.</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Borrowings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Convertible Senior Notes payable</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On September 17, 2013, we issued $69 million aggregate principal amount of Convertible Senior Notes which bear interest at a fixed rate of 5.25% per year, are payable semi-annually and mature on September 15, 2018, unless previously purchased or converted in accordance with their terms. We do not have the right to redeem the Convertible Senior Notes prior to maturity. The Convertible Senior Notes are convertible into shares of our common stock based on an initial conversion rate of 61.5091 shares of common stock per $1,000 principal amount of Convertible Senior Notes, which is equivalent to an initial conversion price of approximately $16.26 per share of common stock, and which represents a premium of 71.7% to the $9.47 per share closing price of the our common stock on August 7, 2015.</w:t>
      </w:r>
    </w:p>
    <w:p>
      <w:pPr>
        <w:spacing w:after="0" w:line="200" w:lineRule="exact"/>
        <w:rPr>
          <w:sz w:val="20"/>
          <w:szCs w:val="20"/>
          <w:color w:val="auto"/>
        </w:rPr>
      </w:pPr>
    </w:p>
    <w:p>
      <w:pPr>
        <w:spacing w:after="0" w:line="32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The Convertible Senior Notes are our senior, unsecured obligations and rank senior in right of payment to any future indebtedness that is expressly subordinated in right of payment to the Convertible Senior Notes, equal in right of payment to any future unsecured indebtedness that is not so subordinated to the Convertible Senior Notes, junior (other than to the extent of the interest escrow) to any future secured indebtedness to the extent of the value of the assets securing such indebtedness, and structurally junior to all future indebtedness (including trade payables) incurred by our subsidiaries. “Structurally junior” indicates that creditors of a parent entity are subordinate to creditors of a subsidiary entity with respect to the subsidiary’s assets.</w:t>
      </w:r>
    </w:p>
    <w:p>
      <w:pPr>
        <w:spacing w:after="0" w:line="5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terms of the Convertible Senior Notes offering required us to place approximately $10.8 million of the proceeds of the offering in an escrow account (the “Interest Escrow”) with U.S. Bank National Association (the “Trustee”) to secure the payment of the first six interest payments.</w:t>
      </w:r>
    </w:p>
    <w:p>
      <w:pPr>
        <w:spacing w:after="0" w:line="73"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We incurred approximately $3.5 million of legal and other costs associated with issuing the Convertible Senior Notes. These costs were deferred and are being amortized over the life of the Convertible Senior Notes. As of June 30, 2015, of the approximately $3.5 million incurred, approximately $2.3 million remains to be amortized. See “Note 1 — Nature of Operations and Significant Accounting Policies — Deferred Financing Costs” and “Note 9 — Long Term Liabilities” to our Condensed Consolidated Financial Statements for the period ended June 30, 2015 for more information.</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Embedded Derivative</w:t>
      </w:r>
    </w:p>
    <w:p>
      <w:pPr>
        <w:spacing w:after="0" w:line="117"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The Convertible Senior Notes contain an interest make-whole payment provision that allows note holders who convert their notes into common stock prior to September 15, 2016 to receive a number of shares of our common stock calculated at the applicable conversion rate for the principal amount of notes being converted, as well as the cash proceeds from sale by the escrow agent of the portion of the government securities in the escrow account that are remaining with respect to any of the first six interest payments that have not been made on the notes being converted.</w:t>
      </w:r>
    </w:p>
    <w:p>
      <w:pPr>
        <w:spacing w:after="0" w:line="80" w:lineRule="exact"/>
        <w:rPr>
          <w:sz w:val="20"/>
          <w:szCs w:val="20"/>
          <w:color w:val="auto"/>
        </w:rPr>
      </w:pPr>
    </w:p>
    <w:p>
      <w:pPr>
        <w:jc w:val="both"/>
        <w:ind w:left="40" w:right="519" w:firstLine="270"/>
        <w:spacing w:after="0" w:line="308" w:lineRule="auto"/>
        <w:rPr>
          <w:sz w:val="20"/>
          <w:szCs w:val="20"/>
          <w:color w:val="auto"/>
        </w:rPr>
      </w:pPr>
      <w:r>
        <w:rPr>
          <w:rFonts w:ascii="Arial" w:cs="Arial" w:eastAsia="Arial" w:hAnsi="Arial"/>
          <w:sz w:val="17"/>
          <w:szCs w:val="17"/>
          <w:color w:val="auto"/>
        </w:rPr>
        <w:t>Refer to “Note 9 — Long Term Liabilities” to our Condensed Consolidated Financial Statements for the period ended June 30, 2015 for a detailed discussion of the Convertible Senior Notes and their interest make-whole payment provision.</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We entered into the Loan Agreement, effective December 31, 2013, with Silicon Valley Bank to provide us with an $18 million Credit Facility, which matures on December 31, 2016, and bears interest at a per annum rate equal to the greater of (i) the prime rate plus 4.75% and (ii) 8.0% on amounts drawn. In addition, a fee of $180,000 per annum (1.0% of the $18 million revolving line of credit) is charged under the Loan Agreement. Under the Credit Facility, we are permitted to borrow an amount equal to the lesser of $18 million or 20% of our then-current net asset value. The Credit Facility is secured by all of our property and assets, except for our assets pledged to secure certain obligations in connection with our issuance, in September 2013, of the Convertible Senior Notes and, as provided for in the Loan Agreement, as may be pledged in connection with any future issuance by us of convertible senior notes on substantially similar terms. As of June 30, 2015, we had no borrowings under the Credit Facility, and $18 million unused under the Credit Facility.</w:t>
      </w:r>
    </w:p>
    <w:p>
      <w:pPr>
        <w:spacing w:after="0" w:line="74"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Refer to “Note 9 — Long Term Liabilities” to our Condensed Consolidated Financial Statements for the period ended June 30, 2015 for a detailed discussion of the Credit Facility.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We entered into the Advisory Agreement with GSV Asset Management in connection with our IPO. Pursuant to the Advisory Agreement, GSV Asset Management will be paid a base annual fee of 2.00% of gross assets, and an annual incentive fee equal to the lesser of (i) 20% of our realized capital gains during each calendar year, if any, calculated on an investment-by-investment basis, subject to a non-compounded preferred return, or “hurdle,” and a “catch-up” feature, and (ii) 20% of our realized capital gains, if any, on a cumulative basis from inception through the end of each calendar year, computed net of all realized capital losses and unrealized capital depreciation on a cumulative basis, less the aggregate amount of any previously paid incentive fees.</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Incentive Fees</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We did not pay GSV Asset Management any incentive fees for the three and six months ended June 30, 2015 and 2014 under the terms of the Advisory Agreement. We have not paid GSV Asset Management any incentive fees since inception under the terms of the Advisory Agreement. However, for GAAP purposes, in accordance with the AICPA’s TPA (TIS 6910.2), we are required to accrue incentive fees as if we had fully liquidated our entire investment portfolio at the fair value stated on the Condensed Consolidated Statements of Assets and Liabilities as of June 30, 2015 and December 31, 2014. This accrual considers both the hypothetical liquidation of our portfolio described previously, as well as our actual cumulative realized gains and losses since inception.</w:t>
      </w:r>
    </w:p>
    <w:p>
      <w:pPr>
        <w:spacing w:after="0" w:line="8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For the three and six months ended June 30, 2015, we accrued incentive fees of $1,565,339 and $9,777,067, respectively, for financial statement purposes. For the three and six months ended June 30, 2014, we accrued incentive fees of $844,633 and $1,814,285, respectively, for financial statement purposes.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Management Fees</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GSV Asset Management earned $2,010,385 and $3,931,513 in management fees for the three and six months ended June 30, 2015, respectively. GSV Asset Management earned $1,933,663 and $3,689,859 in management fees for the three and six months ended June 30, 2014, respectively.</w:t>
      </w:r>
    </w:p>
    <w:p>
      <w:pPr>
        <w:spacing w:after="0" w:line="73"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As of June 30, 2015, we were owed $1,124 from GSV Asset Management for reimbursement of expenses we paid that were the responsibility of GSV Asset Management. In addition as of June 30, 2015, we owed GSV Asset Management $29,325 for reimbursement of other expenses.</w:t>
      </w:r>
    </w:p>
    <w:p>
      <w:pPr>
        <w:spacing w:after="0" w:line="73"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As of December 31, 2014, we were owed $204,825 from GSV Asset Management for reimbursement of expenses we paid that were the responsibility of GSV Asset Management. In addition as of December 31, 2014, we owed GSV Asset Management $23,396 for reimbursement of other expenses.</w:t>
      </w:r>
    </w:p>
    <w:p>
      <w:pPr>
        <w:spacing w:after="0" w:line="73"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We entered into the Administration Agreement with GSV Capital Service Company to provide administrative services, including furnishing us with office facilities, equipment, clerical, bookkeeping services and other administrative services, in connection with our IPO. We reimburse GSV Capital Service Company an allocable portion of overhead and other expenses in performing its obligations under the Administration Agreement. There were $785,036 and $1,587,432 in such costs incurred under the Administration Agreement for the three and six months ended June 30, 2015, respectively. There were $929,701 and $1,838,233 in such costs incurred under the Administration Agreement for the three and six months ended June 30, 2014, respectively.</w:t>
      </w:r>
    </w:p>
    <w:p>
      <w:pPr>
        <w:spacing w:after="0" w:line="81"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In February 2013, Mark Moe, who is the brother of our Chief Executive Officer, Michael Moe, joined NestGSV, Inc. (d/b/a GSV Labs, Inc.), one of our portfolio companies, as a Vice President of Business Development, Global Expansion. On August 26, 2014, Diane Flynn, who is the spouse of our president, Mark Flynn, joined NestGSV, Inc. (d/b/a GSV Labs, Inc.), on a contract basis as Chief Marketing Officer. In February 2015, she became the Chief Marketing Officer on a full time basis. Ron Johnson, the CEO of Enjoy Technology, Inc., is the brother-in-law of our president, Mark Flynn.</w:t>
      </w:r>
    </w:p>
    <w:p>
      <w:pPr>
        <w:spacing w:after="0" w:line="64"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In addition, our executive officers and directors, and the principals of our investment adviser, GSV Asset Management, serve or may serve as officers and directors of entities that operate in a line of business similar to our own, including new entities that may be formed in the future. Accordingly, they may have obligations to investors in those entities, the fulfillment of which might not be in the best interests of us or our stockholders. For example, as of June 30, 2015, GSV Asset Management also managed GSV X Fund, a global long/short absolute return fund, and Coursera@GSV Fund, LP, a special purpose vehicle comprised of an underlying investment in Coursera stock, and will likely manage one or more private funds in the future.</w:t>
      </w:r>
    </w:p>
    <w:p>
      <w:pPr>
        <w:spacing w:after="0" w:line="70"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While the investment focus of each of these entities may be different from our investment objective, it is likely that new investment opportunities that meet our investment objective will come to the attention of one of these entities, or new entities that will likely be formed in the future in connection with another investment advisory client or program, and, if so, such opportunity might not be offered, or otherwise made available, to us. However, our executive officers, directors and investment adviser intend to treat us in a fair and equitable manner consistent with their applicable duties under law so that we will not be disadvantaged in relation to any other particular client. In addition, while GSV Asset Management anticipates that it will from time to time</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9" w:name="page60"/>
    <w:bookmarkEnd w:id="5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60" w:right="519"/>
        <w:spacing w:after="0" w:line="279" w:lineRule="auto"/>
        <w:rPr>
          <w:sz w:val="20"/>
          <w:szCs w:val="20"/>
          <w:color w:val="auto"/>
        </w:rPr>
      </w:pPr>
      <w:r>
        <w:rPr>
          <w:rFonts w:ascii="Arial" w:cs="Arial" w:eastAsia="Arial" w:hAnsi="Arial"/>
          <w:sz w:val="17"/>
          <w:szCs w:val="17"/>
          <w:color w:val="auto"/>
        </w:rPr>
        <w:t>identify investment opportunities that are appropriate for both us and the other funds that are currently or in the future may be managed by GSV Asset Management, to the extent it does identify such opportunities, GSV Asset Management has established an allocation policy to ensure that we have priority over such other funds. Our board of directors will monitor on a quarterly basis any such allocation of investment opportunities between us and any such other funds.</w:t>
      </w:r>
    </w:p>
    <w:p>
      <w:pPr>
        <w:spacing w:after="0" w:line="63" w:lineRule="exact"/>
        <w:rPr>
          <w:sz w:val="20"/>
          <w:szCs w:val="20"/>
          <w:color w:val="auto"/>
        </w:rPr>
      </w:pPr>
    </w:p>
    <w:p>
      <w:pPr>
        <w:jc w:val="both"/>
        <w:ind w:left="60" w:right="519" w:firstLine="270"/>
        <w:spacing w:after="0" w:line="276" w:lineRule="auto"/>
        <w:rPr>
          <w:sz w:val="20"/>
          <w:szCs w:val="20"/>
          <w:color w:val="auto"/>
        </w:rPr>
      </w:pPr>
      <w:r>
        <w:rPr>
          <w:rFonts w:ascii="Arial" w:cs="Arial" w:eastAsia="Arial" w:hAnsi="Arial"/>
          <w:sz w:val="17"/>
          <w:szCs w:val="17"/>
          <w:color w:val="auto"/>
        </w:rPr>
        <w:t>GSV Asset Management is the owner of the “GSV” name and marks, which we are permitted to use pursuant to a non-exclusive license agreement between us and GSV Asset Management. GSV Asset Management and its principals also use and may permit other entities to use the “GSV” name and marks in connection with businesses and activities unrelated to our operations. The use of the “GSV” name and marks in connection with businesses and activities unrelated to our operations may not be in the best interest of us or our stockholder and may result in actual or perceived conflicts of interest.</w:t>
      </w:r>
    </w:p>
    <w:p>
      <w:pPr>
        <w:spacing w:after="0" w:line="64"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In the ordinary course of business, we may enter into transactions with portfolio companies that may be considered related-party transactions. In order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us, companies controlled by us and our executive officers and directors.</w:t>
      </w:r>
    </w:p>
    <w:p>
      <w:pPr>
        <w:spacing w:after="0" w:line="80" w:lineRule="exact"/>
        <w:rPr>
          <w:sz w:val="20"/>
          <w:szCs w:val="20"/>
          <w:color w:val="auto"/>
        </w:rPr>
      </w:pPr>
    </w:p>
    <w:p>
      <w:pPr>
        <w:jc w:val="both"/>
        <w:ind w:left="60" w:right="519" w:firstLine="270"/>
        <w:spacing w:after="0" w:line="254" w:lineRule="auto"/>
        <w:rPr>
          <w:sz w:val="20"/>
          <w:szCs w:val="20"/>
          <w:color w:val="auto"/>
        </w:rPr>
      </w:pPr>
      <w:r>
        <w:rPr>
          <w:rFonts w:ascii="Arial" w:cs="Arial" w:eastAsia="Arial" w:hAnsi="Arial"/>
          <w:sz w:val="18"/>
          <w:szCs w:val="18"/>
          <w:color w:val="auto"/>
        </w:rPr>
        <w:t>We also adopted a Code of Ethics which applies to, among others, our senior officers, including our Chief Executive Officer and Chief Financial Officer, as well as all of our officers, directors and employees.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See “Note 1 — Nature of Operations and Significant Accounting Policies” to our Condensed Consolidated Financial Statements for the period ended June 30, 2015, which describes our critical accounting policies and recently issued accounting pronouncements not yet required to be adopted by us.</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left="60" w:right="519" w:firstLine="270"/>
        <w:spacing w:after="0" w:line="279" w:lineRule="auto"/>
        <w:rPr>
          <w:sz w:val="20"/>
          <w:szCs w:val="20"/>
          <w:color w:val="auto"/>
        </w:rPr>
      </w:pPr>
      <w:r>
        <w:rPr>
          <w:rFonts w:ascii="Arial" w:cs="Arial" w:eastAsia="Arial" w:hAnsi="Arial"/>
          <w:sz w:val="17"/>
          <w:szCs w:val="17"/>
          <w:color w:val="auto"/>
        </w:rPr>
        <w:t>From June 30, 2015 through August 10, 2015, we closed on investment purchases of $4,000,000 plus transaction costs as shown in following table. “Total Gross Payments” include the actual cost of an investment as well as capitalized costs, (such as legal and other fees) associated with entering into a portfolio company investment. Refer to “Note 1 — Nature of Operations and Significant Accounting Policies” to our Condensed Consolidated Financial Statements for the period ended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Transaction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71"/>
        </w:trPr>
        <w:tc>
          <w:tcPr>
            <w:tcW w:w="41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21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Enjoy Technology, Inc.</w:t>
            </w:r>
          </w:p>
        </w:tc>
        <w:tc>
          <w:tcPr>
            <w:tcW w:w="1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Online Shopping</w:t>
            </w: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July 29, 2015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4,000,000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ind w:left="20"/>
              <w:spacing w:after="0"/>
              <w:rPr>
                <w:sz w:val="20"/>
                <w:szCs w:val="20"/>
                <w:color w:val="auto"/>
              </w:rPr>
            </w:pPr>
            <w:r>
              <w:rPr>
                <w:rFonts w:ascii="Arial" w:cs="Arial" w:eastAsia="Arial" w:hAnsi="Arial"/>
                <w:sz w:val="18"/>
                <w:szCs w:val="18"/>
                <w:color w:val="auto"/>
              </w:rPr>
              <w:t>Total Gross Payments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-153670</wp:posOffset>
            </wp:positionV>
            <wp:extent cx="5213985" cy="154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213985" cy="154305"/>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From June 30, 2015 through August 10, 2015, we sold no investments.</w:t>
      </w:r>
    </w:p>
    <w:p>
      <w:pPr>
        <w:spacing w:after="0" w:line="117" w:lineRule="exact"/>
        <w:rPr>
          <w:sz w:val="20"/>
          <w:szCs w:val="20"/>
          <w:color w:val="auto"/>
        </w:rPr>
      </w:pPr>
    </w:p>
    <w:p>
      <w:pPr>
        <w:jc w:val="both"/>
        <w:ind w:left="60" w:right="519" w:firstLine="270"/>
        <w:spacing w:after="0" w:line="255" w:lineRule="auto"/>
        <w:rPr>
          <w:sz w:val="20"/>
          <w:szCs w:val="20"/>
          <w:color w:val="auto"/>
        </w:rPr>
      </w:pPr>
      <w:r>
        <w:rPr>
          <w:rFonts w:ascii="Arial" w:cs="Arial" w:eastAsia="Arial" w:hAnsi="Arial"/>
          <w:sz w:val="18"/>
          <w:szCs w:val="18"/>
          <w:color w:val="auto"/>
        </w:rPr>
        <w:t>We are presently in the final stages of negotiations with respect to several private company investments that we anticipate entering into within the next 30 to 60 days,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 From June 30, 2015 through August 10, 2015, we have not made any such escrow deposits.</w:t>
      </w:r>
    </w:p>
    <w:p>
      <w:pPr>
        <w:spacing w:after="0" w:line="200" w:lineRule="exact"/>
        <w:rPr>
          <w:sz w:val="20"/>
          <w:szCs w:val="20"/>
          <w:color w:val="auto"/>
        </w:rPr>
      </w:pPr>
    </w:p>
    <w:p>
      <w:pPr>
        <w:spacing w:after="0" w:line="32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0" w:name="page61"/>
    <w:bookmarkEnd w:id="6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Line of Credit</w:t>
      </w:r>
    </w:p>
    <w:p>
      <w:pPr>
        <w:spacing w:after="0" w:line="117"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As of August 10, 2015, we had no borrowings outstanding under the Credit Facility, and $18 million unused under the Credit Facility.</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our return on our portfolio investments, although any significant change in market interest rates could potentially have an indirect effect on the business, financial condition and results of operations of the portfolio companies in which we invest.</w:t>
      </w:r>
    </w:p>
    <w:p>
      <w:pPr>
        <w:spacing w:after="0" w:line="80" w:lineRule="exact"/>
        <w:rPr>
          <w:sz w:val="20"/>
          <w:szCs w:val="20"/>
          <w:color w:val="auto"/>
        </w:rPr>
      </w:pPr>
    </w:p>
    <w:p>
      <w:pPr>
        <w:jc w:val="both"/>
        <w:ind w:left="60" w:right="519" w:firstLine="270"/>
        <w:spacing w:after="0" w:line="279" w:lineRule="auto"/>
        <w:rPr>
          <w:sz w:val="20"/>
          <w:szCs w:val="20"/>
          <w:color w:val="auto"/>
        </w:rPr>
      </w:pPr>
      <w:r>
        <w:rPr>
          <w:rFonts w:ascii="Arial" w:cs="Arial" w:eastAsia="Arial" w:hAnsi="Arial"/>
          <w:sz w:val="17"/>
          <w:szCs w:val="17"/>
          <w:color w:val="auto"/>
        </w:rPr>
        <w:t>As of June 30, 2015, all of our debt investments bore a fixed rate of interest. As of June 30, 2015, all of our borrowings bore a fixed rate of interest with the exception of the Credit Facility which is indexed to the prime rate. We do not expect a significant impact on net investment income, due to changes in the prime rate, based on its historical stability. The table below, however, indicates the impact an increase in the prime rate would have on our net investment income.</w:t>
      </w:r>
    </w:p>
    <w:p>
      <w:pPr>
        <w:spacing w:after="0" w:line="63" w:lineRule="exact"/>
        <w:rPr>
          <w:sz w:val="20"/>
          <w:szCs w:val="20"/>
          <w:color w:val="auto"/>
        </w:rPr>
      </w:pPr>
    </w:p>
    <w:p>
      <w:pPr>
        <w:jc w:val="both"/>
        <w:ind w:left="60" w:right="519" w:firstLine="270"/>
        <w:spacing w:after="0" w:line="273" w:lineRule="auto"/>
        <w:rPr>
          <w:sz w:val="20"/>
          <w:szCs w:val="20"/>
          <w:color w:val="auto"/>
        </w:rPr>
      </w:pPr>
      <w:r>
        <w:rPr>
          <w:rFonts w:ascii="Arial" w:cs="Arial" w:eastAsia="Arial" w:hAnsi="Arial"/>
          <w:sz w:val="17"/>
          <w:szCs w:val="17"/>
          <w:color w:val="auto"/>
        </w:rPr>
        <w:t>At June 30, 2015 we had no borrowings under the Credit Facility, which allows us to borrow a maximum of $18.0 million. The amount we borrow under the Credit Facility will vary based on our business needs throughout the year. As such, we are not able to forecast our utilization under the Credit Facility. We have thus have assumed full utilization of the Credit Facility to present the largest impact rising interest rates could have on our net income. The table below shows the impact changes in interest rates could have on our net income, based on our Condensed Consolidated Statement of Assets and Liabilities as of June 30, 2015 (assuming no other changes in our investment and borrowing structure).</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 the six months ended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0573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Basis Point Change</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8"/>
              </w:rPr>
              <w:t>Interest</w:t>
            </w:r>
          </w:p>
        </w:tc>
        <w:tc>
          <w:tcPr>
            <w:tcW w:w="160" w:type="dxa"/>
            <w:vAlign w:val="bottom"/>
          </w:tcPr>
          <w:p>
            <w:pPr>
              <w:spacing w:after="0"/>
              <w:rPr>
                <w:sz w:val="16"/>
                <w:szCs w:val="16"/>
                <w:color w:val="auto"/>
              </w:rPr>
            </w:pPr>
          </w:p>
        </w:tc>
        <w:tc>
          <w:tcPr>
            <w:tcW w:w="760" w:type="dxa"/>
            <w:vAlign w:val="bottom"/>
          </w:tcPr>
          <w:p>
            <w:pPr>
              <w:jc w:val="right"/>
              <w:ind w:right="59"/>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6"/>
                <w:szCs w:val="16"/>
                <w:color w:val="auto"/>
              </w:rPr>
            </w:pPr>
          </w:p>
        </w:tc>
        <w:tc>
          <w:tcPr>
            <w:tcW w:w="880" w:type="dxa"/>
            <w:vAlign w:val="bottom"/>
          </w:tcPr>
          <w:p>
            <w:pPr>
              <w:jc w:val="right"/>
              <w:ind w:right="237"/>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6"/>
        </w:trPr>
        <w:tc>
          <w:tcPr>
            <w:tcW w:w="55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3"/>
                <w:szCs w:val="13"/>
                <w:b w:val="1"/>
                <w:bCs w:val="1"/>
                <w:color w:val="auto"/>
              </w:rPr>
              <w:t>Expense</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 300 Basis points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$(825,000)</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Up 200 Basis points</w:t>
            </w:r>
          </w:p>
        </w:tc>
        <w:tc>
          <w:tcPr>
            <w:tcW w:w="160" w:type="dxa"/>
            <w:vAlign w:val="bottom"/>
          </w:tcPr>
          <w:p>
            <w:pPr>
              <w:spacing w:after="0"/>
              <w:rPr>
                <w:sz w:val="18"/>
                <w:szCs w:val="18"/>
                <w:color w:val="auto"/>
              </w:rPr>
            </w:pPr>
          </w:p>
        </w:tc>
        <w:tc>
          <w:tcPr>
            <w:tcW w:w="5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750,000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 100 Basis points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(675,000)</w:t>
            </w:r>
          </w:p>
        </w:tc>
        <w:tc>
          <w:tcPr>
            <w:tcW w:w="0" w:type="dxa"/>
            <w:vAlign w:val="bottom"/>
          </w:tcPr>
          <w:p>
            <w:pPr>
              <w:spacing w:after="0"/>
              <w:rPr>
                <w:sz w:val="1"/>
                <w:szCs w:val="1"/>
                <w:color w:val="auto"/>
              </w:rPr>
            </w:pPr>
          </w:p>
        </w:tc>
      </w:tr>
      <w:tr>
        <w:trPr>
          <w:trHeight w:val="257"/>
        </w:trPr>
        <w:tc>
          <w:tcPr>
            <w:tcW w:w="5540" w:type="dxa"/>
            <w:vAlign w:val="bottom"/>
          </w:tcPr>
          <w:p>
            <w:pPr>
              <w:ind w:left="20"/>
              <w:spacing w:after="0" w:line="256" w:lineRule="exact"/>
              <w:rPr>
                <w:sz w:val="20"/>
                <w:szCs w:val="20"/>
                <w:color w:val="auto"/>
              </w:rPr>
            </w:pPr>
            <w:r>
              <w:rPr>
                <w:rFonts w:ascii="Arial" w:cs="Arial" w:eastAsia="Arial" w:hAnsi="Arial"/>
                <w:sz w:val="18"/>
                <w:szCs w:val="18"/>
                <w:color w:val="auto"/>
              </w:rPr>
              <w:t>Down 100 Basis points</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5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54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Down 200 Basis points</w:t>
            </w:r>
            <w:r>
              <w:rPr>
                <w:rFonts w:ascii="Arial" w:cs="Arial" w:eastAsia="Arial" w:hAnsi="Arial"/>
                <w:sz w:val="29"/>
                <w:szCs w:val="29"/>
                <w:color w:val="auto"/>
                <w:vertAlign w:val="superscript"/>
              </w:rPr>
              <w:t>(2)</w:t>
            </w: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0"/>
        </w:trPr>
        <w:tc>
          <w:tcPr>
            <w:tcW w:w="5540" w:type="dxa"/>
            <w:vAlign w:val="bottom"/>
          </w:tcPr>
          <w:p>
            <w:pPr>
              <w:ind w:left="20"/>
              <w:spacing w:after="0"/>
              <w:rPr>
                <w:sz w:val="20"/>
                <w:szCs w:val="20"/>
                <w:color w:val="auto"/>
              </w:rPr>
            </w:pPr>
            <w:r>
              <w:rPr>
                <w:rFonts w:ascii="Arial" w:cs="Arial" w:eastAsia="Arial" w:hAnsi="Arial"/>
                <w:sz w:val="18"/>
                <w:szCs w:val="18"/>
                <w:color w:val="auto"/>
              </w:rPr>
              <w:t>Down 300 Basis points</w:t>
            </w:r>
            <w:r>
              <w:rPr>
                <w:rFonts w:ascii="Arial" w:cs="Arial" w:eastAsia="Arial" w:hAnsi="Arial"/>
                <w:sz w:val="30"/>
                <w:szCs w:val="30"/>
                <w:color w:val="auto"/>
                <w:vertAlign w:val="superscript"/>
              </w:rPr>
              <w:t>(2)</w:t>
            </w:r>
          </w:p>
        </w:tc>
        <w:tc>
          <w:tcPr>
            <w:tcW w:w="160" w:type="dxa"/>
            <w:vAlign w:val="bottom"/>
          </w:tcPr>
          <w:p>
            <w:pPr>
              <w:spacing w:after="0"/>
              <w:rPr>
                <w:sz w:val="24"/>
                <w:szCs w:val="24"/>
                <w:color w:val="auto"/>
              </w:rPr>
            </w:pPr>
          </w:p>
        </w:tc>
        <w:tc>
          <w:tcPr>
            <w:tcW w:w="5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86360</wp:posOffset>
            </wp:positionV>
            <wp:extent cx="6172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386" w:lineRule="exact"/>
        <w:rPr>
          <w:sz w:val="20"/>
          <w:szCs w:val="20"/>
          <w:color w:val="auto"/>
        </w:rPr>
      </w:pPr>
    </w:p>
    <w:p>
      <w:pPr>
        <w:jc w:val="both"/>
        <w:ind w:left="300" w:right="519" w:hanging="272"/>
        <w:spacing w:after="0" w:line="259" w:lineRule="auto"/>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Interest expense amounts are calculated assuming $18 million outstanding, with an 8% interest rate and a 360 day year, increased by the number of basis points indicated. For the six months ended June 30, 2015, we have excluded 30 days of interest expense, as we are obligated under the terms of the Credit Facility to maintain a $0 balance outstanding for one 30-day period each calendar year.</w:t>
      </w:r>
    </w:p>
    <w:p>
      <w:pPr>
        <w:spacing w:after="0" w:line="78" w:lineRule="exact"/>
        <w:rPr>
          <w:rFonts w:ascii="Arial" w:cs="Arial" w:eastAsia="Arial" w:hAnsi="Arial"/>
          <w:sz w:val="18"/>
          <w:szCs w:val="18"/>
          <w:color w:val="auto"/>
        </w:rPr>
      </w:pPr>
    </w:p>
    <w:p>
      <w:pPr>
        <w:jc w:val="both"/>
        <w:ind w:left="300" w:right="519" w:hanging="272"/>
        <w:spacing w:after="0" w:line="264" w:lineRule="auto"/>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Credit Facility, bears interest at a per annum rate equal to the greater of (i) the prime rate plus 4.75% and (ii) 8.0%. As such the effective minimum interest rate we will incur on borrowings under the credit facility is 8%. As the prime rate was at 3.25% as of June 30, 2015, only increases in the prime rate will affect our net income.</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left="60" w:right="519" w:firstLine="270"/>
        <w:spacing w:after="0" w:line="270" w:lineRule="auto"/>
        <w:rPr>
          <w:sz w:val="20"/>
          <w:szCs w:val="20"/>
          <w:color w:val="auto"/>
        </w:rPr>
      </w:pPr>
      <w:r>
        <w:rPr>
          <w:rFonts w:ascii="Arial" w:cs="Arial" w:eastAsia="Arial" w:hAnsi="Arial"/>
          <w:sz w:val="17"/>
          <w:szCs w:val="17"/>
          <w:color w:val="auto"/>
        </w:rPr>
        <w:t>As of June 30, 2015, we, including our Chief Executive Officer and Chief Financial Officer, evaluated the effectiveness of the design and operation of our disclosure controls and procedures (as defined in Rule 13a-15(e) and 15d-15(e) under the Securities Exchange Act of 1934, as amended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1" w:name="page62"/>
    <w:bookmarkEnd w:id="6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60" w:right="519"/>
        <w:spacing w:after="0" w:line="277" w:lineRule="auto"/>
        <w:rPr>
          <w:sz w:val="20"/>
          <w:szCs w:val="20"/>
          <w:color w:val="auto"/>
        </w:rPr>
      </w:pPr>
      <w:r>
        <w:rPr>
          <w:rFonts w:ascii="Arial" w:cs="Arial" w:eastAsia="Arial" w:hAnsi="Arial"/>
          <w:sz w:val="18"/>
          <w:szCs w:val="18"/>
          <w:color w:val="auto"/>
        </w:rPr>
        <w:t>provide only reasonable assurance of achieving the desired control objectives, and management necessarily was required to apply its judgment in evaluating the cost-benefit relationship of such possible controls and procedures.</w:t>
      </w:r>
    </w:p>
    <w:p>
      <w:pPr>
        <w:spacing w:after="0" w:line="62"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and 15d-15(f) under the Exchange Act) that occurred during the quarter ended June 30, 2015 that have materially affected, or are reasonably likely to materially affect, our internal control over financial reporting.</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We are not currently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business, financial condition or results of operations.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left="60" w:right="519" w:firstLine="270"/>
        <w:spacing w:after="0" w:line="255" w:lineRule="auto"/>
        <w:rPr>
          <w:sz w:val="20"/>
          <w:szCs w:val="20"/>
          <w:color w:val="auto"/>
        </w:rPr>
      </w:pPr>
      <w:r>
        <w:rPr>
          <w:rFonts w:ascii="Arial" w:cs="Arial" w:eastAsia="Arial" w:hAnsi="Arial"/>
          <w:sz w:val="18"/>
          <w:szCs w:val="18"/>
          <w:color w:val="auto"/>
        </w:rPr>
        <w:t>In addition to the risks discussed below and the other information set forth in this report, you should carefully consider the factors discussed in Item 1A. Risk Factors in our Annual Report on Form 10-K for the fiscal year ended December 31, 2014, which could materially affect our business, financial condition and/or operating results. The risks described in this report and in our Annual Report on Form 10-K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financial results could be negatively affected if a significant portfolio investment fails to perform as expected.</w:t>
      </w:r>
    </w:p>
    <w:p>
      <w:pPr>
        <w:spacing w:after="0" w:line="129" w:lineRule="exact"/>
        <w:rPr>
          <w:sz w:val="20"/>
          <w:szCs w:val="20"/>
          <w:color w:val="auto"/>
        </w:rPr>
      </w:pPr>
    </w:p>
    <w:p>
      <w:pPr>
        <w:jc w:val="both"/>
        <w:ind w:left="60" w:right="519" w:firstLine="270"/>
        <w:spacing w:after="0" w:line="302" w:lineRule="auto"/>
        <w:rPr>
          <w:sz w:val="20"/>
          <w:szCs w:val="20"/>
          <w:color w:val="auto"/>
        </w:rPr>
      </w:pPr>
      <w:r>
        <w:rPr>
          <w:rFonts w:ascii="Arial" w:cs="Arial" w:eastAsia="Arial" w:hAnsi="Arial"/>
          <w:sz w:val="16"/>
          <w:szCs w:val="16"/>
          <w:color w:val="auto"/>
        </w:rPr>
        <w:t>Our total investment in companies may be significant individually or in the aggregate. As a result, if a significant investment in one or more companies fails to perform as expected, our financial results could be more negatively affected and the magnitude of the loss could be more significant than if we had made smaller investments in more companies. The following table shows the fair value of the totals of investments held in portfolio companies at June 30, 2015 that represent greater than 5% of our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-3810</wp:posOffset>
            </wp:positionV>
            <wp:extent cx="47421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8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2"/>
              </w:rPr>
              <w:t>Percentage of</w:t>
            </w:r>
          </w:p>
        </w:tc>
        <w:tc>
          <w:tcPr>
            <w:tcW w:w="0" w:type="dxa"/>
            <w:vAlign w:val="bottom"/>
          </w:tcPr>
          <w:p>
            <w:pPr>
              <w:spacing w:after="0"/>
              <w:rPr>
                <w:sz w:val="1"/>
                <w:szCs w:val="1"/>
                <w:color w:val="auto"/>
              </w:rPr>
            </w:pPr>
          </w:p>
        </w:tc>
      </w:tr>
      <w:tr>
        <w:trPr>
          <w:trHeight w:val="171"/>
        </w:trPr>
        <w:tc>
          <w:tcPr>
            <w:tcW w:w="516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Palantir Technologies, Inc.</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48,783,020</w:t>
            </w:r>
          </w:p>
        </w:tc>
        <w:tc>
          <w:tcPr>
            <w:tcW w:w="10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2U, Inc. (f/k/a 2tor, Inc.)</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38,219,499</w:t>
            </w:r>
          </w:p>
        </w:tc>
        <w:tc>
          <w:tcPr>
            <w:tcW w:w="1080" w:type="dxa"/>
            <w:vAlign w:val="bottom"/>
            <w:gridSpan w:val="2"/>
          </w:tcPr>
          <w:p>
            <w:pPr>
              <w:jc w:val="right"/>
              <w:ind w:right="88"/>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Dropbox, Inc.</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30,027,479</w:t>
            </w:r>
          </w:p>
        </w:tc>
        <w:tc>
          <w:tcPr>
            <w:tcW w:w="10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Twitter, Inc.</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28,997,732</w:t>
            </w:r>
          </w:p>
        </w:tc>
        <w:tc>
          <w:tcPr>
            <w:tcW w:w="1080" w:type="dxa"/>
            <w:vAlign w:val="bottom"/>
            <w:gridSpan w:val="2"/>
          </w:tcPr>
          <w:p>
            <w:pPr>
              <w:jc w:val="right"/>
              <w:ind w:right="88"/>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60" w:right="539" w:firstLine="270"/>
        <w:spacing w:after="0" w:line="282" w:lineRule="auto"/>
        <w:rPr>
          <w:sz w:val="20"/>
          <w:szCs w:val="20"/>
          <w:color w:val="auto"/>
        </w:rPr>
      </w:pPr>
      <w:r>
        <w:rPr>
          <w:rFonts w:ascii="Arial" w:cs="Arial" w:eastAsia="Arial" w:hAnsi="Arial"/>
          <w:sz w:val="18"/>
          <w:szCs w:val="18"/>
          <w:b w:val="1"/>
          <w:bCs w:val="1"/>
          <w:color w:val="auto"/>
        </w:rPr>
        <w:t xml:space="preserve">Palantir Technologies, Inc. </w:t>
      </w:r>
      <w:r>
        <w:rPr>
          <w:rFonts w:ascii="Arial" w:cs="Arial" w:eastAsia="Arial" w:hAnsi="Arial"/>
          <w:sz w:val="18"/>
          <w:szCs w:val="18"/>
          <w:color w:val="auto"/>
        </w:rPr>
        <w:t>solves critical intelligence and security issues for government agencies, banks, and large</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institutions.</w:t>
      </w:r>
    </w:p>
    <w:p>
      <w:pPr>
        <w:spacing w:after="0" w:line="54" w:lineRule="exact"/>
        <w:rPr>
          <w:sz w:val="20"/>
          <w:szCs w:val="20"/>
          <w:color w:val="auto"/>
        </w:rPr>
      </w:pPr>
    </w:p>
    <w:p>
      <w:pPr>
        <w:ind w:left="60" w:right="519" w:firstLine="270"/>
        <w:spacing w:after="0" w:line="282" w:lineRule="auto"/>
        <w:rPr>
          <w:sz w:val="20"/>
          <w:szCs w:val="20"/>
          <w:color w:val="auto"/>
        </w:rPr>
      </w:pPr>
      <w:r>
        <w:rPr>
          <w:rFonts w:ascii="Arial" w:cs="Arial" w:eastAsia="Arial" w:hAnsi="Arial"/>
          <w:sz w:val="18"/>
          <w:szCs w:val="18"/>
          <w:b w:val="1"/>
          <w:bCs w:val="1"/>
          <w:color w:val="auto"/>
        </w:rPr>
        <w:t xml:space="preserve">2U, Inc. (f/k/a 2tor, Inc.) </w:t>
      </w:r>
      <w:r>
        <w:rPr>
          <w:rFonts w:ascii="Arial" w:cs="Arial" w:eastAsia="Arial" w:hAnsi="Arial"/>
          <w:sz w:val="18"/>
          <w:szCs w:val="18"/>
          <w:color w:val="auto"/>
        </w:rPr>
        <w:t>partners with universities, providing technology solutions to help manage students from recruitment</w:t>
      </w:r>
      <w:r>
        <w:rPr>
          <w:rFonts w:ascii="Arial" w:cs="Arial" w:eastAsia="Arial" w:hAnsi="Arial"/>
          <w:sz w:val="18"/>
          <w:szCs w:val="18"/>
          <w:b w:val="1"/>
          <w:bCs w:val="1"/>
          <w:color w:val="auto"/>
        </w:rPr>
        <w:t xml:space="preserve"> </w:t>
      </w:r>
      <w:r>
        <w:rPr>
          <w:rFonts w:ascii="Arial" w:cs="Arial" w:eastAsia="Arial" w:hAnsi="Arial"/>
          <w:sz w:val="18"/>
          <w:szCs w:val="18"/>
          <w:color w:val="auto"/>
        </w:rPr>
        <w:t>to post-graduation job placement, as well as develop and deliver curriculum in a virtual environment.</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Dropbox, Inc. </w:t>
      </w:r>
      <w:r>
        <w:rPr>
          <w:rFonts w:ascii="Arial" w:cs="Arial" w:eastAsia="Arial" w:hAnsi="Arial"/>
          <w:sz w:val="18"/>
          <w:szCs w:val="18"/>
          <w:color w:val="auto"/>
        </w:rPr>
        <w:t>is a provider of cloud storage that enables users to store and share files across the internet.</w:t>
      </w:r>
    </w:p>
    <w:p>
      <w:pPr>
        <w:spacing w:after="0" w:line="117" w:lineRule="exact"/>
        <w:rPr>
          <w:sz w:val="20"/>
          <w:szCs w:val="20"/>
          <w:color w:val="auto"/>
        </w:rPr>
      </w:pPr>
    </w:p>
    <w:p>
      <w:pPr>
        <w:ind w:left="60" w:right="519" w:firstLine="270"/>
        <w:spacing w:after="0" w:line="282" w:lineRule="auto"/>
        <w:rPr>
          <w:sz w:val="20"/>
          <w:szCs w:val="20"/>
          <w:color w:val="auto"/>
        </w:rPr>
      </w:pPr>
      <w:r>
        <w:rPr>
          <w:rFonts w:ascii="Arial" w:cs="Arial" w:eastAsia="Arial" w:hAnsi="Arial"/>
          <w:sz w:val="18"/>
          <w:szCs w:val="18"/>
          <w:b w:val="1"/>
          <w:bCs w:val="1"/>
          <w:color w:val="auto"/>
        </w:rPr>
        <w:t xml:space="preserve">Twitter, Inc. </w:t>
      </w:r>
      <w:r>
        <w:rPr>
          <w:rFonts w:ascii="Arial" w:cs="Arial" w:eastAsia="Arial" w:hAnsi="Arial"/>
          <w:sz w:val="18"/>
          <w:szCs w:val="18"/>
          <w:color w:val="auto"/>
        </w:rPr>
        <w:t>is a social networking company and a real-time information network that allows users to send and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w:t>
      </w:r>
    </w:p>
    <w:p>
      <w:pPr>
        <w:spacing w:after="0" w:line="58" w:lineRule="exact"/>
        <w:rPr>
          <w:sz w:val="20"/>
          <w:szCs w:val="20"/>
          <w:color w:val="auto"/>
        </w:rPr>
      </w:pPr>
    </w:p>
    <w:p>
      <w:pPr>
        <w:ind w:left="60" w:right="519" w:firstLine="270"/>
        <w:spacing w:after="0" w:line="277" w:lineRule="auto"/>
        <w:rPr>
          <w:sz w:val="20"/>
          <w:szCs w:val="20"/>
          <w:color w:val="auto"/>
        </w:rPr>
      </w:pPr>
      <w:r>
        <w:rPr>
          <w:rFonts w:ascii="Arial" w:cs="Arial" w:eastAsia="Arial" w:hAnsi="Arial"/>
          <w:sz w:val="18"/>
          <w:szCs w:val="18"/>
          <w:color w:val="auto"/>
        </w:rPr>
        <w:t>Our financial results could be materially adversely affected if these portfolio companies or any of our other significant portfolio companies encounter financial difficulty and fail to repay their obligations or to perform as expected.</w:t>
      </w:r>
    </w:p>
    <w:p>
      <w:pPr>
        <w:spacing w:after="0" w:line="200" w:lineRule="exact"/>
        <w:rPr>
          <w:sz w:val="20"/>
          <w:szCs w:val="20"/>
          <w:color w:val="auto"/>
        </w:rPr>
      </w:pPr>
    </w:p>
    <w:p>
      <w:pPr>
        <w:spacing w:after="0" w:line="3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exhibits are filed as part of this report or hereby incorporated by reference to exhibits previously filed with the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517969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48" w:lineRule="exact"/>
        <w:rPr>
          <w:sz w:val="20"/>
          <w:szCs w:val="20"/>
          <w:color w:val="auto"/>
        </w:rPr>
      </w:pPr>
    </w:p>
    <w:tbl>
      <w:tblPr>
        <w:tblLayout w:type="fixed"/>
        <w:tblInd w:w="240" w:type="dxa"/>
        <w:tblCellMar>
          <w:top w:w="0" w:type="dxa"/>
          <w:left w:w="0" w:type="dxa"/>
          <w:bottom w:w="0" w:type="dxa"/>
          <w:right w:w="0" w:type="dxa"/>
        </w:tblCellMar>
      </w:tblPr>
      <w:tr>
        <w:trPr>
          <w:trHeight w:val="345"/>
        </w:trPr>
        <w:tc>
          <w:tcPr>
            <w:tcW w:w="500" w:type="dxa"/>
            <w:vAlign w:val="bottom"/>
          </w:tcPr>
          <w:p>
            <w:pPr>
              <w:jc w:val="center"/>
              <w:ind w:right="110"/>
              <w:spacing w:after="0"/>
              <w:rPr>
                <w:sz w:val="20"/>
                <w:szCs w:val="20"/>
                <w:color w:val="auto"/>
              </w:rPr>
            </w:pPr>
            <w:r>
              <w:rPr>
                <w:rFonts w:ascii="Arial" w:cs="Arial" w:eastAsia="Arial" w:hAnsi="Arial"/>
                <w:sz w:val="18"/>
                <w:szCs w:val="18"/>
                <w:color w:val="auto"/>
                <w:w w:val="87"/>
              </w:rPr>
              <w:t>3.1</w:t>
            </w:r>
          </w:p>
        </w:tc>
        <w:tc>
          <w:tcPr>
            <w:tcW w:w="7460" w:type="dxa"/>
            <w:vAlign w:val="bottom"/>
          </w:tcPr>
          <w:p>
            <w:pPr>
              <w:ind w:left="180"/>
              <w:spacing w:after="0"/>
              <w:rPr>
                <w:sz w:val="20"/>
                <w:szCs w:val="20"/>
                <w:color w:val="auto"/>
              </w:rPr>
            </w:pPr>
            <w:r>
              <w:rPr>
                <w:rFonts w:ascii="Arial" w:cs="Arial" w:eastAsia="Arial" w:hAnsi="Arial"/>
                <w:sz w:val="18"/>
                <w:szCs w:val="18"/>
                <w:color w:val="auto"/>
              </w:rPr>
              <w:t>Articles of Amendment and Restatement</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257"/>
        </w:trPr>
        <w:tc>
          <w:tcPr>
            <w:tcW w:w="500" w:type="dxa"/>
            <w:vAlign w:val="bottom"/>
          </w:tcPr>
          <w:p>
            <w:pPr>
              <w:jc w:val="center"/>
              <w:ind w:right="110"/>
              <w:spacing w:after="0"/>
              <w:rPr>
                <w:sz w:val="20"/>
                <w:szCs w:val="20"/>
                <w:color w:val="auto"/>
              </w:rPr>
            </w:pPr>
            <w:r>
              <w:rPr>
                <w:rFonts w:ascii="Arial" w:cs="Arial" w:eastAsia="Arial" w:hAnsi="Arial"/>
                <w:sz w:val="18"/>
                <w:szCs w:val="18"/>
                <w:color w:val="auto"/>
                <w:w w:val="87"/>
              </w:rPr>
              <w:t>3.2</w:t>
            </w:r>
          </w:p>
        </w:tc>
        <w:tc>
          <w:tcPr>
            <w:tcW w:w="7460" w:type="dxa"/>
            <w:vAlign w:val="bottom"/>
          </w:tcPr>
          <w:p>
            <w:pPr>
              <w:ind w:left="180"/>
              <w:spacing w:after="0" w:line="256" w:lineRule="exact"/>
              <w:rPr>
                <w:sz w:val="20"/>
                <w:szCs w:val="20"/>
                <w:color w:val="auto"/>
              </w:rPr>
            </w:pPr>
            <w:r>
              <w:rPr>
                <w:rFonts w:ascii="Arial" w:cs="Arial" w:eastAsia="Arial" w:hAnsi="Arial"/>
                <w:sz w:val="18"/>
                <w:szCs w:val="18"/>
                <w:color w:val="auto"/>
              </w:rPr>
              <w:t>Articles of Amendment</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500" w:type="dxa"/>
            <w:vAlign w:val="bottom"/>
          </w:tcPr>
          <w:p>
            <w:pPr>
              <w:jc w:val="center"/>
              <w:ind w:right="110"/>
              <w:spacing w:after="0"/>
              <w:rPr>
                <w:sz w:val="20"/>
                <w:szCs w:val="20"/>
                <w:color w:val="auto"/>
              </w:rPr>
            </w:pPr>
            <w:r>
              <w:rPr>
                <w:rFonts w:ascii="Arial" w:cs="Arial" w:eastAsia="Arial" w:hAnsi="Arial"/>
                <w:sz w:val="18"/>
                <w:szCs w:val="18"/>
                <w:color w:val="auto"/>
                <w:w w:val="87"/>
              </w:rPr>
              <w:t>3.3</w:t>
            </w:r>
          </w:p>
        </w:tc>
        <w:tc>
          <w:tcPr>
            <w:tcW w:w="7460" w:type="dxa"/>
            <w:vAlign w:val="bottom"/>
          </w:tcPr>
          <w:p>
            <w:pPr>
              <w:ind w:left="180"/>
              <w:spacing w:after="0" w:line="256" w:lineRule="exact"/>
              <w:rPr>
                <w:sz w:val="20"/>
                <w:szCs w:val="20"/>
                <w:color w:val="auto"/>
              </w:rPr>
            </w:pPr>
            <w:r>
              <w:rPr>
                <w:rFonts w:ascii="Arial" w:cs="Arial" w:eastAsia="Arial" w:hAnsi="Arial"/>
                <w:sz w:val="18"/>
                <w:szCs w:val="18"/>
                <w:color w:val="auto"/>
              </w:rPr>
              <w:t>Bylaws</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500" w:type="dxa"/>
            <w:vAlign w:val="bottom"/>
          </w:tcPr>
          <w:p>
            <w:pPr>
              <w:jc w:val="center"/>
              <w:ind w:right="110"/>
              <w:spacing w:after="0"/>
              <w:rPr>
                <w:sz w:val="20"/>
                <w:szCs w:val="20"/>
                <w:color w:val="auto"/>
              </w:rPr>
            </w:pPr>
            <w:r>
              <w:rPr>
                <w:rFonts w:ascii="Arial" w:cs="Arial" w:eastAsia="Arial" w:hAnsi="Arial"/>
                <w:sz w:val="18"/>
                <w:szCs w:val="18"/>
                <w:color w:val="auto"/>
                <w:w w:val="87"/>
              </w:rPr>
              <w:t>4.1</w:t>
            </w:r>
          </w:p>
        </w:tc>
        <w:tc>
          <w:tcPr>
            <w:tcW w:w="7460" w:type="dxa"/>
            <w:vAlign w:val="bottom"/>
          </w:tcPr>
          <w:p>
            <w:pPr>
              <w:ind w:left="180"/>
              <w:spacing w:after="0" w:line="256" w:lineRule="exact"/>
              <w:rPr>
                <w:sz w:val="20"/>
                <w:szCs w:val="20"/>
                <w:color w:val="auto"/>
              </w:rPr>
            </w:pPr>
            <w:r>
              <w:rPr>
                <w:rFonts w:ascii="Arial" w:cs="Arial" w:eastAsia="Arial" w:hAnsi="Arial"/>
                <w:sz w:val="18"/>
                <w:szCs w:val="18"/>
                <w:color w:val="auto"/>
              </w:rPr>
              <w:t>Form of Common Stock Certificate</w:t>
            </w:r>
            <w:r>
              <w:rPr>
                <w:rFonts w:ascii="Arial" w:cs="Arial" w:eastAsia="Arial" w:hAnsi="Arial"/>
                <w:sz w:val="29"/>
                <w:szCs w:val="29"/>
                <w:color w:val="auto"/>
                <w:vertAlign w:val="superscript"/>
              </w:rPr>
              <w:t>(6)</w:t>
            </w:r>
          </w:p>
        </w:tc>
        <w:tc>
          <w:tcPr>
            <w:tcW w:w="0" w:type="dxa"/>
            <w:vAlign w:val="bottom"/>
          </w:tcPr>
          <w:p>
            <w:pPr>
              <w:spacing w:after="0"/>
              <w:rPr>
                <w:sz w:val="1"/>
                <w:szCs w:val="1"/>
                <w:color w:val="auto"/>
              </w:rPr>
            </w:pPr>
          </w:p>
        </w:tc>
      </w:tr>
      <w:tr>
        <w:trPr>
          <w:trHeight w:val="220"/>
        </w:trPr>
        <w:tc>
          <w:tcPr>
            <w:tcW w:w="500" w:type="dxa"/>
            <w:vAlign w:val="bottom"/>
          </w:tcPr>
          <w:p>
            <w:pPr>
              <w:jc w:val="center"/>
              <w:ind w:right="110"/>
              <w:spacing w:after="0"/>
              <w:rPr>
                <w:sz w:val="20"/>
                <w:szCs w:val="20"/>
                <w:color w:val="auto"/>
              </w:rPr>
            </w:pPr>
            <w:r>
              <w:rPr>
                <w:rFonts w:ascii="Arial" w:cs="Arial" w:eastAsia="Arial" w:hAnsi="Arial"/>
                <w:sz w:val="18"/>
                <w:szCs w:val="18"/>
                <w:color w:val="auto"/>
                <w:w w:val="87"/>
              </w:rPr>
              <w:t>4.2</w:t>
            </w:r>
          </w:p>
        </w:tc>
        <w:tc>
          <w:tcPr>
            <w:tcW w:w="7460" w:type="dxa"/>
            <w:vAlign w:val="bottom"/>
          </w:tcPr>
          <w:p>
            <w:pPr>
              <w:ind w:left="180"/>
              <w:spacing w:after="0"/>
              <w:rPr>
                <w:sz w:val="20"/>
                <w:szCs w:val="20"/>
                <w:color w:val="auto"/>
              </w:rPr>
            </w:pPr>
            <w:r>
              <w:rPr>
                <w:rFonts w:ascii="Arial" w:cs="Arial" w:eastAsia="Arial" w:hAnsi="Arial"/>
                <w:sz w:val="18"/>
                <w:szCs w:val="18"/>
                <w:color w:val="auto"/>
                <w:w w:val="92"/>
              </w:rPr>
              <w:t>Indenture, dated September 17, 2013, relating to the 5.25% Convertible Senior Notes due 2018, by</w:t>
            </w:r>
          </w:p>
        </w:tc>
        <w:tc>
          <w:tcPr>
            <w:tcW w:w="0" w:type="dxa"/>
            <w:vAlign w:val="bottom"/>
          </w:tcPr>
          <w:p>
            <w:pPr>
              <w:spacing w:after="0"/>
              <w:rPr>
                <w:sz w:val="1"/>
                <w:szCs w:val="1"/>
                <w:color w:val="auto"/>
              </w:rPr>
            </w:pPr>
          </w:p>
        </w:tc>
      </w:tr>
      <w:tr>
        <w:trPr>
          <w:trHeight w:val="257"/>
        </w:trPr>
        <w:tc>
          <w:tcPr>
            <w:tcW w:w="500" w:type="dxa"/>
            <w:vAlign w:val="bottom"/>
            <w:vMerge w:val="restart"/>
          </w:tcPr>
          <w:p>
            <w:pPr>
              <w:jc w:val="center"/>
              <w:ind w:right="90"/>
              <w:spacing w:after="0"/>
              <w:rPr>
                <w:sz w:val="20"/>
                <w:szCs w:val="20"/>
                <w:color w:val="auto"/>
              </w:rPr>
            </w:pPr>
            <w:r>
              <w:rPr>
                <w:rFonts w:ascii="Arial" w:cs="Arial" w:eastAsia="Arial" w:hAnsi="Arial"/>
                <w:sz w:val="18"/>
                <w:szCs w:val="18"/>
                <w:color w:val="auto"/>
                <w:w w:val="91"/>
              </w:rPr>
              <w:t>10.1</w:t>
            </w:r>
          </w:p>
        </w:tc>
        <w:tc>
          <w:tcPr>
            <w:tcW w:w="7460" w:type="dxa"/>
            <w:vAlign w:val="bottom"/>
          </w:tcPr>
          <w:p>
            <w:pPr>
              <w:ind w:left="180"/>
              <w:spacing w:after="0" w:line="256" w:lineRule="exact"/>
              <w:rPr>
                <w:sz w:val="20"/>
                <w:szCs w:val="20"/>
                <w:color w:val="auto"/>
              </w:rPr>
            </w:pPr>
            <w:r>
              <w:rPr>
                <w:rFonts w:ascii="Arial" w:cs="Arial" w:eastAsia="Arial" w:hAnsi="Arial"/>
                <w:sz w:val="18"/>
                <w:szCs w:val="18"/>
                <w:color w:val="auto"/>
              </w:rPr>
              <w:t>and between the Company and the U.S. Bank National Association, as trustee</w:t>
            </w:r>
            <w:r>
              <w:rPr>
                <w:rFonts w:ascii="Arial" w:cs="Arial" w:eastAsia="Arial" w:hAnsi="Arial"/>
                <w:sz w:val="29"/>
                <w:szCs w:val="29"/>
                <w:color w:val="auto"/>
                <w:vertAlign w:val="superscript"/>
              </w:rPr>
              <w:t>(4)</w:t>
            </w:r>
          </w:p>
        </w:tc>
        <w:tc>
          <w:tcPr>
            <w:tcW w:w="0" w:type="dxa"/>
            <w:vAlign w:val="bottom"/>
          </w:tcPr>
          <w:p>
            <w:pPr>
              <w:spacing w:after="0"/>
              <w:rPr>
                <w:sz w:val="1"/>
                <w:szCs w:val="1"/>
                <w:color w:val="auto"/>
              </w:rPr>
            </w:pPr>
          </w:p>
        </w:tc>
      </w:tr>
      <w:tr>
        <w:trPr>
          <w:trHeight w:val="253"/>
        </w:trPr>
        <w:tc>
          <w:tcPr>
            <w:tcW w:w="500" w:type="dxa"/>
            <w:vAlign w:val="bottom"/>
            <w:vMerge w:val="continue"/>
          </w:tcPr>
          <w:p>
            <w:pPr>
              <w:spacing w:after="0"/>
              <w:rPr>
                <w:sz w:val="21"/>
                <w:szCs w:val="21"/>
                <w:color w:val="auto"/>
              </w:rPr>
            </w:pPr>
          </w:p>
        </w:tc>
        <w:tc>
          <w:tcPr>
            <w:tcW w:w="7460" w:type="dxa"/>
            <w:vAlign w:val="bottom"/>
          </w:tcPr>
          <w:p>
            <w:pPr>
              <w:ind w:left="180"/>
              <w:spacing w:after="0" w:line="253" w:lineRule="exact"/>
              <w:rPr>
                <w:sz w:val="20"/>
                <w:szCs w:val="20"/>
                <w:color w:val="auto"/>
              </w:rPr>
            </w:pPr>
            <w:r>
              <w:rPr>
                <w:rFonts w:ascii="Arial" w:cs="Arial" w:eastAsia="Arial" w:hAnsi="Arial"/>
                <w:sz w:val="18"/>
                <w:szCs w:val="18"/>
                <w:color w:val="auto"/>
              </w:rPr>
              <w:t>Dividend Reinvestment Plan</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20"/>
        </w:trPr>
        <w:tc>
          <w:tcPr>
            <w:tcW w:w="500" w:type="dxa"/>
            <w:vAlign w:val="bottom"/>
          </w:tcPr>
          <w:p>
            <w:pPr>
              <w:jc w:val="center"/>
              <w:ind w:right="90"/>
              <w:spacing w:after="0"/>
              <w:rPr>
                <w:sz w:val="20"/>
                <w:szCs w:val="20"/>
                <w:color w:val="auto"/>
              </w:rPr>
            </w:pPr>
            <w:r>
              <w:rPr>
                <w:rFonts w:ascii="Arial" w:cs="Arial" w:eastAsia="Arial" w:hAnsi="Arial"/>
                <w:sz w:val="18"/>
                <w:szCs w:val="18"/>
                <w:color w:val="auto"/>
                <w:w w:val="91"/>
              </w:rPr>
              <w:t>10.2</w:t>
            </w:r>
          </w:p>
        </w:tc>
        <w:tc>
          <w:tcPr>
            <w:tcW w:w="7460" w:type="dxa"/>
            <w:vAlign w:val="bottom"/>
          </w:tcPr>
          <w:p>
            <w:pPr>
              <w:ind w:left="180"/>
              <w:spacing w:after="0"/>
              <w:rPr>
                <w:sz w:val="20"/>
                <w:szCs w:val="20"/>
                <w:color w:val="auto"/>
              </w:rPr>
            </w:pPr>
            <w:r>
              <w:rPr>
                <w:rFonts w:ascii="Arial" w:cs="Arial" w:eastAsia="Arial" w:hAnsi="Arial"/>
                <w:sz w:val="18"/>
                <w:szCs w:val="18"/>
                <w:color w:val="auto"/>
                <w:w w:val="94"/>
              </w:rPr>
              <w:t>Amended and Restated Investment Advisory Agreement by and between the Company and GSV</w:t>
            </w:r>
          </w:p>
        </w:tc>
        <w:tc>
          <w:tcPr>
            <w:tcW w:w="0" w:type="dxa"/>
            <w:vAlign w:val="bottom"/>
          </w:tcPr>
          <w:p>
            <w:pPr>
              <w:spacing w:after="0"/>
              <w:rPr>
                <w:sz w:val="1"/>
                <w:szCs w:val="1"/>
                <w:color w:val="auto"/>
              </w:rPr>
            </w:pPr>
          </w:p>
        </w:tc>
      </w:tr>
      <w:tr>
        <w:trPr>
          <w:trHeight w:val="253"/>
        </w:trPr>
        <w:tc>
          <w:tcPr>
            <w:tcW w:w="500" w:type="dxa"/>
            <w:vAlign w:val="bottom"/>
          </w:tcPr>
          <w:p>
            <w:pPr>
              <w:spacing w:after="0"/>
              <w:rPr>
                <w:sz w:val="21"/>
                <w:szCs w:val="21"/>
                <w:color w:val="auto"/>
              </w:rPr>
            </w:pPr>
          </w:p>
        </w:tc>
        <w:tc>
          <w:tcPr>
            <w:tcW w:w="7460" w:type="dxa"/>
            <w:vAlign w:val="bottom"/>
          </w:tcPr>
          <w:p>
            <w:pPr>
              <w:ind w:left="180"/>
              <w:spacing w:after="0" w:line="253" w:lineRule="exact"/>
              <w:rPr>
                <w:sz w:val="20"/>
                <w:szCs w:val="20"/>
                <w:color w:val="auto"/>
              </w:rPr>
            </w:pPr>
            <w:r>
              <w:rPr>
                <w:rFonts w:ascii="Arial" w:cs="Arial" w:eastAsia="Arial" w:hAnsi="Arial"/>
                <w:sz w:val="18"/>
                <w:szCs w:val="18"/>
                <w:color w:val="auto"/>
              </w:rPr>
              <w:t>Asset Management, LLC</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220"/>
        </w:trPr>
        <w:tc>
          <w:tcPr>
            <w:tcW w:w="500" w:type="dxa"/>
            <w:vAlign w:val="bottom"/>
          </w:tcPr>
          <w:p>
            <w:pPr>
              <w:jc w:val="center"/>
              <w:ind w:right="90"/>
              <w:spacing w:after="0"/>
              <w:rPr>
                <w:sz w:val="20"/>
                <w:szCs w:val="20"/>
                <w:color w:val="auto"/>
              </w:rPr>
            </w:pPr>
            <w:r>
              <w:rPr>
                <w:rFonts w:ascii="Arial" w:cs="Arial" w:eastAsia="Arial" w:hAnsi="Arial"/>
                <w:sz w:val="18"/>
                <w:szCs w:val="18"/>
                <w:color w:val="auto"/>
                <w:w w:val="91"/>
              </w:rPr>
              <w:t>10.3</w:t>
            </w:r>
          </w:p>
        </w:tc>
        <w:tc>
          <w:tcPr>
            <w:tcW w:w="7460" w:type="dxa"/>
            <w:vAlign w:val="bottom"/>
          </w:tcPr>
          <w:p>
            <w:pPr>
              <w:ind w:left="180"/>
              <w:spacing w:after="0"/>
              <w:rPr>
                <w:sz w:val="20"/>
                <w:szCs w:val="20"/>
                <w:color w:val="auto"/>
              </w:rPr>
            </w:pPr>
            <w:r>
              <w:rPr>
                <w:rFonts w:ascii="Arial" w:cs="Arial" w:eastAsia="Arial" w:hAnsi="Arial"/>
                <w:sz w:val="18"/>
                <w:szCs w:val="18"/>
                <w:color w:val="auto"/>
                <w:w w:val="92"/>
              </w:rPr>
              <w:t>Amended and Restated Administration Agreement by and between the Company and GSV Capital</w:t>
            </w:r>
          </w:p>
        </w:tc>
        <w:tc>
          <w:tcPr>
            <w:tcW w:w="0" w:type="dxa"/>
            <w:vAlign w:val="bottom"/>
          </w:tcPr>
          <w:p>
            <w:pPr>
              <w:spacing w:after="0"/>
              <w:rPr>
                <w:sz w:val="1"/>
                <w:szCs w:val="1"/>
                <w:color w:val="auto"/>
              </w:rPr>
            </w:pPr>
          </w:p>
        </w:tc>
      </w:tr>
      <w:tr>
        <w:trPr>
          <w:trHeight w:val="257"/>
        </w:trPr>
        <w:tc>
          <w:tcPr>
            <w:tcW w:w="500" w:type="dxa"/>
            <w:vAlign w:val="bottom"/>
            <w:vMerge w:val="restart"/>
          </w:tcPr>
          <w:p>
            <w:pPr>
              <w:jc w:val="center"/>
              <w:ind w:right="90"/>
              <w:spacing w:after="0"/>
              <w:rPr>
                <w:sz w:val="20"/>
                <w:szCs w:val="20"/>
                <w:color w:val="auto"/>
              </w:rPr>
            </w:pPr>
            <w:r>
              <w:rPr>
                <w:rFonts w:ascii="Arial" w:cs="Arial" w:eastAsia="Arial" w:hAnsi="Arial"/>
                <w:sz w:val="18"/>
                <w:szCs w:val="18"/>
                <w:color w:val="auto"/>
                <w:w w:val="91"/>
              </w:rPr>
              <w:t>10.4</w:t>
            </w:r>
          </w:p>
        </w:tc>
        <w:tc>
          <w:tcPr>
            <w:tcW w:w="7460" w:type="dxa"/>
            <w:vAlign w:val="bottom"/>
          </w:tcPr>
          <w:p>
            <w:pPr>
              <w:ind w:left="180"/>
              <w:spacing w:after="0" w:line="256" w:lineRule="exact"/>
              <w:rPr>
                <w:sz w:val="20"/>
                <w:szCs w:val="20"/>
                <w:color w:val="auto"/>
              </w:rPr>
            </w:pPr>
            <w:r>
              <w:rPr>
                <w:rFonts w:ascii="Arial" w:cs="Arial" w:eastAsia="Arial" w:hAnsi="Arial"/>
                <w:sz w:val="18"/>
                <w:szCs w:val="18"/>
                <w:color w:val="auto"/>
              </w:rPr>
              <w:t>Service Company, LLC</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253"/>
        </w:trPr>
        <w:tc>
          <w:tcPr>
            <w:tcW w:w="500" w:type="dxa"/>
            <w:vAlign w:val="bottom"/>
            <w:vMerge w:val="continue"/>
          </w:tcPr>
          <w:p>
            <w:pPr>
              <w:spacing w:after="0"/>
              <w:rPr>
                <w:sz w:val="21"/>
                <w:szCs w:val="21"/>
                <w:color w:val="auto"/>
              </w:rPr>
            </w:pPr>
          </w:p>
        </w:tc>
        <w:tc>
          <w:tcPr>
            <w:tcW w:w="7460" w:type="dxa"/>
            <w:vAlign w:val="bottom"/>
          </w:tcPr>
          <w:p>
            <w:pPr>
              <w:ind w:left="180"/>
              <w:spacing w:after="0" w:line="253" w:lineRule="exact"/>
              <w:rPr>
                <w:sz w:val="20"/>
                <w:szCs w:val="20"/>
                <w:color w:val="auto"/>
              </w:rPr>
            </w:pPr>
            <w:r>
              <w:rPr>
                <w:rFonts w:ascii="Arial" w:cs="Arial" w:eastAsia="Arial" w:hAnsi="Arial"/>
                <w:sz w:val="18"/>
                <w:szCs w:val="18"/>
                <w:color w:val="auto"/>
                <w:w w:val="97"/>
              </w:rPr>
              <w:t>Form of Indemnification Agreement by and between the Company and each of its directors</w:t>
            </w:r>
            <w:r>
              <w:rPr>
                <w:rFonts w:ascii="Arial" w:cs="Arial" w:eastAsia="Arial" w:hAnsi="Arial"/>
                <w:sz w:val="29"/>
                <w:szCs w:val="29"/>
                <w:color w:val="auto"/>
                <w:w w:val="97"/>
                <w:vertAlign w:val="superscript"/>
              </w:rPr>
              <w:t>(1)</w:t>
            </w:r>
          </w:p>
        </w:tc>
        <w:tc>
          <w:tcPr>
            <w:tcW w:w="0" w:type="dxa"/>
            <w:vAlign w:val="bottom"/>
          </w:tcPr>
          <w:p>
            <w:pPr>
              <w:spacing w:after="0"/>
              <w:rPr>
                <w:sz w:val="1"/>
                <w:szCs w:val="1"/>
                <w:color w:val="auto"/>
              </w:rPr>
            </w:pPr>
          </w:p>
        </w:tc>
      </w:tr>
      <w:tr>
        <w:trPr>
          <w:trHeight w:val="257"/>
        </w:trPr>
        <w:tc>
          <w:tcPr>
            <w:tcW w:w="500" w:type="dxa"/>
            <w:vAlign w:val="bottom"/>
          </w:tcPr>
          <w:p>
            <w:pPr>
              <w:jc w:val="center"/>
              <w:ind w:right="90"/>
              <w:spacing w:after="0"/>
              <w:rPr>
                <w:sz w:val="20"/>
                <w:szCs w:val="20"/>
                <w:color w:val="auto"/>
              </w:rPr>
            </w:pPr>
            <w:r>
              <w:rPr>
                <w:rFonts w:ascii="Arial" w:cs="Arial" w:eastAsia="Arial" w:hAnsi="Arial"/>
                <w:sz w:val="18"/>
                <w:szCs w:val="18"/>
                <w:color w:val="auto"/>
                <w:w w:val="91"/>
              </w:rPr>
              <w:t>10.5</w:t>
            </w:r>
          </w:p>
        </w:tc>
        <w:tc>
          <w:tcPr>
            <w:tcW w:w="7460" w:type="dxa"/>
            <w:vAlign w:val="bottom"/>
          </w:tcPr>
          <w:p>
            <w:pPr>
              <w:ind w:left="180"/>
              <w:spacing w:after="0" w:line="256" w:lineRule="exact"/>
              <w:rPr>
                <w:sz w:val="20"/>
                <w:szCs w:val="20"/>
                <w:color w:val="auto"/>
              </w:rPr>
            </w:pPr>
            <w:r>
              <w:rPr>
                <w:rFonts w:ascii="Arial" w:cs="Arial" w:eastAsia="Arial" w:hAnsi="Arial"/>
                <w:sz w:val="18"/>
                <w:szCs w:val="18"/>
                <w:color w:val="auto"/>
              </w:rPr>
              <w:t>Custody Agreement by and between the Company and U.S. Bank National Association</w:t>
            </w:r>
            <w:r>
              <w:rPr>
                <w:rFonts w:ascii="Arial" w:cs="Arial" w:eastAsia="Arial" w:hAnsi="Arial"/>
                <w:sz w:val="29"/>
                <w:szCs w:val="29"/>
                <w:color w:val="auto"/>
                <w:vertAlign w:val="superscript"/>
              </w:rPr>
              <w:t>(7)</w:t>
            </w:r>
          </w:p>
        </w:tc>
        <w:tc>
          <w:tcPr>
            <w:tcW w:w="0" w:type="dxa"/>
            <w:vAlign w:val="bottom"/>
          </w:tcPr>
          <w:p>
            <w:pPr>
              <w:spacing w:after="0"/>
              <w:rPr>
                <w:sz w:val="1"/>
                <w:szCs w:val="1"/>
                <w:color w:val="auto"/>
              </w:rPr>
            </w:pPr>
          </w:p>
        </w:tc>
      </w:tr>
      <w:tr>
        <w:trPr>
          <w:trHeight w:val="220"/>
        </w:trPr>
        <w:tc>
          <w:tcPr>
            <w:tcW w:w="500" w:type="dxa"/>
            <w:vAlign w:val="bottom"/>
          </w:tcPr>
          <w:p>
            <w:pPr>
              <w:jc w:val="center"/>
              <w:ind w:right="90"/>
              <w:spacing w:after="0"/>
              <w:rPr>
                <w:sz w:val="20"/>
                <w:szCs w:val="20"/>
                <w:color w:val="auto"/>
              </w:rPr>
            </w:pPr>
            <w:r>
              <w:rPr>
                <w:rFonts w:ascii="Arial" w:cs="Arial" w:eastAsia="Arial" w:hAnsi="Arial"/>
                <w:sz w:val="18"/>
                <w:szCs w:val="18"/>
                <w:color w:val="auto"/>
                <w:w w:val="91"/>
              </w:rPr>
              <w:t>10.6</w:t>
            </w:r>
          </w:p>
        </w:tc>
        <w:tc>
          <w:tcPr>
            <w:tcW w:w="7460" w:type="dxa"/>
            <w:vAlign w:val="bottom"/>
          </w:tcPr>
          <w:p>
            <w:pPr>
              <w:ind w:left="180"/>
              <w:spacing w:after="0"/>
              <w:rPr>
                <w:sz w:val="20"/>
                <w:szCs w:val="20"/>
                <w:color w:val="auto"/>
              </w:rPr>
            </w:pPr>
            <w:r>
              <w:rPr>
                <w:rFonts w:ascii="Arial" w:cs="Arial" w:eastAsia="Arial" w:hAnsi="Arial"/>
                <w:sz w:val="18"/>
                <w:szCs w:val="18"/>
                <w:color w:val="auto"/>
                <w:w w:val="90"/>
              </w:rPr>
              <w:t>Form of Trademark License Agreement by and between the Company and GSV Asset Management,</w:t>
            </w:r>
          </w:p>
        </w:tc>
        <w:tc>
          <w:tcPr>
            <w:tcW w:w="0" w:type="dxa"/>
            <w:vAlign w:val="bottom"/>
          </w:tcPr>
          <w:p>
            <w:pPr>
              <w:spacing w:after="0"/>
              <w:rPr>
                <w:sz w:val="1"/>
                <w:szCs w:val="1"/>
                <w:color w:val="auto"/>
              </w:rPr>
            </w:pPr>
          </w:p>
        </w:tc>
      </w:tr>
      <w:tr>
        <w:trPr>
          <w:trHeight w:val="253"/>
        </w:trPr>
        <w:tc>
          <w:tcPr>
            <w:tcW w:w="500" w:type="dxa"/>
            <w:vAlign w:val="bottom"/>
          </w:tcPr>
          <w:p>
            <w:pPr>
              <w:spacing w:after="0"/>
              <w:rPr>
                <w:sz w:val="21"/>
                <w:szCs w:val="21"/>
                <w:color w:val="auto"/>
              </w:rPr>
            </w:pPr>
          </w:p>
        </w:tc>
        <w:tc>
          <w:tcPr>
            <w:tcW w:w="7460" w:type="dxa"/>
            <w:vAlign w:val="bottom"/>
          </w:tcPr>
          <w:p>
            <w:pPr>
              <w:ind w:left="180"/>
              <w:spacing w:after="0" w:line="253" w:lineRule="exact"/>
              <w:rPr>
                <w:sz w:val="20"/>
                <w:szCs w:val="20"/>
                <w:color w:val="auto"/>
              </w:rPr>
            </w:pPr>
            <w:r>
              <w:rPr>
                <w:rFonts w:ascii="Arial" w:cs="Arial" w:eastAsia="Arial" w:hAnsi="Arial"/>
                <w:sz w:val="29"/>
                <w:szCs w:val="29"/>
                <w:color w:val="auto"/>
                <w:vertAlign w:val="subscript"/>
              </w:rPr>
              <w:t>LLC</w:t>
            </w: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20"/>
        </w:trPr>
        <w:tc>
          <w:tcPr>
            <w:tcW w:w="500" w:type="dxa"/>
            <w:vAlign w:val="bottom"/>
          </w:tcPr>
          <w:p>
            <w:pPr>
              <w:jc w:val="center"/>
              <w:ind w:right="90"/>
              <w:spacing w:after="0"/>
              <w:rPr>
                <w:sz w:val="20"/>
                <w:szCs w:val="20"/>
                <w:color w:val="auto"/>
              </w:rPr>
            </w:pPr>
            <w:r>
              <w:rPr>
                <w:rFonts w:ascii="Arial" w:cs="Arial" w:eastAsia="Arial" w:hAnsi="Arial"/>
                <w:sz w:val="18"/>
                <w:szCs w:val="18"/>
                <w:color w:val="auto"/>
                <w:w w:val="91"/>
              </w:rPr>
              <w:t>10.7</w:t>
            </w:r>
          </w:p>
        </w:tc>
        <w:tc>
          <w:tcPr>
            <w:tcW w:w="7460" w:type="dxa"/>
            <w:vAlign w:val="bottom"/>
          </w:tcPr>
          <w:p>
            <w:pPr>
              <w:ind w:left="180"/>
              <w:spacing w:after="0"/>
              <w:rPr>
                <w:sz w:val="20"/>
                <w:szCs w:val="20"/>
                <w:color w:val="auto"/>
              </w:rPr>
            </w:pPr>
            <w:r>
              <w:rPr>
                <w:rFonts w:ascii="Arial" w:cs="Arial" w:eastAsia="Arial" w:hAnsi="Arial"/>
                <w:sz w:val="18"/>
                <w:szCs w:val="18"/>
                <w:color w:val="auto"/>
                <w:w w:val="90"/>
              </w:rPr>
              <w:t>Loan and Security Agreement between the Company and Silicon Valley Bank, dated as of December</w:t>
            </w:r>
          </w:p>
        </w:tc>
        <w:tc>
          <w:tcPr>
            <w:tcW w:w="0" w:type="dxa"/>
            <w:vAlign w:val="bottom"/>
          </w:tcPr>
          <w:p>
            <w:pPr>
              <w:spacing w:after="0"/>
              <w:rPr>
                <w:sz w:val="1"/>
                <w:szCs w:val="1"/>
                <w:color w:val="auto"/>
              </w:rPr>
            </w:pPr>
          </w:p>
        </w:tc>
      </w:tr>
      <w:tr>
        <w:trPr>
          <w:trHeight w:val="253"/>
        </w:trPr>
        <w:tc>
          <w:tcPr>
            <w:tcW w:w="500" w:type="dxa"/>
            <w:vAlign w:val="bottom"/>
          </w:tcPr>
          <w:p>
            <w:pPr>
              <w:spacing w:after="0"/>
              <w:rPr>
                <w:sz w:val="21"/>
                <w:szCs w:val="21"/>
                <w:color w:val="auto"/>
              </w:rPr>
            </w:pPr>
          </w:p>
        </w:tc>
        <w:tc>
          <w:tcPr>
            <w:tcW w:w="7460" w:type="dxa"/>
            <w:vAlign w:val="bottom"/>
          </w:tcPr>
          <w:p>
            <w:pPr>
              <w:ind w:left="180"/>
              <w:spacing w:after="0" w:line="253" w:lineRule="exact"/>
              <w:rPr>
                <w:sz w:val="20"/>
                <w:szCs w:val="20"/>
                <w:color w:val="auto"/>
              </w:rPr>
            </w:pPr>
            <w:r>
              <w:rPr>
                <w:rFonts w:ascii="Arial" w:cs="Arial" w:eastAsia="Arial" w:hAnsi="Arial"/>
                <w:sz w:val="18"/>
                <w:szCs w:val="18"/>
                <w:color w:val="auto"/>
              </w:rPr>
              <w:t>31, 2013</w:t>
            </w:r>
            <w:r>
              <w:rPr>
                <w:rFonts w:ascii="Arial" w:cs="Arial" w:eastAsia="Arial" w:hAnsi="Arial"/>
                <w:sz w:val="29"/>
                <w:szCs w:val="29"/>
                <w:color w:val="auto"/>
                <w:vertAlign w:val="superscript"/>
              </w:rPr>
              <w:t>(5)</w:t>
            </w:r>
          </w:p>
        </w:tc>
        <w:tc>
          <w:tcPr>
            <w:tcW w:w="0" w:type="dxa"/>
            <w:vAlign w:val="bottom"/>
          </w:tcPr>
          <w:p>
            <w:pPr>
              <w:spacing w:after="0"/>
              <w:rPr>
                <w:sz w:val="1"/>
                <w:szCs w:val="1"/>
                <w:color w:val="auto"/>
              </w:rPr>
            </w:pPr>
          </w:p>
        </w:tc>
      </w:tr>
      <w:tr>
        <w:trPr>
          <w:trHeight w:val="216"/>
        </w:trPr>
        <w:tc>
          <w:tcPr>
            <w:tcW w:w="500" w:type="dxa"/>
            <w:vAlign w:val="bottom"/>
          </w:tcPr>
          <w:p>
            <w:pPr>
              <w:jc w:val="center"/>
              <w:ind w:right="110"/>
              <w:spacing w:after="0"/>
              <w:rPr>
                <w:sz w:val="20"/>
                <w:szCs w:val="20"/>
                <w:color w:val="auto"/>
              </w:rPr>
            </w:pPr>
            <w:r>
              <w:rPr>
                <w:rFonts w:ascii="Arial" w:cs="Arial" w:eastAsia="Arial" w:hAnsi="Arial"/>
                <w:sz w:val="18"/>
                <w:szCs w:val="18"/>
                <w:color w:val="auto"/>
                <w:w w:val="85"/>
              </w:rPr>
              <w:t>11.1</w:t>
            </w:r>
          </w:p>
        </w:tc>
        <w:tc>
          <w:tcPr>
            <w:tcW w:w="7460" w:type="dxa"/>
            <w:vAlign w:val="bottom"/>
          </w:tcPr>
          <w:p>
            <w:pPr>
              <w:ind w:left="180"/>
              <w:spacing w:after="0"/>
              <w:rPr>
                <w:sz w:val="20"/>
                <w:szCs w:val="20"/>
                <w:color w:val="auto"/>
              </w:rPr>
            </w:pPr>
            <w:r>
              <w:rPr>
                <w:rFonts w:ascii="Arial" w:cs="Arial" w:eastAsia="Arial" w:hAnsi="Arial"/>
                <w:sz w:val="18"/>
                <w:szCs w:val="18"/>
                <w:color w:val="auto"/>
                <w:w w:val="92"/>
              </w:rPr>
              <w:t>Computation of Per Share Earnings (Included in “Note 5 — Net Increase (Decrease) in Net Assets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460" w:type="dxa"/>
            <w:vAlign w:val="bottom"/>
          </w:tcPr>
          <w:p>
            <w:pPr>
              <w:ind w:left="180"/>
              <w:spacing w:after="0"/>
              <w:rPr>
                <w:sz w:val="20"/>
                <w:szCs w:val="20"/>
                <w:color w:val="auto"/>
              </w:rPr>
            </w:pPr>
            <w:r>
              <w:rPr>
                <w:rFonts w:ascii="Arial" w:cs="Arial" w:eastAsia="Arial" w:hAnsi="Arial"/>
                <w:sz w:val="18"/>
                <w:szCs w:val="18"/>
                <w:color w:val="auto"/>
                <w:w w:val="94"/>
              </w:rPr>
              <w:t>Per Common Share — Basic and Diluted” to our Condensed Consolidated Financial Statements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460" w:type="dxa"/>
            <w:vAlign w:val="bottom"/>
          </w:tcPr>
          <w:p>
            <w:pPr>
              <w:ind w:left="180"/>
              <w:spacing w:after="0"/>
              <w:rPr>
                <w:sz w:val="20"/>
                <w:szCs w:val="20"/>
                <w:color w:val="auto"/>
              </w:rPr>
            </w:pPr>
            <w:r>
              <w:rPr>
                <w:rFonts w:ascii="Arial" w:cs="Arial" w:eastAsia="Arial" w:hAnsi="Arial"/>
                <w:sz w:val="18"/>
                <w:szCs w:val="18"/>
                <w:color w:val="auto"/>
              </w:rPr>
              <w:t>contained in this report)</w:t>
            </w:r>
          </w:p>
        </w:tc>
        <w:tc>
          <w:tcPr>
            <w:tcW w:w="0" w:type="dxa"/>
            <w:vAlign w:val="bottom"/>
          </w:tcPr>
          <w:p>
            <w:pPr>
              <w:spacing w:after="0"/>
              <w:rPr>
                <w:sz w:val="1"/>
                <w:szCs w:val="1"/>
                <w:color w:val="auto"/>
              </w:rPr>
            </w:pPr>
          </w:p>
        </w:tc>
      </w:tr>
      <w:tr>
        <w:trPr>
          <w:trHeight w:val="216"/>
        </w:trPr>
        <w:tc>
          <w:tcPr>
            <w:tcW w:w="500" w:type="dxa"/>
            <w:vAlign w:val="bottom"/>
          </w:tcPr>
          <w:p>
            <w:pPr>
              <w:jc w:val="center"/>
              <w:ind w:right="90"/>
              <w:spacing w:after="0"/>
              <w:rPr>
                <w:sz w:val="20"/>
                <w:szCs w:val="20"/>
                <w:color w:val="auto"/>
              </w:rPr>
            </w:pPr>
            <w:r>
              <w:rPr>
                <w:rFonts w:ascii="Arial" w:cs="Arial" w:eastAsia="Arial" w:hAnsi="Arial"/>
                <w:sz w:val="18"/>
                <w:szCs w:val="18"/>
                <w:color w:val="auto"/>
                <w:w w:val="91"/>
              </w:rPr>
              <w:t>31.1</w:t>
            </w:r>
          </w:p>
        </w:tc>
        <w:tc>
          <w:tcPr>
            <w:tcW w:w="7460" w:type="dxa"/>
            <w:vAlign w:val="bottom"/>
          </w:tcPr>
          <w:p>
            <w:pPr>
              <w:ind w:left="180"/>
              <w:spacing w:after="0"/>
              <w:rPr>
                <w:sz w:val="20"/>
                <w:szCs w:val="20"/>
                <w:color w:val="auto"/>
              </w:rPr>
            </w:pPr>
            <w:r>
              <w:rPr>
                <w:rFonts w:ascii="Arial" w:cs="Arial" w:eastAsia="Arial" w:hAnsi="Arial"/>
                <w:sz w:val="18"/>
                <w:szCs w:val="18"/>
                <w:color w:val="auto"/>
                <w:w w:val="94"/>
              </w:rPr>
              <w:t>Certification of Chief Executive Officer pursuant to Rule 13a-14 of the Securities Exchange Act of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460" w:type="dxa"/>
            <w:vAlign w:val="bottom"/>
          </w:tcPr>
          <w:p>
            <w:pPr>
              <w:ind w:left="180"/>
              <w:spacing w:after="0"/>
              <w:rPr>
                <w:sz w:val="20"/>
                <w:szCs w:val="20"/>
                <w:color w:val="auto"/>
              </w:rPr>
            </w:pPr>
            <w:r>
              <w:rPr>
                <w:rFonts w:ascii="Arial" w:cs="Arial" w:eastAsia="Arial" w:hAnsi="Arial"/>
                <w:sz w:val="18"/>
                <w:szCs w:val="18"/>
                <w:color w:val="auto"/>
              </w:rPr>
              <w:t>1934, as amended*</w:t>
            </w:r>
          </w:p>
        </w:tc>
        <w:tc>
          <w:tcPr>
            <w:tcW w:w="0" w:type="dxa"/>
            <w:vAlign w:val="bottom"/>
          </w:tcPr>
          <w:p>
            <w:pPr>
              <w:spacing w:after="0"/>
              <w:rPr>
                <w:sz w:val="1"/>
                <w:szCs w:val="1"/>
                <w:color w:val="auto"/>
              </w:rPr>
            </w:pPr>
          </w:p>
        </w:tc>
      </w:tr>
      <w:tr>
        <w:trPr>
          <w:trHeight w:val="216"/>
        </w:trPr>
        <w:tc>
          <w:tcPr>
            <w:tcW w:w="500" w:type="dxa"/>
            <w:vAlign w:val="bottom"/>
          </w:tcPr>
          <w:p>
            <w:pPr>
              <w:jc w:val="center"/>
              <w:ind w:right="90"/>
              <w:spacing w:after="0"/>
              <w:rPr>
                <w:sz w:val="20"/>
                <w:szCs w:val="20"/>
                <w:color w:val="auto"/>
              </w:rPr>
            </w:pPr>
            <w:r>
              <w:rPr>
                <w:rFonts w:ascii="Arial" w:cs="Arial" w:eastAsia="Arial" w:hAnsi="Arial"/>
                <w:sz w:val="18"/>
                <w:szCs w:val="18"/>
                <w:color w:val="auto"/>
                <w:w w:val="91"/>
              </w:rPr>
              <w:t>31.2</w:t>
            </w:r>
          </w:p>
        </w:tc>
        <w:tc>
          <w:tcPr>
            <w:tcW w:w="7460" w:type="dxa"/>
            <w:vAlign w:val="bottom"/>
          </w:tcPr>
          <w:p>
            <w:pPr>
              <w:ind w:left="180"/>
              <w:spacing w:after="0"/>
              <w:rPr>
                <w:sz w:val="20"/>
                <w:szCs w:val="20"/>
                <w:color w:val="auto"/>
              </w:rPr>
            </w:pPr>
            <w:r>
              <w:rPr>
                <w:rFonts w:ascii="Arial" w:cs="Arial" w:eastAsia="Arial" w:hAnsi="Arial"/>
                <w:sz w:val="18"/>
                <w:szCs w:val="18"/>
                <w:color w:val="auto"/>
                <w:w w:val="94"/>
              </w:rPr>
              <w:t>Certification of Chief Financial Officer pursuant to Rule 13a-14 of the Securities Exchange Act of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460" w:type="dxa"/>
            <w:vAlign w:val="bottom"/>
          </w:tcPr>
          <w:p>
            <w:pPr>
              <w:ind w:left="180"/>
              <w:spacing w:after="0"/>
              <w:rPr>
                <w:sz w:val="20"/>
                <w:szCs w:val="20"/>
                <w:color w:val="auto"/>
              </w:rPr>
            </w:pPr>
            <w:r>
              <w:rPr>
                <w:rFonts w:ascii="Arial" w:cs="Arial" w:eastAsia="Arial" w:hAnsi="Arial"/>
                <w:sz w:val="18"/>
                <w:szCs w:val="18"/>
                <w:color w:val="auto"/>
              </w:rPr>
              <w:t>1934, as amended*</w:t>
            </w:r>
          </w:p>
        </w:tc>
        <w:tc>
          <w:tcPr>
            <w:tcW w:w="0" w:type="dxa"/>
            <w:vAlign w:val="bottom"/>
          </w:tcPr>
          <w:p>
            <w:pPr>
              <w:spacing w:after="0"/>
              <w:rPr>
                <w:sz w:val="1"/>
                <w:szCs w:val="1"/>
                <w:color w:val="auto"/>
              </w:rPr>
            </w:pPr>
          </w:p>
        </w:tc>
      </w:tr>
      <w:tr>
        <w:trPr>
          <w:trHeight w:val="216"/>
        </w:trPr>
        <w:tc>
          <w:tcPr>
            <w:tcW w:w="500" w:type="dxa"/>
            <w:vAlign w:val="bottom"/>
          </w:tcPr>
          <w:p>
            <w:pPr>
              <w:jc w:val="center"/>
              <w:ind w:right="90"/>
              <w:spacing w:after="0"/>
              <w:rPr>
                <w:sz w:val="20"/>
                <w:szCs w:val="20"/>
                <w:color w:val="auto"/>
              </w:rPr>
            </w:pPr>
            <w:r>
              <w:rPr>
                <w:rFonts w:ascii="Arial" w:cs="Arial" w:eastAsia="Arial" w:hAnsi="Arial"/>
                <w:sz w:val="18"/>
                <w:szCs w:val="18"/>
                <w:color w:val="auto"/>
                <w:w w:val="91"/>
              </w:rPr>
              <w:t>32.1</w:t>
            </w:r>
          </w:p>
        </w:tc>
        <w:tc>
          <w:tcPr>
            <w:tcW w:w="7460" w:type="dxa"/>
            <w:vAlign w:val="bottom"/>
          </w:tcPr>
          <w:p>
            <w:pPr>
              <w:ind w:left="180"/>
              <w:spacing w:after="0"/>
              <w:rPr>
                <w:sz w:val="20"/>
                <w:szCs w:val="20"/>
                <w:color w:val="auto"/>
              </w:rPr>
            </w:pPr>
            <w:r>
              <w:rPr>
                <w:rFonts w:ascii="Arial" w:cs="Arial" w:eastAsia="Arial" w:hAnsi="Arial"/>
                <w:sz w:val="18"/>
                <w:szCs w:val="18"/>
                <w:color w:val="auto"/>
                <w:w w:val="98"/>
              </w:rPr>
              <w:t>Certification of Chief Executive Officer pursuant to Section 906 of The Sarbanes-Oxley Act of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460" w:type="dxa"/>
            <w:vAlign w:val="bottom"/>
          </w:tcPr>
          <w:p>
            <w:pPr>
              <w:ind w:left="18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30"/>
        </w:trPr>
        <w:tc>
          <w:tcPr>
            <w:tcW w:w="500" w:type="dxa"/>
            <w:vAlign w:val="bottom"/>
          </w:tcPr>
          <w:p>
            <w:pPr>
              <w:jc w:val="center"/>
              <w:ind w:right="90"/>
              <w:spacing w:after="0"/>
              <w:rPr>
                <w:sz w:val="20"/>
                <w:szCs w:val="20"/>
                <w:color w:val="auto"/>
              </w:rPr>
            </w:pPr>
            <w:r>
              <w:rPr>
                <w:rFonts w:ascii="Arial" w:cs="Arial" w:eastAsia="Arial" w:hAnsi="Arial"/>
                <w:sz w:val="18"/>
                <w:szCs w:val="18"/>
                <w:color w:val="auto"/>
                <w:w w:val="91"/>
              </w:rPr>
              <w:t>32.2</w:t>
            </w:r>
          </w:p>
        </w:tc>
        <w:tc>
          <w:tcPr>
            <w:tcW w:w="7460" w:type="dxa"/>
            <w:vAlign w:val="bottom"/>
          </w:tcPr>
          <w:p>
            <w:pPr>
              <w:ind w:left="18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172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280" w:right="519" w:hanging="272"/>
        <w:spacing w:after="0" w:line="277" w:lineRule="auto"/>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 and incorporated by reference herein.</w:t>
      </w:r>
    </w:p>
    <w:p>
      <w:pPr>
        <w:spacing w:after="0" w:line="62" w:lineRule="exact"/>
        <w:rPr>
          <w:rFonts w:ascii="Arial" w:cs="Arial" w:eastAsia="Arial" w:hAnsi="Arial"/>
          <w:sz w:val="18"/>
          <w:szCs w:val="18"/>
          <w:color w:val="auto"/>
        </w:rPr>
      </w:pPr>
    </w:p>
    <w:p>
      <w:pPr>
        <w:ind w:left="280" w:right="539" w:hanging="272"/>
        <w:spacing w:after="0" w:line="277" w:lineRule="auto"/>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Previously filed in connection with Current Report on Form 8-K (File No. 814-00852) filed on June 1, 2011, and incorporated by reference herein.</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280" w:right="539" w:hanging="272"/>
        <w:spacing w:after="0" w:line="277" w:lineRule="auto"/>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Previously filed in connection with Annual Report on Form 10-K (File No. 814-00852) filed on March 14, 2013, and incorporated by reference herein.</w:t>
      </w:r>
    </w:p>
    <w:p>
      <w:pPr>
        <w:spacing w:after="0" w:line="62" w:lineRule="exact"/>
        <w:rPr>
          <w:rFonts w:ascii="Arial" w:cs="Arial" w:eastAsia="Arial" w:hAnsi="Arial"/>
          <w:sz w:val="18"/>
          <w:szCs w:val="18"/>
          <w:color w:val="auto"/>
        </w:rPr>
      </w:pPr>
    </w:p>
    <w:p>
      <w:pPr>
        <w:ind w:left="280" w:right="539" w:hanging="272"/>
        <w:spacing w:after="0" w:line="277" w:lineRule="auto"/>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September 18, 2013, and incorporated by reference herein.</w:t>
      </w:r>
    </w:p>
    <w:p>
      <w:pPr>
        <w:spacing w:after="0" w:line="62" w:lineRule="exact"/>
        <w:rPr>
          <w:rFonts w:ascii="Arial" w:cs="Arial" w:eastAsia="Arial" w:hAnsi="Arial"/>
          <w:sz w:val="18"/>
          <w:szCs w:val="18"/>
          <w:color w:val="auto"/>
        </w:rPr>
      </w:pPr>
    </w:p>
    <w:p>
      <w:pPr>
        <w:ind w:left="280" w:right="539" w:hanging="272"/>
        <w:spacing w:after="0" w:line="277" w:lineRule="auto"/>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Previously filed in connection with Current Report on Form 8-K (File No. 814-00852) filed on January 7, 2014, and incorporated by reference herein.</w:t>
      </w:r>
    </w:p>
    <w:p>
      <w:pPr>
        <w:spacing w:after="0" w:line="62" w:lineRule="exact"/>
        <w:rPr>
          <w:rFonts w:ascii="Arial" w:cs="Arial" w:eastAsia="Arial" w:hAnsi="Arial"/>
          <w:sz w:val="18"/>
          <w:szCs w:val="18"/>
          <w:color w:val="auto"/>
        </w:rPr>
      </w:pPr>
    </w:p>
    <w:p>
      <w:pPr>
        <w:ind w:left="280" w:right="519" w:hanging="272"/>
        <w:spacing w:after="0" w:line="277" w:lineRule="auto"/>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3 to the Registrant’s Registration Statement on Form N-2 (File No. 333-175655) filed on September 20, 2011, and incorporated by reference herein.</w:t>
      </w:r>
    </w:p>
    <w:p>
      <w:pPr>
        <w:spacing w:after="0" w:line="62" w:lineRule="exact"/>
        <w:rPr>
          <w:rFonts w:ascii="Arial" w:cs="Arial" w:eastAsia="Arial" w:hAnsi="Arial"/>
          <w:sz w:val="18"/>
          <w:szCs w:val="18"/>
          <w:color w:val="auto"/>
        </w:rPr>
      </w:pPr>
    </w:p>
    <w:p>
      <w:pPr>
        <w:ind w:left="280" w:right="519" w:hanging="272"/>
        <w:spacing w:after="0" w:line="277" w:lineRule="auto"/>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3 to the Registrant’s Registration Statement on Form N-2 (File No. 333-171578), filed on April 15, 2011, and incorporated by reference herein.</w:t>
      </w:r>
    </w:p>
    <w:p>
      <w:pPr>
        <w:spacing w:after="0" w:line="6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4" w:name="page65"/>
    <w:bookmarkEnd w:id="6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12-14</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of Investments in and Advances to Affiliates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617474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172085</wp:posOffset>
            </wp:positionV>
            <wp:extent cx="617474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Amount of</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Interest, Fees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or Dividends</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Realized and</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Fair Value at</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Credited in</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7"/>
              </w:rPr>
              <w:t>Transfers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2"/>
                <w:szCs w:val="12"/>
                <w:color w:val="auto"/>
              </w:rPr>
            </w:pPr>
          </w:p>
        </w:tc>
      </w:tr>
      <w:tr>
        <w:trPr>
          <w:trHeight w:val="161"/>
        </w:trPr>
        <w:tc>
          <w:tcPr>
            <w:tcW w:w="3400" w:type="dxa"/>
            <w:vAlign w:val="bottom"/>
            <w:gridSpan w:val="13"/>
          </w:tcPr>
          <w:p>
            <w:pPr>
              <w:ind w:left="20"/>
              <w:spacing w:after="0"/>
              <w:rPr>
                <w:sz w:val="20"/>
                <w:szCs w:val="20"/>
                <w:color w:val="auto"/>
              </w:rPr>
            </w:pPr>
            <w:r>
              <w:rPr>
                <w:rFonts w:ascii="Arial" w:cs="Arial" w:eastAsia="Arial" w:hAnsi="Arial"/>
                <w:sz w:val="14"/>
                <w:szCs w:val="14"/>
                <w:b w:val="1"/>
                <w:bCs w:val="1"/>
                <w:color w:val="auto"/>
              </w:rPr>
              <w:t>Portfolio Company/Type of Investment*</w:t>
            </w:r>
          </w:p>
        </w:tc>
        <w:tc>
          <w:tcPr>
            <w:tcW w:w="10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In (Out)</w:t>
            </w:r>
          </w:p>
        </w:tc>
        <w:tc>
          <w:tcPr>
            <w:tcW w:w="8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w w:val="81"/>
              </w:rPr>
              <w:t>Purchases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4"/>
                <w:szCs w:val="14"/>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3"/>
              </w:rPr>
              <w:t>Gains/Losses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Pr>
          <w:p>
            <w:pPr>
              <w:spacing w:after="0"/>
              <w:rPr>
                <w:sz w:val="14"/>
                <w:szCs w:val="14"/>
                <w:color w:val="auto"/>
              </w:rPr>
            </w:pPr>
          </w:p>
        </w:tc>
      </w:tr>
      <w:tr>
        <w:trPr>
          <w:trHeight w:val="156"/>
        </w:trPr>
        <w:tc>
          <w:tcPr>
            <w:tcW w:w="3400" w:type="dxa"/>
            <w:vAlign w:val="bottom"/>
            <w:tcBorders>
              <w:top w:val="single" w:sz="8" w:color="auto"/>
              <w:right w:val="single" w:sz="8" w:color="CCEEFF"/>
            </w:tcBorders>
            <w:gridSpan w:val="13"/>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Control Investments</w:t>
            </w: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left w:val="single" w:sz="8" w:color="CCEEFF"/>
            </w:tcBorders>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162"/>
        </w:trPr>
        <w:tc>
          <w:tcPr>
            <w:tcW w:w="3400" w:type="dxa"/>
            <w:vAlign w:val="bottom"/>
            <w:gridSpan w:val="13"/>
          </w:tcPr>
          <w:p>
            <w:pPr>
              <w:ind w:left="20"/>
              <w:spacing w:after="0" w:line="162" w:lineRule="exact"/>
              <w:rPr>
                <w:sz w:val="20"/>
                <w:szCs w:val="20"/>
                <w:color w:val="auto"/>
              </w:rPr>
            </w:pPr>
            <w:r>
              <w:rPr>
                <w:rFonts w:ascii="Arial" w:cs="Arial" w:eastAsia="Arial" w:hAnsi="Arial"/>
                <w:sz w:val="16"/>
                <w:szCs w:val="16"/>
                <w:b w:val="1"/>
                <w:bCs w:val="1"/>
                <w:color w:val="auto"/>
              </w:rPr>
              <w:t>AlwaysOn, Inc.</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3400" w:type="dxa"/>
            <w:vAlign w:val="bottom"/>
            <w:tcBorders>
              <w:right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629,309</w:t>
            </w:r>
          </w:p>
        </w:tc>
        <w:tc>
          <w:tcPr>
            <w:tcW w:w="1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(629,309)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 $</w:t>
            </w:r>
          </w:p>
        </w:tc>
        <w:tc>
          <w:tcPr>
            <w:tcW w:w="64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tcPr>
          <w:p>
            <w:pPr>
              <w:spacing w:after="0"/>
              <w:rPr>
                <w:sz w:val="17"/>
                <w:szCs w:val="17"/>
                <w:color w:val="auto"/>
              </w:rPr>
            </w:pPr>
          </w:p>
        </w:tc>
      </w:tr>
      <w:tr>
        <w:trPr>
          <w:trHeight w:val="203"/>
        </w:trPr>
        <w:tc>
          <w:tcPr>
            <w:tcW w:w="340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A-1</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491,252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(491,252)</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r>
        <w:trPr>
          <w:trHeight w:val="193"/>
        </w:trPr>
        <w:tc>
          <w:tcPr>
            <w:tcW w:w="3400" w:type="dxa"/>
            <w:vAlign w:val="bottom"/>
            <w:tcBorders>
              <w:right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rPr>
              <w:t>Preferred warrants Series A, $1.00 strike price,</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left w:val="single" w:sz="8" w:color="CCEEFF"/>
            </w:tcBorders>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3380" w:type="dxa"/>
            <w:vAlign w:val="bottom"/>
            <w:tcBorders>
              <w:right w:val="single" w:sz="8" w:color="CCEEFF"/>
            </w:tcBorders>
            <w:gridSpan w:val="12"/>
            <w:shd w:val="clear" w:color="auto" w:fill="CCEEFF"/>
          </w:tcPr>
          <w:p>
            <w:pPr>
              <w:ind w:left="180"/>
              <w:spacing w:after="0"/>
              <w:rPr>
                <w:sz w:val="20"/>
                <w:szCs w:val="20"/>
                <w:color w:val="auto"/>
              </w:rPr>
            </w:pPr>
            <w:r>
              <w:rPr>
                <w:rFonts w:ascii="Arial" w:cs="Arial" w:eastAsia="Arial" w:hAnsi="Arial"/>
                <w:sz w:val="16"/>
                <w:szCs w:val="16"/>
                <w:color w:val="auto"/>
              </w:rPr>
              <w:t>expire 1/9/2017</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tcPr>
          <w:p>
            <w:pPr>
              <w:spacing w:after="0"/>
              <w:rPr>
                <w:sz w:val="18"/>
                <w:szCs w:val="18"/>
                <w:color w:val="auto"/>
              </w:rPr>
            </w:pPr>
          </w:p>
        </w:tc>
      </w:tr>
      <w:tr>
        <w:trPr>
          <w:trHeight w:val="203"/>
        </w:trPr>
        <w:tc>
          <w:tcPr>
            <w:tcW w:w="3400" w:type="dxa"/>
            <w:vAlign w:val="bottom"/>
            <w:gridSpan w:val="13"/>
          </w:tcPr>
          <w:p>
            <w:pPr>
              <w:ind w:left="20"/>
              <w:spacing w:after="0" w:line="202" w:lineRule="exact"/>
              <w:rPr>
                <w:sz w:val="20"/>
                <w:szCs w:val="20"/>
                <w:color w:val="auto"/>
              </w:rPr>
            </w:pPr>
            <w:r>
              <w:rPr>
                <w:rFonts w:ascii="Arial" w:cs="Arial" w:eastAsia="Arial" w:hAnsi="Arial"/>
                <w:sz w:val="14"/>
                <w:szCs w:val="14"/>
                <w:b w:val="1"/>
                <w:bCs w:val="1"/>
                <w:color w:val="auto"/>
              </w:rPr>
              <w:t>StormWind, LLC</w:t>
            </w:r>
            <w:r>
              <w:rPr>
                <w:rFonts w:ascii="Arial" w:cs="Arial" w:eastAsia="Arial" w:hAnsi="Arial"/>
                <w:sz w:val="23"/>
                <w:szCs w:val="23"/>
                <w:b w:val="1"/>
                <w:bCs w:val="1"/>
                <w:color w:val="auto"/>
                <w:vertAlign w:val="superscript"/>
              </w:rPr>
              <w:t>(1)</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3400" w:type="dxa"/>
            <w:vAlign w:val="bottom"/>
            <w:tcBorders>
              <w:right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4,338,830</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62,660</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4,401,490</w:t>
            </w:r>
          </w:p>
        </w:tc>
        <w:tc>
          <w:tcPr>
            <w:tcW w:w="100" w:type="dxa"/>
            <w:vAlign w:val="bottom"/>
            <w:tcBorders>
              <w:left w:val="single" w:sz="8" w:color="CCEEFF"/>
            </w:tcBorders>
          </w:tcPr>
          <w:p>
            <w:pPr>
              <w:spacing w:after="0"/>
              <w:rPr>
                <w:sz w:val="17"/>
                <w:szCs w:val="17"/>
                <w:color w:val="auto"/>
              </w:rPr>
            </w:pPr>
          </w:p>
        </w:tc>
      </w:tr>
      <w:tr>
        <w:trPr>
          <w:trHeight w:val="203"/>
        </w:trPr>
        <w:tc>
          <w:tcPr>
            <w:tcW w:w="340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B</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4,347,608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68,119</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4,415,727</w:t>
            </w:r>
          </w:p>
        </w:tc>
        <w:tc>
          <w:tcPr>
            <w:tcW w:w="100" w:type="dxa"/>
            <w:vAlign w:val="bottom"/>
          </w:tcPr>
          <w:p>
            <w:pPr>
              <w:spacing w:after="0"/>
              <w:rPr>
                <w:sz w:val="17"/>
                <w:szCs w:val="17"/>
                <w:color w:val="auto"/>
              </w:rPr>
            </w:pPr>
          </w:p>
        </w:tc>
      </w:tr>
      <w:tr>
        <w:trPr>
          <w:trHeight w:val="203"/>
        </w:trPr>
        <w:tc>
          <w:tcPr>
            <w:tcW w:w="3400" w:type="dxa"/>
            <w:vAlign w:val="bottom"/>
            <w:tcBorders>
              <w:right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391,592</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102,091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493,683</w:t>
            </w:r>
          </w:p>
        </w:tc>
        <w:tc>
          <w:tcPr>
            <w:tcW w:w="100" w:type="dxa"/>
            <w:vAlign w:val="bottom"/>
            <w:tcBorders>
              <w:left w:val="single" w:sz="8" w:color="CCEEFF"/>
            </w:tcBorders>
          </w:tcPr>
          <w:p>
            <w:pPr>
              <w:spacing w:after="0"/>
              <w:rPr>
                <w:sz w:val="17"/>
                <w:szCs w:val="17"/>
                <w:color w:val="auto"/>
              </w:rPr>
            </w:pPr>
          </w:p>
        </w:tc>
      </w:tr>
      <w:tr>
        <w:trPr>
          <w:trHeight w:val="162"/>
        </w:trPr>
        <w:tc>
          <w:tcPr>
            <w:tcW w:w="3400" w:type="dxa"/>
            <w:vAlign w:val="bottom"/>
            <w:gridSpan w:val="13"/>
          </w:tcPr>
          <w:p>
            <w:pPr>
              <w:ind w:left="20"/>
              <w:spacing w:after="0" w:line="162" w:lineRule="exact"/>
              <w:rPr>
                <w:sz w:val="20"/>
                <w:szCs w:val="20"/>
                <w:color w:val="auto"/>
              </w:rPr>
            </w:pPr>
            <w:r>
              <w:rPr>
                <w:rFonts w:ascii="Arial" w:cs="Arial" w:eastAsia="Arial" w:hAnsi="Arial"/>
                <w:sz w:val="16"/>
                <w:szCs w:val="16"/>
                <w:b w:val="1"/>
                <w:bCs w:val="1"/>
                <w:color w:val="auto"/>
              </w:rPr>
              <w:t>NestGSV, Inc. (d/b/a. GSV Labs, Inc.)</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3400" w:type="dxa"/>
            <w:vAlign w:val="bottom"/>
            <w:tcBorders>
              <w:right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D</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1,460,557</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2,499,999</w:t>
            </w:r>
          </w:p>
        </w:tc>
        <w:tc>
          <w:tcPr>
            <w:tcW w:w="8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3,960,563</w:t>
            </w:r>
          </w:p>
        </w:tc>
        <w:tc>
          <w:tcPr>
            <w:tcW w:w="100" w:type="dxa"/>
            <w:vAlign w:val="bottom"/>
            <w:tcBorders>
              <w:left w:val="single" w:sz="8" w:color="CCEEFF"/>
            </w:tcBorders>
          </w:tcPr>
          <w:p>
            <w:pPr>
              <w:spacing w:after="0"/>
              <w:rPr>
                <w:sz w:val="17"/>
                <w:szCs w:val="17"/>
                <w:color w:val="auto"/>
              </w:rPr>
            </w:pPr>
          </w:p>
        </w:tc>
      </w:tr>
      <w:tr>
        <w:trPr>
          <w:trHeight w:val="203"/>
        </w:trPr>
        <w:tc>
          <w:tcPr>
            <w:tcW w:w="340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C</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1,503,832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1,520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(247,388)</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1,257,964</w:t>
            </w:r>
          </w:p>
        </w:tc>
        <w:tc>
          <w:tcPr>
            <w:tcW w:w="100" w:type="dxa"/>
            <w:vAlign w:val="bottom"/>
          </w:tcPr>
          <w:p>
            <w:pPr>
              <w:spacing w:after="0"/>
              <w:rPr>
                <w:sz w:val="17"/>
                <w:szCs w:val="17"/>
                <w:color w:val="auto"/>
              </w:rPr>
            </w:pPr>
          </w:p>
        </w:tc>
      </w:tr>
      <w:tr>
        <w:trPr>
          <w:trHeight w:val="203"/>
        </w:trPr>
        <w:tc>
          <w:tcPr>
            <w:tcW w:w="3400" w:type="dxa"/>
            <w:vAlign w:val="bottom"/>
            <w:tcBorders>
              <w:right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440,000</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(50,175)</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389,825</w:t>
            </w:r>
          </w:p>
        </w:tc>
        <w:tc>
          <w:tcPr>
            <w:tcW w:w="100" w:type="dxa"/>
            <w:vAlign w:val="bottom"/>
            <w:tcBorders>
              <w:left w:val="single" w:sz="8" w:color="CCEEFF"/>
            </w:tcBorders>
          </w:tcPr>
          <w:p>
            <w:pPr>
              <w:spacing w:after="0"/>
              <w:rPr>
                <w:sz w:val="17"/>
                <w:szCs w:val="17"/>
                <w:color w:val="auto"/>
              </w:rPr>
            </w:pPr>
          </w:p>
        </w:tc>
      </w:tr>
      <w:tr>
        <w:trPr>
          <w:trHeight w:val="203"/>
        </w:trPr>
        <w:tc>
          <w:tcPr>
            <w:tcW w:w="340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B</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265,980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(50,730)</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215,250</w:t>
            </w:r>
          </w:p>
        </w:tc>
        <w:tc>
          <w:tcPr>
            <w:tcW w:w="100" w:type="dxa"/>
            <w:vAlign w:val="bottom"/>
          </w:tcPr>
          <w:p>
            <w:pPr>
              <w:spacing w:after="0"/>
              <w:rPr>
                <w:sz w:val="17"/>
                <w:szCs w:val="17"/>
                <w:color w:val="auto"/>
              </w:rPr>
            </w:pPr>
          </w:p>
        </w:tc>
      </w:tr>
      <w:tr>
        <w:trPr>
          <w:trHeight w:val="193"/>
        </w:trPr>
        <w:tc>
          <w:tcPr>
            <w:tcW w:w="3400" w:type="dxa"/>
            <w:vAlign w:val="bottom"/>
            <w:tcBorders>
              <w:right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w w:val="97"/>
              </w:rPr>
              <w:t>Preferred Warrant Series D – $1.33 Strike Price,</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left w:val="single" w:sz="8" w:color="CCEEFF"/>
            </w:tcBorders>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3380" w:type="dxa"/>
            <w:vAlign w:val="bottom"/>
            <w:tcBorders>
              <w:right w:val="single" w:sz="8" w:color="CCEEFF"/>
            </w:tcBorders>
            <w:gridSpan w:val="12"/>
            <w:shd w:val="clear" w:color="auto" w:fill="CCEEFF"/>
          </w:tcPr>
          <w:p>
            <w:pPr>
              <w:ind w:left="180"/>
              <w:spacing w:after="0"/>
              <w:rPr>
                <w:sz w:val="20"/>
                <w:szCs w:val="20"/>
                <w:color w:val="auto"/>
              </w:rPr>
            </w:pPr>
            <w:r>
              <w:rPr>
                <w:rFonts w:ascii="Arial" w:cs="Arial" w:eastAsia="Arial" w:hAnsi="Arial"/>
                <w:sz w:val="16"/>
                <w:szCs w:val="16"/>
                <w:color w:val="auto"/>
              </w:rPr>
              <w:t>Expiration Date 10/6/2019</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80,000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145,000</w:t>
            </w:r>
          </w:p>
        </w:tc>
        <w:tc>
          <w:tcPr>
            <w:tcW w:w="100" w:type="dxa"/>
            <w:vAlign w:val="bottom"/>
            <w:tcBorders>
              <w:left w:val="single" w:sz="8" w:color="CCEEFF"/>
            </w:tcBorders>
          </w:tcPr>
          <w:p>
            <w:pPr>
              <w:spacing w:after="0"/>
              <w:rPr>
                <w:sz w:val="18"/>
                <w:szCs w:val="18"/>
                <w:color w:val="auto"/>
              </w:rPr>
            </w:pPr>
          </w:p>
        </w:tc>
      </w:tr>
      <w:tr>
        <w:trPr>
          <w:trHeight w:val="203"/>
        </w:trPr>
        <w:tc>
          <w:tcPr>
            <w:tcW w:w="340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17,000</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18,000</w:t>
            </w:r>
          </w:p>
        </w:tc>
        <w:tc>
          <w:tcPr>
            <w:tcW w:w="100" w:type="dxa"/>
            <w:vAlign w:val="bottom"/>
          </w:tcPr>
          <w:p>
            <w:pPr>
              <w:spacing w:after="0"/>
              <w:rPr>
                <w:sz w:val="17"/>
                <w:szCs w:val="17"/>
                <w:color w:val="auto"/>
              </w:rPr>
            </w:pPr>
          </w:p>
        </w:tc>
      </w:tr>
      <w:tr>
        <w:trPr>
          <w:trHeight w:val="193"/>
        </w:trPr>
        <w:tc>
          <w:tcPr>
            <w:tcW w:w="3400" w:type="dxa"/>
            <w:vAlign w:val="bottom"/>
            <w:tcBorders>
              <w:right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w w:val="95"/>
              </w:rPr>
              <w:t>Preferred warrants, Series C – $1.33 Strike Price,</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left w:val="single" w:sz="8" w:color="CCEEFF"/>
            </w:tcBorders>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3380" w:type="dxa"/>
            <w:vAlign w:val="bottom"/>
            <w:tcBorders>
              <w:right w:val="single" w:sz="8" w:color="CCEEFF"/>
            </w:tcBorders>
            <w:gridSpan w:val="12"/>
            <w:shd w:val="clear" w:color="auto" w:fill="CCEEFF"/>
          </w:tcPr>
          <w:p>
            <w:pPr>
              <w:ind w:left="180"/>
              <w:spacing w:after="0"/>
              <w:rPr>
                <w:sz w:val="20"/>
                <w:szCs w:val="20"/>
                <w:color w:val="auto"/>
              </w:rPr>
            </w:pPr>
            <w:r>
              <w:rPr>
                <w:rFonts w:ascii="Arial" w:cs="Arial" w:eastAsia="Arial" w:hAnsi="Arial"/>
                <w:sz w:val="16"/>
                <w:szCs w:val="16"/>
                <w:color w:val="auto"/>
              </w:rPr>
              <w:t>Expiration Date 4/9/2019</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24,375</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9,375</w:t>
            </w:r>
          </w:p>
        </w:tc>
        <w:tc>
          <w:tcPr>
            <w:tcW w:w="100" w:type="dxa"/>
            <w:vAlign w:val="bottom"/>
            <w:tcBorders>
              <w:left w:val="single" w:sz="8" w:color="CCEEFF"/>
            </w:tcBorders>
          </w:tcPr>
          <w:p>
            <w:pPr>
              <w:spacing w:after="0"/>
              <w:rPr>
                <w:sz w:val="18"/>
                <w:szCs w:val="18"/>
                <w:color w:val="auto"/>
              </w:rPr>
            </w:pPr>
          </w:p>
        </w:tc>
      </w:tr>
      <w:tr>
        <w:trPr>
          <w:trHeight w:val="162"/>
        </w:trPr>
        <w:tc>
          <w:tcPr>
            <w:tcW w:w="3400" w:type="dxa"/>
            <w:vAlign w:val="bottom"/>
            <w:gridSpan w:val="13"/>
          </w:tcPr>
          <w:p>
            <w:pPr>
              <w:ind w:left="20"/>
              <w:spacing w:after="0" w:line="162" w:lineRule="exact"/>
              <w:rPr>
                <w:sz w:val="20"/>
                <w:szCs w:val="20"/>
                <w:color w:val="auto"/>
              </w:rPr>
            </w:pPr>
            <w:r>
              <w:rPr>
                <w:rFonts w:ascii="Arial" w:cs="Arial" w:eastAsia="Arial" w:hAnsi="Arial"/>
                <w:sz w:val="16"/>
                <w:szCs w:val="16"/>
                <w:b w:val="1"/>
                <w:bCs w:val="1"/>
                <w:color w:val="auto"/>
              </w:rPr>
              <w:t>GSV Sustainability Partners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3400" w:type="dxa"/>
            <w:vAlign w:val="bottom"/>
            <w:tcBorders>
              <w:right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Class A</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4,850,000</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500,156</w:t>
            </w:r>
          </w:p>
        </w:tc>
        <w:tc>
          <w:tcPr>
            <w:tcW w:w="8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5,350,000</w:t>
            </w:r>
          </w:p>
        </w:tc>
        <w:tc>
          <w:tcPr>
            <w:tcW w:w="100" w:type="dxa"/>
            <w:vAlign w:val="bottom"/>
            <w:tcBorders>
              <w:left w:val="single" w:sz="8" w:color="CCEEFF"/>
            </w:tcBorders>
          </w:tcPr>
          <w:p>
            <w:pPr>
              <w:spacing w:after="0"/>
              <w:rPr>
                <w:sz w:val="17"/>
                <w:szCs w:val="17"/>
                <w:color w:val="auto"/>
              </w:rPr>
            </w:pPr>
          </w:p>
        </w:tc>
      </w:tr>
      <w:tr>
        <w:trPr>
          <w:trHeight w:val="203"/>
        </w:trPr>
        <w:tc>
          <w:tcPr>
            <w:tcW w:w="340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3400" w:type="dxa"/>
            <w:vAlign w:val="bottom"/>
            <w:tcBorders>
              <w:right w:val="single" w:sz="8" w:color="CCEEFF"/>
            </w:tcBorders>
            <w:gridSpan w:val="13"/>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Total Control Investments</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840" w:type="dxa"/>
            <w:vAlign w:val="bottom"/>
            <w:tcBorders>
              <w:right w:val="single" w:sz="8" w:color="CCEEFF"/>
            </w:tcBorders>
            <w:gridSpan w:val="2"/>
            <w:shd w:val="clear" w:color="auto" w:fill="CCEEFF"/>
          </w:tcPr>
          <w:p>
            <w:pPr>
              <w:jc w:val="right"/>
              <w:ind w:right="120"/>
              <w:spacing w:after="0" w:line="155" w:lineRule="exact"/>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w w:val="89"/>
              </w:rPr>
              <w:t>18,819,335</w:t>
            </w:r>
          </w:p>
        </w:tc>
        <w:tc>
          <w:tcPr>
            <w:tcW w:w="180" w:type="dxa"/>
            <w:vAlign w:val="bottom"/>
            <w:tcBorders>
              <w:left w:val="single" w:sz="8" w:color="CCEEFF"/>
            </w:tcBorders>
            <w:gridSpan w:val="2"/>
            <w:shd w:val="clear" w:color="auto" w:fill="CCEEFF"/>
          </w:tcPr>
          <w:p>
            <w:pPr>
              <w:jc w:val="right"/>
              <w:spacing w:after="0" w:line="155" w:lineRule="exact"/>
              <w:rPr>
                <w:sz w:val="20"/>
                <w:szCs w:val="20"/>
                <w:color w:val="auto"/>
              </w:rPr>
            </w:pPr>
            <w:r>
              <w:rPr>
                <w:rFonts w:ascii="Arial" w:cs="Arial" w:eastAsia="Arial" w:hAnsi="Arial"/>
                <w:sz w:val="16"/>
                <w:szCs w:val="16"/>
                <w:b w:val="1"/>
                <w:bCs w:val="1"/>
                <w:u w:val="single" w:color="auto"/>
                <w:color w:val="auto"/>
              </w:rPr>
              <w:t>$</w:t>
            </w:r>
          </w:p>
        </w:tc>
        <w:tc>
          <w:tcPr>
            <w:tcW w:w="94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w w:val="96"/>
              </w:rPr>
              <w:t xml:space="preserve">(1,120,561) </w:t>
            </w:r>
            <w:r>
              <w:rPr>
                <w:rFonts w:ascii="Arial" w:cs="Arial" w:eastAsia="Arial" w:hAnsi="Arial"/>
                <w:sz w:val="16"/>
                <w:szCs w:val="16"/>
                <w:b w:val="1"/>
                <w:bCs w:val="1"/>
                <w:u w:val="single" w:color="auto"/>
                <w:color w:val="auto"/>
                <w:w w:val="96"/>
              </w:rPr>
              <w:t>$</w:t>
            </w:r>
          </w:p>
        </w:tc>
        <w:tc>
          <w:tcPr>
            <w:tcW w:w="64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w w:val="87"/>
              </w:rPr>
              <w:t>3,001,675</w:t>
            </w:r>
          </w:p>
        </w:tc>
        <w:tc>
          <w:tcPr>
            <w:tcW w:w="260" w:type="dxa"/>
            <w:vAlign w:val="bottom"/>
            <w:tcBorders>
              <w:left w:val="single" w:sz="8" w:color="CCEEFF"/>
            </w:tcBorders>
            <w:gridSpan w:val="2"/>
            <w:shd w:val="clear" w:color="auto" w:fill="CCEEFF"/>
          </w:tcPr>
          <w:p>
            <w:pPr>
              <w:jc w:val="right"/>
              <w:ind w:right="80"/>
              <w:spacing w:after="0" w:line="155" w:lineRule="exact"/>
              <w:rPr>
                <w:sz w:val="20"/>
                <w:szCs w:val="20"/>
                <w:color w:val="auto"/>
              </w:rPr>
            </w:pPr>
            <w:r>
              <w:rPr>
                <w:rFonts w:ascii="Arial" w:cs="Arial" w:eastAsia="Arial" w:hAnsi="Arial"/>
                <w:sz w:val="16"/>
                <w:szCs w:val="16"/>
                <w:b w:val="1"/>
                <w:bCs w:val="1"/>
                <w:color w:val="auto"/>
              </w:rPr>
              <w:t>$</w:t>
            </w:r>
          </w:p>
        </w:tc>
        <w:tc>
          <w:tcPr>
            <w:tcW w:w="640" w:type="dxa"/>
            <w:vAlign w:val="bottom"/>
            <w:tcBorders>
              <w:right w:val="single" w:sz="8" w:color="CCEEFF"/>
            </w:tcBorders>
            <w:gridSpan w:val="2"/>
            <w:shd w:val="clear" w:color="auto" w:fill="CCEEFF"/>
          </w:tcPr>
          <w:p>
            <w:pPr>
              <w:ind w:left="280"/>
              <w:spacing w:after="0" w:line="155" w:lineRule="exact"/>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w w:val="89"/>
              </w:rPr>
              <w:t>$</w:t>
            </w:r>
          </w:p>
        </w:tc>
        <w:tc>
          <w:tcPr>
            <w:tcW w:w="980" w:type="dxa"/>
            <w:vAlign w:val="bottom"/>
            <w:gridSpan w:val="3"/>
            <w:shd w:val="clear" w:color="auto" w:fill="CCEEFF"/>
          </w:tcPr>
          <w:p>
            <w:pPr>
              <w:jc w:val="right"/>
              <w:ind w:right="20"/>
              <w:spacing w:after="0" w:line="155" w:lineRule="exact"/>
              <w:rPr>
                <w:sz w:val="20"/>
                <w:szCs w:val="20"/>
                <w:color w:val="auto"/>
              </w:rPr>
            </w:pPr>
            <w:r>
              <w:rPr>
                <w:rFonts w:ascii="Arial" w:cs="Arial" w:eastAsia="Arial" w:hAnsi="Arial"/>
                <w:sz w:val="16"/>
                <w:szCs w:val="16"/>
                <w:b w:val="1"/>
                <w:bCs w:val="1"/>
                <w:color w:val="auto"/>
              </w:rPr>
              <w:t>(33,572) $</w:t>
            </w: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w w:val="94"/>
              </w:rPr>
              <w:t>20,666,877</w:t>
            </w:r>
          </w:p>
        </w:tc>
        <w:tc>
          <w:tcPr>
            <w:tcW w:w="100" w:type="dxa"/>
            <w:vAlign w:val="bottom"/>
            <w:tcBorders>
              <w:left w:val="single" w:sz="8" w:color="CCEEFF"/>
            </w:tcBorders>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6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156"/>
        </w:trPr>
        <w:tc>
          <w:tcPr>
            <w:tcW w:w="3400" w:type="dxa"/>
            <w:vAlign w:val="bottom"/>
            <w:gridSpan w:val="13"/>
          </w:tcPr>
          <w:p>
            <w:pPr>
              <w:ind w:left="20"/>
              <w:spacing w:after="0" w:line="155" w:lineRule="exact"/>
              <w:rPr>
                <w:sz w:val="20"/>
                <w:szCs w:val="20"/>
                <w:color w:val="auto"/>
              </w:rPr>
            </w:pPr>
            <w:r>
              <w:rPr>
                <w:rFonts w:ascii="Arial" w:cs="Arial" w:eastAsia="Arial" w:hAnsi="Arial"/>
                <w:sz w:val="16"/>
                <w:szCs w:val="16"/>
                <w:b w:val="1"/>
                <w:bCs w:val="1"/>
                <w:color w:val="auto"/>
              </w:rPr>
              <w:t>Affiliate Investments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2"/>
        </w:trPr>
        <w:tc>
          <w:tcPr>
            <w:tcW w:w="3400" w:type="dxa"/>
            <w:vAlign w:val="bottom"/>
            <w:tcBorders>
              <w:right w:val="single" w:sz="8" w:color="CCEEFF"/>
            </w:tcBorders>
            <w:gridSpan w:val="13"/>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AlwaysOn, Inc.</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203"/>
        </w:trPr>
        <w:tc>
          <w:tcPr>
            <w:tcW w:w="340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629,309</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(74,663)</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554,646</w:t>
            </w:r>
          </w:p>
        </w:tc>
        <w:tc>
          <w:tcPr>
            <w:tcW w:w="100" w:type="dxa"/>
            <w:vAlign w:val="bottom"/>
          </w:tcPr>
          <w:p>
            <w:pPr>
              <w:spacing w:after="0"/>
              <w:rPr>
                <w:sz w:val="17"/>
                <w:szCs w:val="17"/>
                <w:color w:val="auto"/>
              </w:rPr>
            </w:pPr>
          </w:p>
        </w:tc>
      </w:tr>
      <w:tr>
        <w:trPr>
          <w:trHeight w:val="203"/>
        </w:trPr>
        <w:tc>
          <w:tcPr>
            <w:tcW w:w="3400" w:type="dxa"/>
            <w:vAlign w:val="bottom"/>
            <w:tcBorders>
              <w:right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A-1</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491,252</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8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(44,979)</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446,593</w:t>
            </w:r>
          </w:p>
        </w:tc>
        <w:tc>
          <w:tcPr>
            <w:tcW w:w="100" w:type="dxa"/>
            <w:vAlign w:val="bottom"/>
            <w:tcBorders>
              <w:left w:val="single" w:sz="8" w:color="CCEEFF"/>
            </w:tcBorders>
          </w:tcPr>
          <w:p>
            <w:pPr>
              <w:spacing w:after="0"/>
              <w:rPr>
                <w:sz w:val="17"/>
                <w:szCs w:val="17"/>
                <w:color w:val="auto"/>
              </w:rPr>
            </w:pPr>
          </w:p>
        </w:tc>
      </w:tr>
      <w:tr>
        <w:trPr>
          <w:trHeight w:val="193"/>
        </w:trPr>
        <w:tc>
          <w:tcPr>
            <w:tcW w:w="3400" w:type="dxa"/>
            <w:vAlign w:val="bottom"/>
            <w:gridSpan w:val="13"/>
          </w:tcPr>
          <w:p>
            <w:pPr>
              <w:ind w:left="20"/>
              <w:spacing w:after="0"/>
              <w:rPr>
                <w:sz w:val="20"/>
                <w:szCs w:val="20"/>
                <w:color w:val="auto"/>
              </w:rPr>
            </w:pPr>
            <w:r>
              <w:rPr>
                <w:rFonts w:ascii="Arial" w:cs="Arial" w:eastAsia="Arial" w:hAnsi="Arial"/>
                <w:sz w:val="16"/>
                <w:szCs w:val="16"/>
                <w:color w:val="auto"/>
              </w:rPr>
              <w:t>Preferred warrants Series A, $1.00 strike price,</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3380" w:type="dxa"/>
            <w:vAlign w:val="bottom"/>
            <w:gridSpan w:val="12"/>
          </w:tcPr>
          <w:p>
            <w:pPr>
              <w:ind w:left="180"/>
              <w:spacing w:after="0"/>
              <w:rPr>
                <w:sz w:val="20"/>
                <w:szCs w:val="20"/>
                <w:color w:val="auto"/>
              </w:rPr>
            </w:pPr>
            <w:r>
              <w:rPr>
                <w:rFonts w:ascii="Arial" w:cs="Arial" w:eastAsia="Arial" w:hAnsi="Arial"/>
                <w:sz w:val="16"/>
                <w:szCs w:val="16"/>
                <w:color w:val="auto"/>
              </w:rPr>
              <w:t>expire 1/9/2017</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3,281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3,281</w:t>
            </w:r>
          </w:p>
        </w:tc>
        <w:tc>
          <w:tcPr>
            <w:tcW w:w="100" w:type="dxa"/>
            <w:vAlign w:val="bottom"/>
          </w:tcPr>
          <w:p>
            <w:pPr>
              <w:spacing w:after="0"/>
              <w:rPr>
                <w:sz w:val="18"/>
                <w:szCs w:val="18"/>
                <w:color w:val="auto"/>
              </w:rPr>
            </w:pPr>
          </w:p>
        </w:tc>
      </w:tr>
      <w:tr>
        <w:trPr>
          <w:trHeight w:val="206"/>
        </w:trPr>
        <w:tc>
          <w:tcPr>
            <w:tcW w:w="3400" w:type="dxa"/>
            <w:vAlign w:val="bottom"/>
            <w:tcBorders>
              <w:right w:val="single" w:sz="8" w:color="CCEEFF"/>
            </w:tcBorders>
            <w:gridSpan w:val="13"/>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Whittle Schools, LLC</w:t>
            </w:r>
            <w:r>
              <w:rPr>
                <w:rFonts w:ascii="Arial" w:cs="Arial" w:eastAsia="Arial" w:hAnsi="Arial"/>
                <w:sz w:val="23"/>
                <w:szCs w:val="23"/>
                <w:b w:val="1"/>
                <w:bCs w:val="1"/>
                <w:color w:val="auto"/>
                <w:vertAlign w:val="superscript"/>
              </w:rPr>
              <w:t>(2)</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203"/>
        </w:trPr>
        <w:tc>
          <w:tcPr>
            <w:tcW w:w="340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B</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3,000,000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3,000,000</w:t>
            </w:r>
          </w:p>
        </w:tc>
        <w:tc>
          <w:tcPr>
            <w:tcW w:w="100" w:type="dxa"/>
            <w:vAlign w:val="bottom"/>
          </w:tcPr>
          <w:p>
            <w:pPr>
              <w:spacing w:after="0"/>
              <w:rPr>
                <w:sz w:val="17"/>
                <w:szCs w:val="17"/>
                <w:color w:val="auto"/>
              </w:rPr>
            </w:pPr>
          </w:p>
        </w:tc>
      </w:tr>
      <w:tr>
        <w:trPr>
          <w:trHeight w:val="203"/>
        </w:trPr>
        <w:tc>
          <w:tcPr>
            <w:tcW w:w="3400" w:type="dxa"/>
            <w:vAlign w:val="bottom"/>
            <w:tcBorders>
              <w:right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100" w:type="dxa"/>
            <w:vAlign w:val="bottom"/>
            <w:tcBorders>
              <w:left w:val="single" w:sz="8" w:color="CCEEFF"/>
            </w:tcBorders>
          </w:tcPr>
          <w:p>
            <w:pPr>
              <w:spacing w:after="0"/>
              <w:rPr>
                <w:sz w:val="17"/>
                <w:szCs w:val="17"/>
                <w:color w:val="auto"/>
              </w:rPr>
            </w:pPr>
          </w:p>
        </w:tc>
      </w:tr>
      <w:tr>
        <w:trPr>
          <w:trHeight w:val="162"/>
        </w:trPr>
        <w:tc>
          <w:tcPr>
            <w:tcW w:w="3400" w:type="dxa"/>
            <w:vAlign w:val="bottom"/>
            <w:gridSpan w:val="13"/>
          </w:tcPr>
          <w:p>
            <w:pPr>
              <w:ind w:left="20"/>
              <w:spacing w:after="0" w:line="162" w:lineRule="exact"/>
              <w:rPr>
                <w:sz w:val="20"/>
                <w:szCs w:val="20"/>
                <w:color w:val="auto"/>
              </w:rPr>
            </w:pPr>
            <w:r>
              <w:rPr>
                <w:rFonts w:ascii="Arial" w:cs="Arial" w:eastAsia="Arial" w:hAnsi="Arial"/>
                <w:sz w:val="16"/>
                <w:szCs w:val="16"/>
                <w:b w:val="1"/>
                <w:bCs w:val="1"/>
                <w:color w:val="auto"/>
              </w:rPr>
              <w:t>Circle Media (f/k/a. S3 Digital Corp.</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2500" w:type="dxa"/>
            <w:vAlign w:val="bottom"/>
            <w:tcBorders>
              <w:top w:val="single" w:sz="8" w:color="auto"/>
            </w:tcBorders>
            <w:gridSpan w:val="10"/>
          </w:tcPr>
          <w:p>
            <w:pPr>
              <w:ind w:left="180"/>
              <w:spacing w:after="0" w:line="183" w:lineRule="exact"/>
              <w:rPr>
                <w:sz w:val="20"/>
                <w:szCs w:val="20"/>
                <w:color w:val="auto"/>
              </w:rPr>
            </w:pPr>
            <w:r>
              <w:rPr>
                <w:rFonts w:ascii="Arial" w:cs="Arial" w:eastAsia="Arial" w:hAnsi="Arial"/>
                <w:sz w:val="16"/>
                <w:szCs w:val="16"/>
                <w:b w:val="1"/>
                <w:bCs w:val="1"/>
                <w:color w:val="auto"/>
              </w:rPr>
              <w:t>(d/b/a S3i))</w:t>
            </w:r>
          </w:p>
        </w:tc>
        <w:tc>
          <w:tcPr>
            <w:tcW w:w="8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3400" w:type="dxa"/>
            <w:vAlign w:val="bottom"/>
            <w:tcBorders>
              <w:right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1,705,006</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8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(393,119)</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1,312,527</w:t>
            </w:r>
          </w:p>
        </w:tc>
        <w:tc>
          <w:tcPr>
            <w:tcW w:w="100" w:type="dxa"/>
            <w:vAlign w:val="bottom"/>
            <w:tcBorders>
              <w:left w:val="single" w:sz="8" w:color="CCEEFF"/>
            </w:tcBorders>
          </w:tcPr>
          <w:p>
            <w:pPr>
              <w:spacing w:after="0"/>
              <w:rPr>
                <w:sz w:val="17"/>
                <w:szCs w:val="17"/>
                <w:color w:val="auto"/>
              </w:rPr>
            </w:pPr>
          </w:p>
        </w:tc>
      </w:tr>
      <w:tr>
        <w:trPr>
          <w:trHeight w:val="203"/>
        </w:trPr>
        <w:tc>
          <w:tcPr>
            <w:tcW w:w="3400" w:type="dxa"/>
            <w:vAlign w:val="bottom"/>
            <w:gridSpan w:val="13"/>
          </w:tcPr>
          <w:p>
            <w:pPr>
              <w:ind w:left="20"/>
              <w:spacing w:after="0"/>
              <w:rPr>
                <w:sz w:val="20"/>
                <w:szCs w:val="20"/>
                <w:color w:val="auto"/>
              </w:rPr>
            </w:pPr>
            <w:r>
              <w:rPr>
                <w:rFonts w:ascii="Arial" w:cs="Arial" w:eastAsia="Arial" w:hAnsi="Arial"/>
                <w:sz w:val="16"/>
                <w:szCs w:val="16"/>
                <w:color w:val="auto"/>
              </w:rPr>
              <w:t>Term Loan, 12%, 09/30/15***</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16,216</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288,114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16,655</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304,769</w:t>
            </w:r>
          </w:p>
        </w:tc>
        <w:tc>
          <w:tcPr>
            <w:tcW w:w="100" w:type="dxa"/>
            <w:vAlign w:val="bottom"/>
          </w:tcPr>
          <w:p>
            <w:pPr>
              <w:spacing w:after="0"/>
              <w:rPr>
                <w:sz w:val="17"/>
                <w:szCs w:val="17"/>
                <w:color w:val="auto"/>
              </w:rPr>
            </w:pPr>
          </w:p>
        </w:tc>
      </w:tr>
      <w:tr>
        <w:trPr>
          <w:trHeight w:val="193"/>
        </w:trPr>
        <w:tc>
          <w:tcPr>
            <w:tcW w:w="3400" w:type="dxa"/>
            <w:vAlign w:val="bottom"/>
            <w:tcBorders>
              <w:right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w w:val="96"/>
              </w:rPr>
              <w:t>Preferred warrants, $1.00 Strike Price, Expiration</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left w:val="single" w:sz="8" w:color="CCEEFF"/>
            </w:tcBorders>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3380" w:type="dxa"/>
            <w:vAlign w:val="bottom"/>
            <w:tcBorders>
              <w:right w:val="single" w:sz="8" w:color="CCEEFF"/>
            </w:tcBorders>
            <w:gridSpan w:val="12"/>
            <w:shd w:val="clear" w:color="auto" w:fill="CCEEFF"/>
          </w:tcPr>
          <w:p>
            <w:pPr>
              <w:ind w:left="180"/>
              <w:spacing w:after="0"/>
              <w:rPr>
                <w:sz w:val="20"/>
                <w:szCs w:val="20"/>
                <w:color w:val="auto"/>
              </w:rPr>
            </w:pPr>
            <w:r>
              <w:rPr>
                <w:rFonts w:ascii="Arial" w:cs="Arial" w:eastAsia="Arial" w:hAnsi="Arial"/>
                <w:sz w:val="16"/>
                <w:szCs w:val="16"/>
                <w:color w:val="auto"/>
              </w:rPr>
              <w:t>Date 11/21/2017</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165,000</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35,000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Borders>
              <w:left w:val="single" w:sz="8" w:color="CCEEFF"/>
            </w:tcBorders>
          </w:tcPr>
          <w:p>
            <w:pPr>
              <w:spacing w:after="0"/>
              <w:rPr>
                <w:sz w:val="18"/>
                <w:szCs w:val="18"/>
                <w:color w:val="auto"/>
              </w:rPr>
            </w:pPr>
          </w:p>
        </w:tc>
      </w:tr>
      <w:tr>
        <w:trPr>
          <w:trHeight w:val="193"/>
        </w:trPr>
        <w:tc>
          <w:tcPr>
            <w:tcW w:w="3400" w:type="dxa"/>
            <w:vAlign w:val="bottom"/>
            <w:gridSpan w:val="13"/>
          </w:tcPr>
          <w:p>
            <w:pPr>
              <w:ind w:left="20"/>
              <w:spacing w:after="0"/>
              <w:rPr>
                <w:sz w:val="20"/>
                <w:szCs w:val="20"/>
                <w:color w:val="auto"/>
              </w:rPr>
            </w:pPr>
            <w:r>
              <w:rPr>
                <w:rFonts w:ascii="Arial" w:cs="Arial" w:eastAsia="Arial" w:hAnsi="Arial"/>
                <w:sz w:val="16"/>
                <w:szCs w:val="16"/>
                <w:color w:val="auto"/>
                <w:w w:val="96"/>
              </w:rPr>
              <w:t>Preferred warrants, $1.17 Strike Price, Expiration</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3380" w:type="dxa"/>
            <w:vAlign w:val="bottom"/>
            <w:gridSpan w:val="12"/>
          </w:tcPr>
          <w:p>
            <w:pPr>
              <w:ind w:left="180"/>
              <w:spacing w:after="0"/>
              <w:rPr>
                <w:sz w:val="20"/>
                <w:szCs w:val="20"/>
                <w:color w:val="auto"/>
              </w:rPr>
            </w:pPr>
            <w:r>
              <w:rPr>
                <w:rFonts w:ascii="Arial" w:cs="Arial" w:eastAsia="Arial" w:hAnsi="Arial"/>
                <w:sz w:val="16"/>
                <w:szCs w:val="16"/>
                <w:color w:val="auto"/>
              </w:rPr>
              <w:t>Date 08/29/2021</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58,019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58,019</w:t>
            </w:r>
          </w:p>
        </w:tc>
        <w:tc>
          <w:tcPr>
            <w:tcW w:w="100" w:type="dxa"/>
            <w:vAlign w:val="bottom"/>
          </w:tcPr>
          <w:p>
            <w:pPr>
              <w:spacing w:after="0"/>
              <w:rPr>
                <w:sz w:val="18"/>
                <w:szCs w:val="18"/>
                <w:color w:val="auto"/>
              </w:rPr>
            </w:pPr>
          </w:p>
        </w:tc>
      </w:tr>
      <w:tr>
        <w:trPr>
          <w:trHeight w:val="196"/>
        </w:trPr>
        <w:tc>
          <w:tcPr>
            <w:tcW w:w="3400" w:type="dxa"/>
            <w:vAlign w:val="bottom"/>
            <w:tcBorders>
              <w:right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w w:val="96"/>
              </w:rPr>
              <w:t>Preferred warrants, $1.17 Strike Price, Expiration</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left w:val="single" w:sz="8" w:color="CCEEFF"/>
            </w:tcBorders>
          </w:tcPr>
          <w:p>
            <w:pPr>
              <w:spacing w:after="0"/>
              <w:rPr>
                <w:sz w:val="17"/>
                <w:szCs w:val="17"/>
                <w:color w:val="auto"/>
              </w:rPr>
            </w:pPr>
          </w:p>
        </w:tc>
      </w:tr>
      <w:tr>
        <w:trPr>
          <w:trHeight w:val="212"/>
        </w:trPr>
        <w:tc>
          <w:tcPr>
            <w:tcW w:w="20" w:type="dxa"/>
            <w:vAlign w:val="bottom"/>
            <w:shd w:val="clear" w:color="auto" w:fill="CCEEFF"/>
          </w:tcPr>
          <w:p>
            <w:pPr>
              <w:spacing w:after="0"/>
              <w:rPr>
                <w:sz w:val="18"/>
                <w:szCs w:val="18"/>
                <w:color w:val="auto"/>
              </w:rPr>
            </w:pPr>
          </w:p>
        </w:tc>
        <w:tc>
          <w:tcPr>
            <w:tcW w:w="3380" w:type="dxa"/>
            <w:vAlign w:val="bottom"/>
            <w:tcBorders>
              <w:right w:val="single" w:sz="8" w:color="CCEEFF"/>
            </w:tcBorders>
            <w:gridSpan w:val="12"/>
            <w:shd w:val="clear" w:color="auto" w:fill="CCEEFF"/>
          </w:tcPr>
          <w:p>
            <w:pPr>
              <w:ind w:left="180"/>
              <w:spacing w:after="0"/>
              <w:rPr>
                <w:sz w:val="20"/>
                <w:szCs w:val="20"/>
                <w:color w:val="auto"/>
              </w:rPr>
            </w:pPr>
            <w:r>
              <w:rPr>
                <w:rFonts w:ascii="Arial" w:cs="Arial" w:eastAsia="Arial" w:hAnsi="Arial"/>
                <w:sz w:val="16"/>
                <w:szCs w:val="16"/>
                <w:color w:val="auto"/>
              </w:rPr>
              <w:t>Date 09/30/2020</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64,322</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(11,256)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53,066</w:t>
            </w:r>
          </w:p>
        </w:tc>
        <w:tc>
          <w:tcPr>
            <w:tcW w:w="100" w:type="dxa"/>
            <w:vAlign w:val="bottom"/>
            <w:tcBorders>
              <w:left w:val="single" w:sz="8" w:color="CCEEFF"/>
            </w:tcBorders>
          </w:tcPr>
          <w:p>
            <w:pPr>
              <w:spacing w:after="0"/>
              <w:rPr>
                <w:sz w:val="18"/>
                <w:szCs w:val="18"/>
                <w:color w:val="auto"/>
              </w:rPr>
            </w:pPr>
          </w:p>
        </w:tc>
      </w:tr>
      <w:tr>
        <w:trPr>
          <w:trHeight w:val="193"/>
        </w:trPr>
        <w:tc>
          <w:tcPr>
            <w:tcW w:w="3400" w:type="dxa"/>
            <w:vAlign w:val="bottom"/>
            <w:gridSpan w:val="13"/>
          </w:tcPr>
          <w:p>
            <w:pPr>
              <w:ind w:left="20"/>
              <w:spacing w:after="0"/>
              <w:rPr>
                <w:sz w:val="20"/>
                <w:szCs w:val="20"/>
                <w:color w:val="auto"/>
              </w:rPr>
            </w:pPr>
            <w:r>
              <w:rPr>
                <w:rFonts w:ascii="Arial" w:cs="Arial" w:eastAsia="Arial" w:hAnsi="Arial"/>
                <w:sz w:val="16"/>
                <w:szCs w:val="16"/>
                <w:color w:val="auto"/>
                <w:w w:val="96"/>
              </w:rPr>
              <w:t>Preferred warrants, $1.16 Strike Price, Expiration</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3380" w:type="dxa"/>
            <w:vAlign w:val="bottom"/>
            <w:gridSpan w:val="12"/>
          </w:tcPr>
          <w:p>
            <w:pPr>
              <w:ind w:left="180"/>
              <w:spacing w:after="0"/>
              <w:rPr>
                <w:sz w:val="20"/>
                <w:szCs w:val="20"/>
                <w:color w:val="auto"/>
              </w:rPr>
            </w:pPr>
            <w:r>
              <w:rPr>
                <w:rFonts w:ascii="Arial" w:cs="Arial" w:eastAsia="Arial" w:hAnsi="Arial"/>
                <w:sz w:val="16"/>
                <w:szCs w:val="16"/>
                <w:color w:val="auto"/>
              </w:rPr>
              <w:t>Date 6/26/2021</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12,736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12,736</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-2731135</wp:posOffset>
            </wp:positionV>
            <wp:extent cx="617474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5" w:name="page66"/>
    <w:bookmarkEnd w:id="6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12-14</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of Investments in and Advances to Affiliates (unaudited)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614045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1404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171450</wp:posOffset>
            </wp:positionV>
            <wp:extent cx="614045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140450" cy="8890"/>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20"/>
              <w:spacing w:after="0"/>
              <w:rPr>
                <w:sz w:val="20"/>
                <w:szCs w:val="20"/>
                <w:color w:val="auto"/>
              </w:rPr>
            </w:pPr>
            <w:r>
              <w:rPr>
                <w:rFonts w:ascii="Arial" w:cs="Arial" w:eastAsia="Arial" w:hAnsi="Arial"/>
                <w:sz w:val="14"/>
                <w:szCs w:val="14"/>
                <w:b w:val="1"/>
                <w:bCs w:val="1"/>
                <w:color w:val="auto"/>
                <w:w w:val="88"/>
              </w:rPr>
              <w:t>Amount of</w:t>
            </w: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Interest, Fees</w:t>
            </w: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or Dividends</w:t>
            </w:r>
          </w:p>
        </w:tc>
        <w:tc>
          <w:tcPr>
            <w:tcW w:w="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Realized and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Credited in</w:t>
            </w:r>
          </w:p>
        </w:tc>
        <w:tc>
          <w:tcPr>
            <w:tcW w:w="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Transfers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3360" w:type="dxa"/>
            <w:vAlign w:val="bottom"/>
            <w:gridSpan w:val="12"/>
          </w:tcPr>
          <w:p>
            <w:pPr>
              <w:ind w:left="20"/>
              <w:spacing w:after="0"/>
              <w:rPr>
                <w:sz w:val="20"/>
                <w:szCs w:val="20"/>
                <w:color w:val="auto"/>
              </w:rPr>
            </w:pPr>
            <w:r>
              <w:rPr>
                <w:rFonts w:ascii="Arial" w:cs="Arial" w:eastAsia="Arial" w:hAnsi="Arial"/>
                <w:sz w:val="14"/>
                <w:szCs w:val="14"/>
                <w:b w:val="1"/>
                <w:bCs w:val="1"/>
                <w:color w:val="auto"/>
              </w:rPr>
              <w:t>Portfolio Company/Type of Investment*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Income</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20"/>
              <w:spacing w:after="0"/>
              <w:rPr>
                <w:sz w:val="20"/>
                <w:szCs w:val="20"/>
                <w:color w:val="auto"/>
              </w:rPr>
            </w:pPr>
            <w:r>
              <w:rPr>
                <w:rFonts w:ascii="Arial" w:cs="Arial" w:eastAsia="Arial" w:hAnsi="Arial"/>
                <w:sz w:val="14"/>
                <w:szCs w:val="14"/>
                <w:b w:val="1"/>
                <w:bCs w:val="1"/>
                <w:color w:val="auto"/>
              </w:rPr>
              <w:t>In (Out)</w:t>
            </w:r>
          </w:p>
        </w:tc>
        <w:tc>
          <w:tcPr>
            <w:tcW w:w="40" w:type="dxa"/>
            <w:vAlign w:val="bottom"/>
          </w:tcPr>
          <w:p>
            <w:pPr>
              <w:spacing w:after="0"/>
              <w:rPr>
                <w:sz w:val="14"/>
                <w:szCs w:val="14"/>
                <w:color w:val="auto"/>
              </w:rPr>
            </w:pP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rPr>
              <w:t>Purchases</w:t>
            </w:r>
          </w:p>
        </w:tc>
        <w:tc>
          <w:tcPr>
            <w:tcW w:w="620" w:type="dxa"/>
            <w:vAlign w:val="bottom"/>
          </w:tcPr>
          <w:p>
            <w:pPr>
              <w:ind w:left="80"/>
              <w:spacing w:after="0"/>
              <w:rPr>
                <w:sz w:val="20"/>
                <w:szCs w:val="20"/>
                <w:color w:val="auto"/>
              </w:rPr>
            </w:pPr>
            <w:r>
              <w:rPr>
                <w:rFonts w:ascii="Arial" w:cs="Arial" w:eastAsia="Arial" w:hAnsi="Arial"/>
                <w:sz w:val="14"/>
                <w:szCs w:val="14"/>
                <w:b w:val="1"/>
                <w:bCs w:val="1"/>
                <w:color w:val="auto"/>
              </w:rPr>
              <w:t>Sales</w:t>
            </w:r>
          </w:p>
        </w:tc>
        <w:tc>
          <w:tcPr>
            <w:tcW w:w="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1"/>
              </w:rPr>
              <w:t>Gains/Losses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60" w:type="dxa"/>
            <w:vAlign w:val="bottom"/>
            <w:tcBorders>
              <w:top w:val="single" w:sz="8" w:color="auto"/>
            </w:tcBorders>
            <w:gridSpan w:val="12"/>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CUX, Inc. (d/b/a CorpU)</w:t>
            </w:r>
          </w:p>
        </w:tc>
        <w:tc>
          <w:tcPr>
            <w:tcW w:w="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gridSpan w:val="12"/>
          </w:tcPr>
          <w:p>
            <w:pPr>
              <w:ind w:left="20"/>
              <w:spacing w:after="0"/>
              <w:rPr>
                <w:sz w:val="20"/>
                <w:szCs w:val="20"/>
                <w:color w:val="auto"/>
              </w:rPr>
            </w:pPr>
            <w:r>
              <w:rPr>
                <w:rFonts w:ascii="Arial" w:cs="Arial" w:eastAsia="Arial" w:hAnsi="Arial"/>
                <w:sz w:val="16"/>
                <w:szCs w:val="16"/>
                <w:color w:val="auto"/>
              </w:rPr>
              <w:t>Convertible preferred shares, Series C</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w w:val="96"/>
              </w:rPr>
              <w:t>$  2,292,582</w:t>
            </w: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3"/>
          </w:tcPr>
          <w:p>
            <w:pPr>
              <w:ind w:left="400"/>
              <w:spacing w:after="0"/>
              <w:rPr>
                <w:sz w:val="20"/>
                <w:szCs w:val="20"/>
                <w:color w:val="auto"/>
              </w:rPr>
            </w:pPr>
            <w:r>
              <w:rPr>
                <w:rFonts w:ascii="Arial" w:cs="Arial" w:eastAsia="Arial" w:hAnsi="Arial"/>
                <w:sz w:val="16"/>
                <w:szCs w:val="16"/>
                <w:color w:val="auto"/>
              </w:rPr>
              <w:t>— $</w:t>
            </w:r>
          </w:p>
        </w:tc>
        <w:tc>
          <w:tcPr>
            <w:tcW w:w="620" w:type="dxa"/>
            <w:vAlign w:val="bottom"/>
          </w:tcPr>
          <w:p>
            <w:pPr>
              <w:ind w:lef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(160,324)</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2,132,258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3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Senior Subordinated Convertible Promissory</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shd w:val="clear" w:color="auto" w:fill="CCEEFF"/>
          </w:tcPr>
          <w:p>
            <w:pPr>
              <w:spacing w:after="0"/>
              <w:rPr>
                <w:sz w:val="22"/>
                <w:szCs w:val="22"/>
                <w:color w:val="auto"/>
              </w:rPr>
            </w:pPr>
          </w:p>
        </w:tc>
        <w:tc>
          <w:tcPr>
            <w:tcW w:w="3340" w:type="dxa"/>
            <w:vAlign w:val="bottom"/>
            <w:gridSpan w:val="11"/>
            <w:shd w:val="clear" w:color="auto" w:fill="CCEEFF"/>
          </w:tcPr>
          <w:p>
            <w:pPr>
              <w:ind w:left="180"/>
              <w:spacing w:after="0" w:line="254" w:lineRule="exact"/>
              <w:rPr>
                <w:sz w:val="20"/>
                <w:szCs w:val="20"/>
                <w:color w:val="auto"/>
              </w:rPr>
            </w:pPr>
            <w:r>
              <w:rPr>
                <w:rFonts w:ascii="Arial" w:cs="Arial" w:eastAsia="Arial" w:hAnsi="Arial"/>
                <w:sz w:val="16"/>
                <w:szCs w:val="16"/>
                <w:color w:val="auto"/>
              </w:rPr>
              <w:t>Note 8% Due 11/26/2018 ***</w:t>
            </w:r>
            <w:r>
              <w:rPr>
                <w:rFonts w:ascii="Arial" w:cs="Arial" w:eastAsia="Arial" w:hAnsi="Arial"/>
                <w:sz w:val="27"/>
                <w:szCs w:val="27"/>
                <w:color w:val="auto"/>
                <w:vertAlign w:val="superscript"/>
              </w:rPr>
              <w:t>(5)</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39,671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1,007,671</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39,671</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1,047,342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360" w:type="dxa"/>
            <w:vAlign w:val="bottom"/>
            <w:gridSpan w:val="12"/>
          </w:tcPr>
          <w:p>
            <w:pPr>
              <w:ind w:left="20"/>
              <w:spacing w:after="0"/>
              <w:rPr>
                <w:sz w:val="20"/>
                <w:szCs w:val="20"/>
                <w:color w:val="auto"/>
              </w:rPr>
            </w:pPr>
            <w:r>
              <w:rPr>
                <w:rFonts w:ascii="Arial" w:cs="Arial" w:eastAsia="Arial" w:hAnsi="Arial"/>
                <w:sz w:val="16"/>
                <w:szCs w:val="16"/>
                <w:color w:val="auto"/>
              </w:rPr>
              <w:t>Convertible preferred shares, Series 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716,066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tcPr>
          <w:p>
            <w:pPr>
              <w:ind w:lef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(51,543)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664,523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w w:val="95"/>
              </w:rPr>
              <w:t>Preferred warrants, $4.59 Strike Price, Expiration</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340" w:type="dxa"/>
            <w:vAlign w:val="bottom"/>
            <w:gridSpan w:val="11"/>
            <w:shd w:val="clear" w:color="auto" w:fill="CCEEFF"/>
          </w:tcPr>
          <w:p>
            <w:pPr>
              <w:ind w:left="180"/>
              <w:spacing w:after="0"/>
              <w:rPr>
                <w:sz w:val="20"/>
                <w:szCs w:val="20"/>
                <w:color w:val="auto"/>
              </w:rPr>
            </w:pPr>
            <w:r>
              <w:rPr>
                <w:rFonts w:ascii="Arial" w:cs="Arial" w:eastAsia="Arial" w:hAnsi="Arial"/>
                <w:sz w:val="16"/>
                <w:szCs w:val="16"/>
                <w:color w:val="auto"/>
              </w:rPr>
              <w:t>Date 02/25/2018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12,508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(4,733)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gridSpan w:val="12"/>
          </w:tcPr>
          <w:p>
            <w:pPr>
              <w:ind w:left="20"/>
              <w:spacing w:after="0" w:line="202" w:lineRule="exact"/>
              <w:rPr>
                <w:sz w:val="20"/>
                <w:szCs w:val="20"/>
                <w:color w:val="auto"/>
              </w:rPr>
            </w:pPr>
            <w:r>
              <w:rPr>
                <w:rFonts w:ascii="Arial" w:cs="Arial" w:eastAsia="Arial" w:hAnsi="Arial"/>
                <w:sz w:val="14"/>
                <w:szCs w:val="14"/>
                <w:b w:val="1"/>
                <w:bCs w:val="1"/>
                <w:color w:val="auto"/>
              </w:rPr>
              <w:t>Cricket Media (f/k/a ePals Inc.)**</w:t>
            </w:r>
            <w:r>
              <w:rPr>
                <w:rFonts w:ascii="Arial" w:cs="Arial" w:eastAsia="Arial" w:hAnsi="Arial"/>
                <w:sz w:val="23"/>
                <w:szCs w:val="23"/>
                <w:b w:val="1"/>
                <w:bCs w:val="1"/>
                <w:color w:val="auto"/>
                <w:vertAlign w:val="superscript"/>
              </w:rPr>
              <w:t>(4)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331,126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(331,126)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60" w:type="dxa"/>
            <w:vAlign w:val="bottom"/>
            <w:gridSpan w:val="12"/>
          </w:tcPr>
          <w:p>
            <w:pPr>
              <w:ind w:left="20"/>
              <w:spacing w:after="0" w:line="162" w:lineRule="exact"/>
              <w:rPr>
                <w:sz w:val="20"/>
                <w:szCs w:val="20"/>
                <w:color w:val="auto"/>
              </w:rPr>
            </w:pPr>
            <w:r>
              <w:rPr>
                <w:rFonts w:ascii="Arial" w:cs="Arial" w:eastAsia="Arial" w:hAnsi="Arial"/>
                <w:sz w:val="16"/>
                <w:szCs w:val="16"/>
                <w:b w:val="1"/>
                <w:bCs w:val="1"/>
                <w:color w:val="auto"/>
              </w:rPr>
              <w:t>Curious.com Inc.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9,996,311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9,996,311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60" w:type="dxa"/>
            <w:vAlign w:val="bottom"/>
            <w:gridSpan w:val="12"/>
          </w:tcPr>
          <w:p>
            <w:pPr>
              <w:ind w:left="20"/>
              <w:spacing w:after="0" w:line="162" w:lineRule="exact"/>
              <w:rPr>
                <w:sz w:val="20"/>
                <w:szCs w:val="20"/>
                <w:color w:val="auto"/>
              </w:rPr>
            </w:pPr>
            <w:r>
              <w:rPr>
                <w:rFonts w:ascii="Arial" w:cs="Arial" w:eastAsia="Arial" w:hAnsi="Arial"/>
                <w:sz w:val="16"/>
                <w:szCs w:val="16"/>
                <w:b w:val="1"/>
                <w:bCs w:val="1"/>
                <w:color w:val="auto"/>
              </w:rPr>
              <w:t>Declara, Inc.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10,019,825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10,019,825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60" w:type="dxa"/>
            <w:vAlign w:val="bottom"/>
            <w:gridSpan w:val="12"/>
          </w:tcPr>
          <w:p>
            <w:pPr>
              <w:ind w:left="20"/>
              <w:spacing w:after="0" w:line="162" w:lineRule="exact"/>
              <w:rPr>
                <w:sz w:val="20"/>
                <w:szCs w:val="20"/>
                <w:color w:val="auto"/>
              </w:rPr>
            </w:pPr>
            <w:r>
              <w:rPr>
                <w:rFonts w:ascii="Arial" w:cs="Arial" w:eastAsia="Arial" w:hAnsi="Arial"/>
                <w:sz w:val="16"/>
                <w:szCs w:val="16"/>
                <w:b w:val="1"/>
                <w:bCs w:val="1"/>
                <w:color w:val="auto"/>
              </w:rPr>
              <w:t>EdSurge, Inc.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505,328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(4,527)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500,801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60" w:type="dxa"/>
            <w:vAlign w:val="bottom"/>
            <w:gridSpan w:val="12"/>
          </w:tcPr>
          <w:p>
            <w:pPr>
              <w:ind w:left="20"/>
              <w:spacing w:after="0" w:line="162" w:lineRule="exact"/>
              <w:rPr>
                <w:sz w:val="20"/>
                <w:szCs w:val="20"/>
                <w:color w:val="auto"/>
              </w:rPr>
            </w:pPr>
            <w:r>
              <w:rPr>
                <w:rFonts w:ascii="Arial" w:cs="Arial" w:eastAsia="Arial" w:hAnsi="Arial"/>
                <w:sz w:val="16"/>
                <w:szCs w:val="16"/>
                <w:b w:val="1"/>
                <w:bCs w:val="1"/>
                <w:color w:val="auto"/>
              </w:rPr>
              <w:t>Fullbridge, Inc.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D</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3,111,714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3,111,714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C</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1,625,001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tcPr>
          <w:p>
            <w:pPr>
              <w:ind w:lef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1,625,001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w w:val="97"/>
              </w:rPr>
              <w:t>Convertible Promissory Note, 10% Interest rate,</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340" w:type="dxa"/>
            <w:vAlign w:val="bottom"/>
            <w:gridSpan w:val="11"/>
            <w:shd w:val="clear" w:color="auto" w:fill="CCEEFF"/>
          </w:tcPr>
          <w:p>
            <w:pPr>
              <w:ind w:left="180"/>
              <w:spacing w:after="0"/>
              <w:rPr>
                <w:sz w:val="20"/>
                <w:szCs w:val="20"/>
                <w:color w:val="auto"/>
              </w:rPr>
            </w:pPr>
            <w:r>
              <w:rPr>
                <w:rFonts w:ascii="Arial" w:cs="Arial" w:eastAsia="Arial" w:hAnsi="Arial"/>
                <w:sz w:val="16"/>
                <w:szCs w:val="16"/>
                <w:color w:val="auto"/>
              </w:rPr>
              <w:t>February 16, 2015***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62,225</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992,389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70,642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1,063,031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360" w:type="dxa"/>
            <w:vAlign w:val="bottom"/>
            <w:gridSpan w:val="12"/>
          </w:tcPr>
          <w:p>
            <w:pPr>
              <w:ind w:left="20"/>
              <w:spacing w:after="0"/>
              <w:rPr>
                <w:sz w:val="20"/>
                <w:szCs w:val="20"/>
                <w:color w:val="auto"/>
              </w:rPr>
            </w:pPr>
            <w:r>
              <w:rPr>
                <w:rFonts w:ascii="Arial" w:cs="Arial" w:eastAsia="Arial" w:hAnsi="Arial"/>
                <w:sz w:val="16"/>
                <w:szCs w:val="16"/>
                <w:color w:val="auto"/>
                <w:w w:val="95"/>
              </w:rPr>
              <w:t>Common warrants, $0.91 Strike Price, Expiration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gridSpan w:val="11"/>
          </w:tcPr>
          <w:p>
            <w:pPr>
              <w:ind w:left="180"/>
              <w:spacing w:after="0"/>
              <w:rPr>
                <w:sz w:val="20"/>
                <w:szCs w:val="20"/>
                <w:color w:val="auto"/>
              </w:rPr>
            </w:pPr>
            <w:r>
              <w:rPr>
                <w:rFonts w:ascii="Arial" w:cs="Arial" w:eastAsia="Arial" w:hAnsi="Arial"/>
                <w:sz w:val="16"/>
                <w:szCs w:val="16"/>
                <w:color w:val="auto"/>
              </w:rPr>
              <w:t>Date 2/18/2019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1,862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tcPr>
          <w:p>
            <w:pPr>
              <w:ind w:lef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43"/>
              <w:spacing w:after="0"/>
              <w:rPr>
                <w:sz w:val="20"/>
                <w:szCs w:val="20"/>
                <w:color w:val="auto"/>
              </w:rPr>
            </w:pPr>
            <w:r>
              <w:rPr>
                <w:rFonts w:ascii="Arial" w:cs="Arial" w:eastAsia="Arial" w:hAnsi="Arial"/>
                <w:sz w:val="16"/>
                <w:szCs w:val="16"/>
                <w:color w:val="auto"/>
              </w:rPr>
              <w:t>19,567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21,429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w w:val="95"/>
              </w:rPr>
              <w:t>Common warrants, $0.91 Strike Price, Expiration</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340" w:type="dxa"/>
            <w:vAlign w:val="bottom"/>
            <w:gridSpan w:val="11"/>
            <w:shd w:val="clear" w:color="auto" w:fill="CCEEFF"/>
          </w:tcPr>
          <w:p>
            <w:pPr>
              <w:ind w:left="180"/>
              <w:spacing w:after="0"/>
              <w:rPr>
                <w:sz w:val="20"/>
                <w:szCs w:val="20"/>
                <w:color w:val="auto"/>
              </w:rPr>
            </w:pPr>
            <w:r>
              <w:rPr>
                <w:rFonts w:ascii="Arial" w:cs="Arial" w:eastAsia="Arial" w:hAnsi="Arial"/>
                <w:sz w:val="16"/>
                <w:szCs w:val="16"/>
                <w:color w:val="auto"/>
              </w:rPr>
              <w:t>Date 4/3/2019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11,539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360" w:type="dxa"/>
            <w:vAlign w:val="bottom"/>
            <w:gridSpan w:val="12"/>
          </w:tcPr>
          <w:p>
            <w:pPr>
              <w:ind w:left="20"/>
              <w:spacing w:after="0"/>
              <w:rPr>
                <w:sz w:val="20"/>
                <w:szCs w:val="20"/>
                <w:color w:val="auto"/>
              </w:rPr>
            </w:pPr>
            <w:r>
              <w:rPr>
                <w:rFonts w:ascii="Arial" w:cs="Arial" w:eastAsia="Arial" w:hAnsi="Arial"/>
                <w:sz w:val="16"/>
                <w:szCs w:val="16"/>
                <w:color w:val="auto"/>
                <w:w w:val="95"/>
              </w:rPr>
              <w:t>Common warrants, $0.91 Strike Price, Expiration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gridSpan w:val="11"/>
          </w:tcPr>
          <w:p>
            <w:pPr>
              <w:ind w:left="180"/>
              <w:spacing w:after="0"/>
              <w:rPr>
                <w:sz w:val="20"/>
                <w:szCs w:val="20"/>
                <w:color w:val="auto"/>
              </w:rPr>
            </w:pPr>
            <w:r>
              <w:rPr>
                <w:rFonts w:ascii="Arial" w:cs="Arial" w:eastAsia="Arial" w:hAnsi="Arial"/>
                <w:sz w:val="16"/>
                <w:szCs w:val="16"/>
                <w:color w:val="auto"/>
              </w:rPr>
              <w:t>Date 3/02/2020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4,121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tcPr>
          <w:p>
            <w:pPr>
              <w:ind w:lef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43"/>
              <w:spacing w:after="0"/>
              <w:rPr>
                <w:sz w:val="20"/>
                <w:szCs w:val="20"/>
                <w:color w:val="auto"/>
              </w:rPr>
            </w:pPr>
            <w:r>
              <w:rPr>
                <w:rFonts w:ascii="Arial" w:cs="Arial" w:eastAsia="Arial" w:hAnsi="Arial"/>
                <w:sz w:val="16"/>
                <w:szCs w:val="16"/>
                <w:color w:val="auto"/>
              </w:rPr>
              <w:t>4,372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w w:val="95"/>
              </w:rPr>
              <w:t>Common warrants, $0.91 Strike Price, Expiration</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340" w:type="dxa"/>
            <w:vAlign w:val="bottom"/>
            <w:gridSpan w:val="11"/>
            <w:shd w:val="clear" w:color="auto" w:fill="CCEEFF"/>
          </w:tcPr>
          <w:p>
            <w:pPr>
              <w:ind w:left="180"/>
              <w:spacing w:after="0"/>
              <w:rPr>
                <w:sz w:val="20"/>
                <w:szCs w:val="20"/>
                <w:color w:val="auto"/>
              </w:rPr>
            </w:pPr>
            <w:r>
              <w:rPr>
                <w:rFonts w:ascii="Arial" w:cs="Arial" w:eastAsia="Arial" w:hAnsi="Arial"/>
                <w:sz w:val="16"/>
                <w:szCs w:val="16"/>
                <w:color w:val="auto"/>
              </w:rPr>
              <w:t>Date 5/16/2019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1,923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3,846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360" w:type="dxa"/>
            <w:vAlign w:val="bottom"/>
            <w:gridSpan w:val="12"/>
          </w:tcPr>
          <w:p>
            <w:pPr>
              <w:ind w:left="20"/>
              <w:spacing w:after="0"/>
              <w:rPr>
                <w:sz w:val="20"/>
                <w:szCs w:val="20"/>
                <w:color w:val="auto"/>
              </w:rPr>
            </w:pPr>
            <w:r>
              <w:rPr>
                <w:rFonts w:ascii="Arial" w:cs="Arial" w:eastAsia="Arial" w:hAnsi="Arial"/>
                <w:sz w:val="16"/>
                <w:szCs w:val="16"/>
                <w:color w:val="auto"/>
                <w:w w:val="95"/>
              </w:rPr>
              <w:t>Common warrants, $0.91 Strike Price, Expiration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gridSpan w:val="11"/>
          </w:tcPr>
          <w:p>
            <w:pPr>
              <w:ind w:left="180"/>
              <w:spacing w:after="0"/>
              <w:rPr>
                <w:sz w:val="20"/>
                <w:szCs w:val="20"/>
                <w:color w:val="auto"/>
              </w:rPr>
            </w:pPr>
            <w:r>
              <w:rPr>
                <w:rFonts w:ascii="Arial" w:cs="Arial" w:eastAsia="Arial" w:hAnsi="Arial"/>
                <w:sz w:val="16"/>
                <w:szCs w:val="16"/>
                <w:color w:val="auto"/>
              </w:rPr>
              <w:t>Date 3/22/2020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7,143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tcPr>
          <w:p>
            <w:pPr>
              <w:ind w:lef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(1,558)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w w:val="95"/>
              </w:rPr>
              <w:t>Common warrants, $0.91 Strike Price, Expiration</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340" w:type="dxa"/>
            <w:vAlign w:val="bottom"/>
            <w:gridSpan w:val="11"/>
            <w:shd w:val="clear" w:color="auto" w:fill="CCEEFF"/>
          </w:tcPr>
          <w:p>
            <w:pPr>
              <w:ind w:left="180"/>
              <w:spacing w:after="0"/>
              <w:rPr>
                <w:sz w:val="20"/>
                <w:szCs w:val="20"/>
                <w:color w:val="auto"/>
              </w:rPr>
            </w:pPr>
            <w:r>
              <w:rPr>
                <w:rFonts w:ascii="Arial" w:cs="Arial" w:eastAsia="Arial" w:hAnsi="Arial"/>
                <w:sz w:val="16"/>
                <w:szCs w:val="16"/>
                <w:color w:val="auto"/>
              </w:rPr>
              <w:t>Date 10/10/2018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1,649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360" w:type="dxa"/>
            <w:vAlign w:val="bottom"/>
            <w:gridSpan w:val="12"/>
          </w:tcPr>
          <w:p>
            <w:pPr>
              <w:ind w:left="20"/>
              <w:spacing w:after="0"/>
              <w:rPr>
                <w:sz w:val="20"/>
                <w:szCs w:val="20"/>
                <w:color w:val="auto"/>
              </w:rPr>
            </w:pPr>
            <w:r>
              <w:rPr>
                <w:rFonts w:ascii="Arial" w:cs="Arial" w:eastAsia="Arial" w:hAnsi="Arial"/>
                <w:sz w:val="16"/>
                <w:szCs w:val="16"/>
                <w:color w:val="auto"/>
                <w:w w:val="95"/>
              </w:rPr>
              <w:t>Common warrants, $0.91 Strike Price, Expiration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gridSpan w:val="11"/>
          </w:tcPr>
          <w:p>
            <w:pPr>
              <w:ind w:left="180"/>
              <w:spacing w:after="0"/>
              <w:rPr>
                <w:sz w:val="20"/>
                <w:szCs w:val="20"/>
                <w:color w:val="auto"/>
              </w:rPr>
            </w:pPr>
            <w:r>
              <w:rPr>
                <w:rFonts w:ascii="Arial" w:cs="Arial" w:eastAsia="Arial" w:hAnsi="Arial"/>
                <w:sz w:val="16"/>
                <w:szCs w:val="16"/>
                <w:color w:val="auto"/>
              </w:rPr>
              <w:t>Date 12/11/2018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tcPr>
          <w:p>
            <w:pPr>
              <w:ind w:lef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43"/>
              <w:spacing w:after="0"/>
              <w:rPr>
                <w:sz w:val="20"/>
                <w:szCs w:val="20"/>
                <w:color w:val="auto"/>
              </w:rPr>
            </w:pPr>
            <w:r>
              <w:rPr>
                <w:rFonts w:ascii="Arial" w:cs="Arial" w:eastAsia="Arial" w:hAnsi="Arial"/>
                <w:sz w:val="16"/>
                <w:szCs w:val="16"/>
                <w:color w:val="auto"/>
              </w:rPr>
              <w:t>2,473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360" w:type="dxa"/>
            <w:vAlign w:val="bottom"/>
            <w:gridSpan w:val="12"/>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w w:val="99"/>
              </w:rPr>
              <w:t>Global Education Learning (Holdings) Ltd.**</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3,995,221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9,200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ind w:lef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(248,593)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3,755,828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60" w:type="dxa"/>
            <w:vAlign w:val="bottom"/>
            <w:gridSpan w:val="12"/>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Learnist Inc. (f/k/a Grockit, Inc.)</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2,319,014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tcPr>
          <w:p>
            <w:pPr>
              <w:ind w:lef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43"/>
              <w:spacing w:after="0"/>
              <w:rPr>
                <w:sz w:val="20"/>
                <w:szCs w:val="20"/>
                <w:color w:val="auto"/>
              </w:rPr>
            </w:pPr>
            <w:r>
              <w:rPr>
                <w:rFonts w:ascii="Arial" w:cs="Arial" w:eastAsia="Arial" w:hAnsi="Arial"/>
                <w:sz w:val="16"/>
                <w:szCs w:val="16"/>
                <w:color w:val="auto"/>
              </w:rPr>
              <w:t>36,829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2,355,843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E</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1,610,296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982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1,611,278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F</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1,450,000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tcPr>
          <w:p>
            <w:pPr>
              <w:ind w:lef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43"/>
              <w:spacing w:after="0"/>
              <w:rPr>
                <w:sz w:val="20"/>
                <w:szCs w:val="20"/>
                <w:color w:val="auto"/>
              </w:rPr>
            </w:pPr>
            <w:r>
              <w:rPr>
                <w:rFonts w:ascii="Arial" w:cs="Arial" w:eastAsia="Arial" w:hAnsi="Arial"/>
                <w:sz w:val="16"/>
                <w:szCs w:val="16"/>
                <w:color w:val="auto"/>
              </w:rPr>
              <w:t>2,234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1,452,234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60" w:type="dxa"/>
            <w:vAlign w:val="bottom"/>
            <w:gridSpan w:val="12"/>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Maven Research, Inc.</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C</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1,999,998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tcPr>
          <w:p>
            <w:pPr>
              <w:ind w:lef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1,999,998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249,691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249,691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60" w:type="dxa"/>
            <w:vAlign w:val="bottom"/>
            <w:gridSpan w:val="12"/>
          </w:tcPr>
          <w:p>
            <w:pPr>
              <w:ind w:left="20"/>
              <w:spacing w:after="0" w:line="162" w:lineRule="exact"/>
              <w:rPr>
                <w:sz w:val="20"/>
                <w:szCs w:val="20"/>
                <w:color w:val="auto"/>
              </w:rPr>
            </w:pPr>
            <w:r>
              <w:rPr>
                <w:rFonts w:ascii="Arial" w:cs="Arial" w:eastAsia="Arial" w:hAnsi="Arial"/>
                <w:sz w:val="16"/>
                <w:szCs w:val="16"/>
                <w:b w:val="1"/>
                <w:bCs w:val="1"/>
                <w:color w:val="auto"/>
              </w:rPr>
              <w:t>Ozy Media, Inc.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4,999,999</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50,977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5,050,976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4,165,091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tcPr>
          <w:p>
            <w:pPr>
              <w:ind w:lef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43"/>
              <w:spacing w:after="0"/>
              <w:rPr>
                <w:sz w:val="20"/>
                <w:szCs w:val="20"/>
                <w:color w:val="auto"/>
              </w:rPr>
            </w:pPr>
            <w:r>
              <w:rPr>
                <w:rFonts w:ascii="Arial" w:cs="Arial" w:eastAsia="Arial" w:hAnsi="Arial"/>
                <w:sz w:val="16"/>
                <w:szCs w:val="16"/>
                <w:color w:val="auto"/>
              </w:rPr>
              <w:t>46,108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4,211,199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Seed</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1,573,000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138,742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1,711,742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6" w:name="page67"/>
    <w:bookmarkEnd w:id="6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12-14</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of Investments in and Advances to Affiliates (unaudited)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617474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172085</wp:posOffset>
            </wp:positionV>
            <wp:extent cx="617474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Amount of</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Interest, Fees</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4"/>
              </w:rPr>
              <w:t>or Dividends</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Realized and</w:t>
            </w:r>
          </w:p>
        </w:tc>
        <w:tc>
          <w:tcPr>
            <w:tcW w:w="9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Fair Value at</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Credited in</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4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7"/>
              </w:rPr>
              <w:t>Transfers</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9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June 30,</w:t>
            </w:r>
          </w:p>
        </w:tc>
      </w:tr>
      <w:tr>
        <w:trPr>
          <w:trHeight w:val="161"/>
        </w:trPr>
        <w:tc>
          <w:tcPr>
            <w:tcW w:w="3400" w:type="dxa"/>
            <w:vAlign w:val="bottom"/>
            <w:gridSpan w:val="8"/>
          </w:tcPr>
          <w:p>
            <w:pPr>
              <w:ind w:left="20"/>
              <w:spacing w:after="0"/>
              <w:rPr>
                <w:sz w:val="20"/>
                <w:szCs w:val="20"/>
                <w:color w:val="auto"/>
              </w:rPr>
            </w:pPr>
            <w:r>
              <w:rPr>
                <w:rFonts w:ascii="Arial" w:cs="Arial" w:eastAsia="Arial" w:hAnsi="Arial"/>
                <w:sz w:val="14"/>
                <w:szCs w:val="14"/>
                <w:b w:val="1"/>
                <w:bCs w:val="1"/>
                <w:color w:val="auto"/>
              </w:rPr>
              <w:t>Portfolio Company/Type of Investment*</w:t>
            </w:r>
          </w:p>
        </w:tc>
        <w:tc>
          <w:tcPr>
            <w:tcW w:w="10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4"/>
                <w:szCs w:val="14"/>
                <w:color w:val="auto"/>
              </w:rPr>
            </w:pPr>
          </w:p>
        </w:tc>
        <w:tc>
          <w:tcPr>
            <w:tcW w:w="82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2014</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In (Out)</w:t>
            </w:r>
          </w:p>
        </w:tc>
        <w:tc>
          <w:tcPr>
            <w:tcW w:w="800" w:type="dxa"/>
            <w:vAlign w:val="bottom"/>
          </w:tcPr>
          <w:p>
            <w:pPr>
              <w:jc w:val="right"/>
              <w:ind w:right="40"/>
              <w:spacing w:after="0"/>
              <w:rPr>
                <w:sz w:val="20"/>
                <w:szCs w:val="20"/>
                <w:color w:val="auto"/>
              </w:rPr>
            </w:pPr>
            <w:r>
              <w:rPr>
                <w:rFonts w:ascii="Arial" w:cs="Arial" w:eastAsia="Arial" w:hAnsi="Arial"/>
                <w:sz w:val="14"/>
                <w:szCs w:val="14"/>
                <w:b w:val="1"/>
                <w:bCs w:val="1"/>
                <w:color w:val="auto"/>
                <w:w w:val="93"/>
              </w:rPr>
              <w:t>Purchases</w:t>
            </w:r>
          </w:p>
        </w:tc>
        <w:tc>
          <w:tcPr>
            <w:tcW w:w="14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Gains/Losses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3"/>
              </w:rPr>
              <w:t>2015</w:t>
            </w:r>
          </w:p>
        </w:tc>
        <w:tc>
          <w:tcPr>
            <w:tcW w:w="40" w:type="dxa"/>
            <w:vAlign w:val="bottom"/>
          </w:tcPr>
          <w:p>
            <w:pPr>
              <w:spacing w:after="0"/>
              <w:rPr>
                <w:sz w:val="14"/>
                <w:szCs w:val="14"/>
                <w:color w:val="auto"/>
              </w:rPr>
            </w:pPr>
          </w:p>
        </w:tc>
      </w:tr>
      <w:tr>
        <w:trPr>
          <w:trHeight w:val="156"/>
        </w:trPr>
        <w:tc>
          <w:tcPr>
            <w:tcW w:w="3400" w:type="dxa"/>
            <w:vAlign w:val="bottom"/>
            <w:tcBorders>
              <w:top w:val="single" w:sz="8" w:color="auto"/>
              <w:right w:val="single" w:sz="8" w:color="CCEEFF"/>
            </w:tcBorders>
            <w:gridSpan w:val="8"/>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PayNearMe, Inc.</w:t>
            </w: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right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right w:val="single" w:sz="8" w:color="CCEEFF"/>
            </w:tcBorders>
            <w:shd w:val="clear" w:color="auto" w:fill="CCEEFF"/>
          </w:tcPr>
          <w:p>
            <w:pPr>
              <w:spacing w:after="0"/>
              <w:rPr>
                <w:sz w:val="13"/>
                <w:szCs w:val="13"/>
                <w:color w:val="auto"/>
              </w:rPr>
            </w:pPr>
          </w:p>
        </w:tc>
        <w:tc>
          <w:tcPr>
            <w:tcW w:w="800" w:type="dxa"/>
            <w:vAlign w:val="bottom"/>
            <w:tcBorders>
              <w:top w:val="single" w:sz="8" w:color="auto"/>
              <w:right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right w:val="single" w:sz="8" w:color="CCEEFF"/>
            </w:tcBorders>
            <w:shd w:val="clear" w:color="auto" w:fill="CCEEFF"/>
          </w:tcPr>
          <w:p>
            <w:pPr>
              <w:spacing w:after="0"/>
              <w:rPr>
                <w:sz w:val="13"/>
                <w:szCs w:val="13"/>
                <w:color w:val="auto"/>
              </w:rPr>
            </w:pPr>
          </w:p>
        </w:tc>
        <w:tc>
          <w:tcPr>
            <w:tcW w:w="940" w:type="dxa"/>
            <w:vAlign w:val="bottom"/>
            <w:tcBorders>
              <w:top w:val="single" w:sz="8" w:color="auto"/>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3400" w:type="dxa"/>
            <w:vAlign w:val="bottom"/>
            <w:gridSpan w:val="8"/>
          </w:tcPr>
          <w:p>
            <w:pPr>
              <w:ind w:left="20"/>
              <w:spacing w:after="0"/>
              <w:rPr>
                <w:sz w:val="20"/>
                <w:szCs w:val="20"/>
                <w:color w:val="auto"/>
              </w:rPr>
            </w:pPr>
            <w:r>
              <w:rPr>
                <w:rFonts w:ascii="Arial" w:cs="Arial" w:eastAsia="Arial" w:hAnsi="Arial"/>
                <w:sz w:val="16"/>
                <w:szCs w:val="16"/>
                <w:color w:val="auto"/>
              </w:rPr>
              <w:t>Preferred shares, Series 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9,982,064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87"/>
              </w:rPr>
              <w:t>$3,999,998</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(7,175)</w:t>
            </w:r>
          </w:p>
        </w:tc>
        <w:tc>
          <w:tcPr>
            <w:tcW w:w="940" w:type="dxa"/>
            <w:vAlign w:val="bottom"/>
          </w:tcPr>
          <w:p>
            <w:pPr>
              <w:jc w:val="right"/>
              <w:spacing w:after="0"/>
              <w:rPr>
                <w:sz w:val="20"/>
                <w:szCs w:val="20"/>
                <w:color w:val="auto"/>
              </w:rPr>
            </w:pPr>
            <w:r>
              <w:rPr>
                <w:rFonts w:ascii="Arial" w:cs="Arial" w:eastAsia="Arial" w:hAnsi="Arial"/>
                <w:sz w:val="16"/>
                <w:szCs w:val="16"/>
                <w:color w:val="auto"/>
                <w:w w:val="92"/>
              </w:rPr>
              <w:t>$ 13,974,887</w:t>
            </w:r>
          </w:p>
        </w:tc>
        <w:tc>
          <w:tcPr>
            <w:tcW w:w="40" w:type="dxa"/>
            <w:vAlign w:val="bottom"/>
          </w:tcPr>
          <w:p>
            <w:pPr>
              <w:spacing w:after="0"/>
              <w:rPr>
                <w:sz w:val="17"/>
                <w:szCs w:val="17"/>
                <w:color w:val="auto"/>
              </w:rPr>
            </w:pPr>
          </w:p>
        </w:tc>
      </w:tr>
      <w:tr>
        <w:trPr>
          <w:trHeight w:val="162"/>
        </w:trPr>
        <w:tc>
          <w:tcPr>
            <w:tcW w:w="3400" w:type="dxa"/>
            <w:vAlign w:val="bottom"/>
            <w:tcBorders>
              <w:right w:val="single" w:sz="8" w:color="CCEEFF"/>
            </w:tcBorders>
            <w:gridSpan w:val="8"/>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The rSmart Group, Inc.</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3400" w:type="dxa"/>
            <w:vAlign w:val="bottom"/>
            <w:gridSpan w:val="8"/>
          </w:tcPr>
          <w:p>
            <w:pPr>
              <w:ind w:left="20"/>
              <w:spacing w:after="0"/>
              <w:rPr>
                <w:sz w:val="20"/>
                <w:szCs w:val="20"/>
                <w:color w:val="auto"/>
              </w:rPr>
            </w:pPr>
            <w:r>
              <w:rPr>
                <w:rFonts w:ascii="Arial" w:cs="Arial" w:eastAsia="Arial" w:hAnsi="Arial"/>
                <w:sz w:val="16"/>
                <w:szCs w:val="16"/>
                <w:color w:val="auto"/>
              </w:rPr>
              <w:t>Preferred shares, Series B</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192,586</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1,920</w:t>
            </w:r>
          </w:p>
        </w:tc>
        <w:tc>
          <w:tcPr>
            <w:tcW w:w="14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16,185</w:t>
            </w:r>
          </w:p>
        </w:tc>
        <w:tc>
          <w:tcPr>
            <w:tcW w:w="940" w:type="dxa"/>
            <w:vAlign w:val="bottom"/>
          </w:tcPr>
          <w:p>
            <w:pPr>
              <w:jc w:val="right"/>
              <w:spacing w:after="0"/>
              <w:rPr>
                <w:sz w:val="20"/>
                <w:szCs w:val="20"/>
                <w:color w:val="auto"/>
              </w:rPr>
            </w:pPr>
            <w:r>
              <w:rPr>
                <w:rFonts w:ascii="Arial" w:cs="Arial" w:eastAsia="Arial" w:hAnsi="Arial"/>
                <w:sz w:val="16"/>
                <w:szCs w:val="16"/>
                <w:color w:val="auto"/>
              </w:rPr>
              <w:t>210,691</w:t>
            </w:r>
          </w:p>
        </w:tc>
        <w:tc>
          <w:tcPr>
            <w:tcW w:w="40" w:type="dxa"/>
            <w:vAlign w:val="bottom"/>
          </w:tcPr>
          <w:p>
            <w:pPr>
              <w:spacing w:after="0"/>
              <w:rPr>
                <w:sz w:val="17"/>
                <w:szCs w:val="17"/>
                <w:color w:val="auto"/>
              </w:rPr>
            </w:pPr>
          </w:p>
        </w:tc>
      </w:tr>
      <w:tr>
        <w:trPr>
          <w:trHeight w:val="203"/>
        </w:trPr>
        <w:tc>
          <w:tcPr>
            <w:tcW w:w="3400" w:type="dxa"/>
            <w:vAlign w:val="bottom"/>
            <w:tcBorders>
              <w:right w:val="single" w:sz="8" w:color="CCEEFF"/>
            </w:tcBorders>
            <w:gridSpan w:val="8"/>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Strategic Data Command, LLC</w:t>
            </w:r>
            <w:r>
              <w:rPr>
                <w:rFonts w:ascii="Arial" w:cs="Arial" w:eastAsia="Arial" w:hAnsi="Arial"/>
                <w:sz w:val="23"/>
                <w:szCs w:val="23"/>
                <w:b w:val="1"/>
                <w:bCs w:val="1"/>
                <w:color w:val="auto"/>
                <w:vertAlign w:val="superscript"/>
              </w:rPr>
              <w:t>(3)</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3400" w:type="dxa"/>
            <w:vAlign w:val="bottom"/>
            <w:gridSpan w:val="8"/>
          </w:tcPr>
          <w:p>
            <w:pPr>
              <w:ind w:left="20"/>
              <w:spacing w:after="0"/>
              <w:rPr>
                <w:sz w:val="20"/>
                <w:szCs w:val="20"/>
                <w:color w:val="auto"/>
              </w:rPr>
            </w:pPr>
            <w:r>
              <w:rPr>
                <w:rFonts w:ascii="Arial" w:cs="Arial" w:eastAsia="Arial" w:hAnsi="Arial"/>
                <w:sz w:val="16"/>
                <w:szCs w:val="16"/>
                <w:color w:val="auto"/>
              </w:rPr>
              <w:t>Common shares</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1,000,000</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w w:val="93"/>
              </w:rPr>
              <w:t>(12,373)</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12,373</w:t>
            </w:r>
          </w:p>
        </w:tc>
        <w:tc>
          <w:tcPr>
            <w:tcW w:w="940" w:type="dxa"/>
            <w:vAlign w:val="bottom"/>
          </w:tcPr>
          <w:p>
            <w:pPr>
              <w:jc w:val="right"/>
              <w:spacing w:after="0"/>
              <w:rPr>
                <w:sz w:val="20"/>
                <w:szCs w:val="20"/>
                <w:color w:val="auto"/>
              </w:rPr>
            </w:pPr>
            <w:r>
              <w:rPr>
                <w:rFonts w:ascii="Arial" w:cs="Arial" w:eastAsia="Arial" w:hAnsi="Arial"/>
                <w:sz w:val="16"/>
                <w:szCs w:val="16"/>
                <w:color w:val="auto"/>
              </w:rPr>
              <w:t>1,000,000</w:t>
            </w:r>
          </w:p>
        </w:tc>
        <w:tc>
          <w:tcPr>
            <w:tcW w:w="40" w:type="dxa"/>
            <w:vAlign w:val="bottom"/>
          </w:tcPr>
          <w:p>
            <w:pPr>
              <w:spacing w:after="0"/>
              <w:rPr>
                <w:sz w:val="17"/>
                <w:szCs w:val="17"/>
                <w:color w:val="auto"/>
              </w:rPr>
            </w:pPr>
          </w:p>
        </w:tc>
      </w:tr>
      <w:tr>
        <w:trPr>
          <w:trHeight w:val="162"/>
        </w:trPr>
        <w:tc>
          <w:tcPr>
            <w:tcW w:w="3400" w:type="dxa"/>
            <w:vAlign w:val="bottom"/>
            <w:tcBorders>
              <w:right w:val="single" w:sz="8" w:color="CCEEFF"/>
            </w:tcBorders>
            <w:gridSpan w:val="8"/>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Totus Solutions, Inc.</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93"/>
        </w:trPr>
        <w:tc>
          <w:tcPr>
            <w:tcW w:w="3400" w:type="dxa"/>
            <w:vAlign w:val="bottom"/>
            <w:gridSpan w:val="8"/>
          </w:tcPr>
          <w:p>
            <w:pPr>
              <w:ind w:left="20"/>
              <w:spacing w:after="0"/>
              <w:rPr>
                <w:sz w:val="20"/>
                <w:szCs w:val="20"/>
                <w:color w:val="auto"/>
              </w:rPr>
            </w:pPr>
            <w:r>
              <w:rPr>
                <w:rFonts w:ascii="Arial" w:cs="Arial" w:eastAsia="Arial" w:hAnsi="Arial"/>
                <w:sz w:val="16"/>
                <w:szCs w:val="16"/>
                <w:color w:val="auto"/>
                <w:w w:val="94"/>
              </w:rPr>
              <w:t>Convertible Promissory Note 6%, Expiration Date,</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6"/>
        </w:trPr>
        <w:tc>
          <w:tcPr>
            <w:tcW w:w="1180" w:type="dxa"/>
            <w:vAlign w:val="bottom"/>
            <w:gridSpan w:val="3"/>
          </w:tcPr>
          <w:p>
            <w:pPr>
              <w:ind w:left="200"/>
              <w:spacing w:after="0"/>
              <w:rPr>
                <w:sz w:val="20"/>
                <w:szCs w:val="20"/>
                <w:color w:val="auto"/>
              </w:rPr>
            </w:pPr>
            <w:r>
              <w:rPr>
                <w:rFonts w:ascii="Arial" w:cs="Arial" w:eastAsia="Arial" w:hAnsi="Arial"/>
                <w:sz w:val="16"/>
                <w:szCs w:val="16"/>
                <w:color w:val="auto"/>
              </w:rPr>
              <w:t>4/01/2016***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2,284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78,425</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760</w:t>
            </w:r>
          </w:p>
        </w:tc>
        <w:tc>
          <w:tcPr>
            <w:tcW w:w="14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(38,841)</w:t>
            </w:r>
          </w:p>
        </w:tc>
        <w:tc>
          <w:tcPr>
            <w:tcW w:w="940" w:type="dxa"/>
            <w:vAlign w:val="bottom"/>
          </w:tcPr>
          <w:p>
            <w:pPr>
              <w:jc w:val="right"/>
              <w:spacing w:after="0"/>
              <w:rPr>
                <w:sz w:val="20"/>
                <w:szCs w:val="20"/>
                <w:color w:val="auto"/>
              </w:rPr>
            </w:pPr>
            <w:r>
              <w:rPr>
                <w:rFonts w:ascii="Arial" w:cs="Arial" w:eastAsia="Arial" w:hAnsi="Arial"/>
                <w:sz w:val="16"/>
                <w:szCs w:val="16"/>
                <w:color w:val="auto"/>
              </w:rPr>
              <w:t>40,344</w:t>
            </w:r>
          </w:p>
        </w:tc>
        <w:tc>
          <w:tcPr>
            <w:tcW w:w="40" w:type="dxa"/>
            <w:vAlign w:val="bottom"/>
          </w:tcPr>
          <w:p>
            <w:pPr>
              <w:spacing w:after="0"/>
              <w:rPr>
                <w:sz w:val="17"/>
                <w:szCs w:val="17"/>
                <w:color w:val="auto"/>
              </w:rPr>
            </w:pPr>
          </w:p>
        </w:tc>
      </w:tr>
      <w:tr>
        <w:trPr>
          <w:trHeight w:val="209"/>
        </w:trPr>
        <w:tc>
          <w:tcPr>
            <w:tcW w:w="340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128,902</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(128,902)</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r>
      <w:tr>
        <w:trPr>
          <w:trHeight w:val="203"/>
        </w:trPr>
        <w:tc>
          <w:tcPr>
            <w:tcW w:w="3400" w:type="dxa"/>
            <w:vAlign w:val="bottom"/>
            <w:gridSpan w:val="8"/>
          </w:tcPr>
          <w:p>
            <w:pPr>
              <w:ind w:left="20"/>
              <w:spacing w:after="0"/>
              <w:rPr>
                <w:sz w:val="20"/>
                <w:szCs w:val="20"/>
                <w:color w:val="auto"/>
              </w:rPr>
            </w:pPr>
            <w:r>
              <w:rPr>
                <w:rFonts w:ascii="Arial" w:cs="Arial" w:eastAsia="Arial" w:hAnsi="Arial"/>
                <w:sz w:val="16"/>
                <w:szCs w:val="16"/>
                <w:color w:val="auto"/>
              </w:rPr>
              <w:t>Preferred shares, Series A</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03"/>
        </w:trPr>
        <w:tc>
          <w:tcPr>
            <w:tcW w:w="340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3400" w:type="dxa"/>
            <w:vAlign w:val="bottom"/>
            <w:gridSpan w:val="8"/>
          </w:tcPr>
          <w:p>
            <w:pPr>
              <w:ind w:left="20"/>
              <w:spacing w:after="0" w:line="155" w:lineRule="exact"/>
              <w:rPr>
                <w:sz w:val="20"/>
                <w:szCs w:val="20"/>
                <w:color w:val="auto"/>
              </w:rPr>
            </w:pPr>
            <w:r>
              <w:rPr>
                <w:rFonts w:ascii="Arial" w:cs="Arial" w:eastAsia="Arial" w:hAnsi="Arial"/>
                <w:sz w:val="16"/>
                <w:szCs w:val="16"/>
                <w:b w:val="1"/>
                <w:bCs w:val="1"/>
                <w:color w:val="auto"/>
              </w:rPr>
              <w:t>Total Affiliate Investments</w:t>
            </w:r>
          </w:p>
        </w:tc>
        <w:tc>
          <w:tcPr>
            <w:tcW w:w="100" w:type="dxa"/>
            <w:vAlign w:val="bottom"/>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120,396</w:t>
            </w:r>
          </w:p>
        </w:tc>
        <w:tc>
          <w:tcPr>
            <w:tcW w:w="120" w:type="dxa"/>
            <w:vAlign w:val="bottom"/>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w w:val="89"/>
              </w:rPr>
              <w:t>70,172,313</w:t>
            </w:r>
          </w:p>
        </w:tc>
        <w:tc>
          <w:tcPr>
            <w:tcW w:w="140" w:type="dxa"/>
            <w:vAlign w:val="bottom"/>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800" w:type="dxa"/>
            <w:vAlign w:val="bottom"/>
            <w:gridSpan w:val="2"/>
          </w:tcPr>
          <w:p>
            <w:pPr>
              <w:jc w:val="right"/>
              <w:ind w:right="100"/>
              <w:spacing w:after="0" w:line="155" w:lineRule="exact"/>
              <w:rPr>
                <w:sz w:val="20"/>
                <w:szCs w:val="20"/>
                <w:color w:val="auto"/>
              </w:rPr>
            </w:pPr>
            <w:r>
              <w:rPr>
                <w:rFonts w:ascii="Arial" w:cs="Arial" w:eastAsia="Arial" w:hAnsi="Arial"/>
                <w:sz w:val="16"/>
                <w:szCs w:val="16"/>
                <w:b w:val="1"/>
                <w:bCs w:val="1"/>
                <w:color w:val="auto"/>
              </w:rPr>
              <w:t>789,435</w:t>
            </w:r>
          </w:p>
        </w:tc>
        <w:tc>
          <w:tcPr>
            <w:tcW w:w="800" w:type="dxa"/>
            <w:vAlign w:val="bottom"/>
          </w:tcPr>
          <w:p>
            <w:pPr>
              <w:jc w:val="right"/>
              <w:spacing w:after="0" w:line="155" w:lineRule="exact"/>
              <w:rPr>
                <w:sz w:val="20"/>
                <w:szCs w:val="20"/>
                <w:color w:val="auto"/>
              </w:rPr>
            </w:pPr>
            <w:r>
              <w:rPr>
                <w:rFonts w:ascii="Arial" w:cs="Arial" w:eastAsia="Arial" w:hAnsi="Arial"/>
                <w:sz w:val="16"/>
                <w:szCs w:val="16"/>
                <w:b w:val="1"/>
                <w:bCs w:val="1"/>
                <w:u w:val="single" w:color="auto"/>
                <w:color w:val="auto"/>
                <w:w w:val="87"/>
              </w:rPr>
              <w:t>$</w:t>
            </w:r>
            <w:r>
              <w:rPr>
                <w:rFonts w:ascii="Arial" w:cs="Arial" w:eastAsia="Arial" w:hAnsi="Arial"/>
                <w:sz w:val="16"/>
                <w:szCs w:val="16"/>
                <w:b w:val="1"/>
                <w:bCs w:val="1"/>
                <w:color w:val="auto"/>
                <w:w w:val="87"/>
              </w:rPr>
              <w:t>5,005,227</w:t>
            </w:r>
          </w:p>
        </w:tc>
        <w:tc>
          <w:tcPr>
            <w:tcW w:w="1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w w:val="89"/>
              </w:rPr>
              <w:t>$</w:t>
            </w:r>
          </w:p>
        </w:tc>
        <w:tc>
          <w:tcPr>
            <w:tcW w:w="680" w:type="dxa"/>
            <w:vAlign w:val="bottom"/>
            <w:gridSpan w:val="2"/>
          </w:tcPr>
          <w:p>
            <w:pPr>
              <w:jc w:val="right"/>
              <w:ind w:right="100"/>
              <w:spacing w:after="0" w:line="155" w:lineRule="exact"/>
              <w:rPr>
                <w:sz w:val="20"/>
                <w:szCs w:val="20"/>
                <w:color w:val="auto"/>
              </w:rPr>
            </w:pPr>
            <w:r>
              <w:rPr>
                <w:rFonts w:ascii="Arial" w:cs="Arial" w:eastAsia="Arial" w:hAnsi="Arial"/>
                <w:sz w:val="16"/>
                <w:szCs w:val="16"/>
                <w:b w:val="1"/>
                <w:bCs w:val="1"/>
                <w:color w:val="auto"/>
                <w:w w:val="93"/>
              </w:rPr>
              <w:t>(12,373)</w:t>
            </w:r>
          </w:p>
        </w:tc>
        <w:tc>
          <w:tcPr>
            <w:tcW w:w="1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w w:val="89"/>
              </w:rPr>
              <w:t>$</w:t>
            </w:r>
          </w:p>
        </w:tc>
        <w:tc>
          <w:tcPr>
            <w:tcW w:w="880" w:type="dxa"/>
            <w:vAlign w:val="bottom"/>
            <w:gridSpan w:val="2"/>
          </w:tcPr>
          <w:p>
            <w:pPr>
              <w:jc w:val="right"/>
              <w:ind w:right="100"/>
              <w:spacing w:after="0" w:line="155" w:lineRule="exact"/>
              <w:rPr>
                <w:sz w:val="20"/>
                <w:szCs w:val="20"/>
                <w:color w:val="auto"/>
              </w:rPr>
            </w:pPr>
            <w:r>
              <w:rPr>
                <w:rFonts w:ascii="Arial" w:cs="Arial" w:eastAsia="Arial" w:hAnsi="Arial"/>
                <w:sz w:val="16"/>
                <w:szCs w:val="16"/>
                <w:b w:val="1"/>
                <w:bCs w:val="1"/>
                <w:color w:val="auto"/>
              </w:rPr>
              <w:t>(657,088)</w:t>
            </w:r>
          </w:p>
        </w:tc>
        <w:tc>
          <w:tcPr>
            <w:tcW w:w="9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w w:val="92"/>
              </w:rPr>
              <w:t>$ 75,297,514</w:t>
            </w:r>
          </w:p>
        </w:tc>
        <w:tc>
          <w:tcPr>
            <w:tcW w:w="4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-325120</wp:posOffset>
            </wp:positionV>
            <wp:extent cx="6174740" cy="1460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174740" cy="14605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7"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300" w:right="519" w:hanging="272"/>
        <w:spacing w:after="0" w:line="277" w:lineRule="auto"/>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ind w:left="300" w:hanging="272"/>
        <w:spacing w:after="0"/>
        <w:tabs>
          <w:tab w:leader="none" w:pos="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wholly-owned subsidiary GSVC SW Holdings, Inc.</w:t>
      </w:r>
    </w:p>
    <w:p>
      <w:pPr>
        <w:spacing w:after="0" w:line="128" w:lineRule="exact"/>
        <w:rPr>
          <w:rFonts w:ascii="Arial" w:cs="Arial" w:eastAsia="Arial" w:hAnsi="Arial"/>
          <w:sz w:val="17"/>
          <w:szCs w:val="17"/>
          <w:color w:val="auto"/>
        </w:rPr>
      </w:pPr>
    </w:p>
    <w:p>
      <w:pPr>
        <w:ind w:left="300" w:right="519" w:hanging="272"/>
        <w:spacing w:after="0" w:line="308" w:lineRule="auto"/>
        <w:tabs>
          <w:tab w:leader="none" w:pos="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GSV Capital Corp.’s investment in Whittle Schools, LLC is held through its wholly-owned subsidiary GSVC WS Holdings, Inc. Whittle Schools, LLC is an investment whose economics are derived from the value of Avenues Global Holdings LLC.</w:t>
      </w:r>
    </w:p>
    <w:p>
      <w:pPr>
        <w:spacing w:after="0" w:line="38" w:lineRule="exact"/>
        <w:rPr>
          <w:rFonts w:ascii="Arial" w:cs="Arial" w:eastAsia="Arial" w:hAnsi="Arial"/>
          <w:sz w:val="17"/>
          <w:szCs w:val="17"/>
          <w:color w:val="auto"/>
        </w:rPr>
      </w:pPr>
    </w:p>
    <w:p>
      <w:pPr>
        <w:ind w:left="300" w:right="539" w:hanging="272"/>
        <w:spacing w:after="0" w:line="277" w:lineRule="auto"/>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wholly-owned subsidiary GSVC SVDS Holdings, Inc.</w:t>
      </w:r>
    </w:p>
    <w:p>
      <w:pPr>
        <w:spacing w:after="0" w:line="62" w:lineRule="exact"/>
        <w:rPr>
          <w:rFonts w:ascii="Arial" w:cs="Arial" w:eastAsia="Arial" w:hAnsi="Arial"/>
          <w:sz w:val="18"/>
          <w:szCs w:val="18"/>
          <w:color w:val="auto"/>
        </w:rPr>
      </w:pPr>
    </w:p>
    <w:p>
      <w:pPr>
        <w:jc w:val="both"/>
        <w:ind w:left="300" w:right="519" w:hanging="272"/>
        <w:spacing w:after="0" w:line="279" w:lineRule="auto"/>
        <w:tabs>
          <w:tab w:leader="none" w:pos="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 October 22, 2013, Cricket Media (fka ePals Inc.), priced its initial public offering, selling 40,267,333 shares at a price of CAD $0.075 per share. At June 30, 2015, GSV Capital Corp. valued Cricket Media (fka ePals Inc.), based on its June 30, 2015 closing price. GSV Capital Corp.’s Chief Executive Officer, Michael Moe is a Board member of Cricket Media (fka ePals Inc.), which subjects GSV Capital Corp. to insider trading restrictions under Canadian securities law.</w:t>
      </w:r>
    </w:p>
    <w:p>
      <w:pPr>
        <w:spacing w:after="0" w:line="63" w:lineRule="exact"/>
        <w:rPr>
          <w:rFonts w:ascii="Arial" w:cs="Arial" w:eastAsia="Arial" w:hAnsi="Arial"/>
          <w:sz w:val="17"/>
          <w:szCs w:val="17"/>
          <w:color w:val="auto"/>
        </w:rPr>
      </w:pPr>
    </w:p>
    <w:p>
      <w:pPr>
        <w:jc w:val="both"/>
        <w:ind w:left="300" w:right="539" w:hanging="272"/>
        <w:spacing w:after="0" w:line="264" w:lineRule="auto"/>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Accrued interest is not payable until the earlier of a) the closing of a subsequent equity offering by CUX, Inc., or b) the maturity of the note (November 26, 2018). Interest will compound annually beginning on November 26, 2015.</w:t>
      </w:r>
    </w:p>
    <w:p>
      <w:pPr>
        <w:spacing w:after="0" w:line="200" w:lineRule="exact"/>
        <w:rPr>
          <w:sz w:val="20"/>
          <w:szCs w:val="20"/>
          <w:color w:val="auto"/>
        </w:rPr>
      </w:pPr>
    </w:p>
    <w:p>
      <w:pPr>
        <w:spacing w:after="0" w:line="3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7" w:name="page68"/>
    <w:bookmarkEnd w:id="6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12-14</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of Investments in and Advances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8858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Amount of</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Interest, Fees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or Dividends</w:t>
            </w: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Realized and</w:t>
            </w:r>
          </w:p>
        </w:tc>
        <w:tc>
          <w:tcPr>
            <w:tcW w:w="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Credited in</w:t>
            </w: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12"/>
                <w:szCs w:val="12"/>
                <w:color w:val="auto"/>
              </w:rPr>
            </w:pPr>
          </w:p>
        </w:tc>
      </w:tr>
      <w:tr>
        <w:trPr>
          <w:trHeight w:val="161"/>
        </w:trPr>
        <w:tc>
          <w:tcPr>
            <w:tcW w:w="2840" w:type="dxa"/>
            <w:vAlign w:val="bottom"/>
            <w:tcBorders>
              <w:bottom w:val="single" w:sz="8" w:color="auto"/>
            </w:tcBorders>
            <w:gridSpan w:val="13"/>
          </w:tcPr>
          <w:p>
            <w:pPr>
              <w:ind w:left="20"/>
              <w:spacing w:after="0"/>
              <w:rPr>
                <w:sz w:val="20"/>
                <w:szCs w:val="20"/>
                <w:color w:val="auto"/>
              </w:rPr>
            </w:pPr>
            <w:r>
              <w:rPr>
                <w:rFonts w:ascii="Arial" w:cs="Arial" w:eastAsia="Arial" w:hAnsi="Arial"/>
                <w:sz w:val="14"/>
                <w:szCs w:val="14"/>
                <w:b w:val="1"/>
                <w:bCs w:val="1"/>
                <w:color w:val="auto"/>
              </w:rPr>
              <w:t>Portfolio Company/Type of Investment*</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Purchases</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Gains/Losses</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2014</w:t>
            </w:r>
          </w:p>
        </w:tc>
        <w:tc>
          <w:tcPr>
            <w:tcW w:w="40" w:type="dxa"/>
            <w:vAlign w:val="bottom"/>
          </w:tcPr>
          <w:p>
            <w:pPr>
              <w:spacing w:after="0"/>
              <w:rPr>
                <w:sz w:val="14"/>
                <w:szCs w:val="14"/>
                <w:color w:val="auto"/>
              </w:rPr>
            </w:pPr>
          </w:p>
        </w:tc>
      </w:tr>
      <w:tr>
        <w:trPr>
          <w:trHeight w:val="156"/>
        </w:trPr>
        <w:tc>
          <w:tcPr>
            <w:tcW w:w="2840" w:type="dxa"/>
            <w:vAlign w:val="bottom"/>
            <w:gridSpan w:val="13"/>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Control Investments</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2"/>
        </w:trPr>
        <w:tc>
          <w:tcPr>
            <w:tcW w:w="2840" w:type="dxa"/>
            <w:vAlign w:val="bottom"/>
            <w:gridSpan w:val="13"/>
          </w:tcPr>
          <w:p>
            <w:pPr>
              <w:ind w:left="20"/>
              <w:spacing w:after="0" w:line="162" w:lineRule="exact"/>
              <w:rPr>
                <w:sz w:val="20"/>
                <w:szCs w:val="20"/>
                <w:color w:val="auto"/>
              </w:rPr>
            </w:pPr>
            <w:r>
              <w:rPr>
                <w:rFonts w:ascii="Arial" w:cs="Arial" w:eastAsia="Arial" w:hAnsi="Arial"/>
                <w:sz w:val="16"/>
                <w:szCs w:val="16"/>
                <w:b w:val="1"/>
                <w:bCs w:val="1"/>
                <w:color w:val="auto"/>
              </w:rPr>
              <w:t>AlwaysOn, Inc.</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600,000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251,240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(359,988)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491,252</w:t>
            </w:r>
          </w:p>
        </w:tc>
        <w:tc>
          <w:tcPr>
            <w:tcW w:w="40" w:type="dxa"/>
            <w:vAlign w:val="bottom"/>
          </w:tcPr>
          <w:p>
            <w:pPr>
              <w:spacing w:after="0"/>
              <w:rPr>
                <w:sz w:val="17"/>
                <w:szCs w:val="17"/>
                <w:color w:val="auto"/>
              </w:rPr>
            </w:pPr>
          </w:p>
        </w:tc>
      </w:tr>
      <w:tr>
        <w:trPr>
          <w:trHeight w:val="20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203,011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3"/>
              <w:spacing w:after="0"/>
              <w:rPr>
                <w:sz w:val="20"/>
                <w:szCs w:val="20"/>
                <w:color w:val="auto"/>
              </w:rPr>
            </w:pPr>
            <w:r>
              <w:rPr>
                <w:rFonts w:ascii="Arial" w:cs="Arial" w:eastAsia="Arial" w:hAnsi="Arial"/>
                <w:sz w:val="16"/>
                <w:szCs w:val="16"/>
                <w:color w:val="auto"/>
              </w:rPr>
              <w:t>426,298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629,309</w:t>
            </w:r>
          </w:p>
        </w:tc>
        <w:tc>
          <w:tcPr>
            <w:tcW w:w="40" w:type="dxa"/>
            <w:vAlign w:val="bottom"/>
          </w:tcPr>
          <w:p>
            <w:pPr>
              <w:spacing w:after="0"/>
              <w:rPr>
                <w:sz w:val="17"/>
                <w:szCs w:val="17"/>
                <w:color w:val="auto"/>
              </w:rPr>
            </w:pPr>
          </w:p>
        </w:tc>
      </w:tr>
      <w:tr>
        <w:trPr>
          <w:trHeight w:val="19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w w:val="92"/>
              </w:rPr>
              <w:t>Preferred warrants Series A-1, $0.19 strike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282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price, expire 12/31/2014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r>
      <w:tr>
        <w:trPr>
          <w:trHeight w:val="193"/>
        </w:trPr>
        <w:tc>
          <w:tcPr>
            <w:tcW w:w="2840" w:type="dxa"/>
            <w:vAlign w:val="bottom"/>
            <w:gridSpan w:val="13"/>
          </w:tcPr>
          <w:p>
            <w:pPr>
              <w:ind w:left="20"/>
              <w:spacing w:after="0"/>
              <w:rPr>
                <w:sz w:val="20"/>
                <w:szCs w:val="20"/>
                <w:color w:val="auto"/>
              </w:rPr>
            </w:pPr>
            <w:r>
              <w:rPr>
                <w:rFonts w:ascii="Arial" w:cs="Arial" w:eastAsia="Arial" w:hAnsi="Arial"/>
                <w:sz w:val="16"/>
                <w:szCs w:val="16"/>
                <w:color w:val="auto"/>
                <w:w w:val="96"/>
              </w:rPr>
              <w:t>Preferred warrants Series A, $1.00 strike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2820" w:type="dxa"/>
            <w:vAlign w:val="bottom"/>
            <w:gridSpan w:val="12"/>
          </w:tcPr>
          <w:p>
            <w:pPr>
              <w:ind w:left="180"/>
              <w:spacing w:after="0"/>
              <w:rPr>
                <w:sz w:val="20"/>
                <w:szCs w:val="20"/>
                <w:color w:val="auto"/>
              </w:rPr>
            </w:pPr>
            <w:r>
              <w:rPr>
                <w:rFonts w:ascii="Arial" w:cs="Arial" w:eastAsia="Arial" w:hAnsi="Arial"/>
                <w:sz w:val="16"/>
                <w:szCs w:val="16"/>
                <w:color w:val="auto"/>
              </w:rPr>
              <w:t>price, expire 1/9/2017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r>
      <w:tr>
        <w:trPr>
          <w:trHeight w:val="206"/>
        </w:trPr>
        <w:tc>
          <w:tcPr>
            <w:tcW w:w="2840" w:type="dxa"/>
            <w:vAlign w:val="bottom"/>
            <w:gridSpan w:val="13"/>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StormWind, LLC</w:t>
            </w:r>
            <w:r>
              <w:rPr>
                <w:rFonts w:ascii="Arial" w:cs="Arial" w:eastAsia="Arial" w:hAnsi="Arial"/>
                <w:sz w:val="23"/>
                <w:szCs w:val="23"/>
                <w:b w:val="1"/>
                <w:bCs w:val="1"/>
                <w:color w:val="auto"/>
                <w:vertAlign w:val="superscript"/>
              </w:rPr>
              <w:t>(1)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89"/>
              </w:rPr>
              <w:t>4,000,787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3"/>
              <w:spacing w:after="0"/>
              <w:rPr>
                <w:sz w:val="20"/>
                <w:szCs w:val="20"/>
                <w:color w:val="auto"/>
              </w:rPr>
            </w:pPr>
            <w:r>
              <w:rPr>
                <w:rFonts w:ascii="Arial" w:cs="Arial" w:eastAsia="Arial" w:hAnsi="Arial"/>
                <w:sz w:val="16"/>
                <w:szCs w:val="16"/>
                <w:color w:val="auto"/>
              </w:rPr>
              <w:t>338,043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4,338,830</w:t>
            </w:r>
          </w:p>
        </w:tc>
        <w:tc>
          <w:tcPr>
            <w:tcW w:w="40" w:type="dxa"/>
            <w:vAlign w:val="bottom"/>
          </w:tcPr>
          <w:p>
            <w:pPr>
              <w:spacing w:after="0"/>
              <w:rPr>
                <w:sz w:val="17"/>
                <w:szCs w:val="17"/>
                <w:color w:val="auto"/>
              </w:rPr>
            </w:pPr>
          </w:p>
        </w:tc>
      </w:tr>
      <w:tr>
        <w:trPr>
          <w:trHeight w:val="20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4,205,142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142,466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4,347,608</w:t>
            </w:r>
          </w:p>
        </w:tc>
        <w:tc>
          <w:tcPr>
            <w:tcW w:w="40" w:type="dxa"/>
            <w:vAlign w:val="bottom"/>
          </w:tcPr>
          <w:p>
            <w:pPr>
              <w:spacing w:after="0"/>
              <w:rPr>
                <w:sz w:val="17"/>
                <w:szCs w:val="17"/>
                <w:color w:val="auto"/>
              </w:rPr>
            </w:pPr>
          </w:p>
        </w:tc>
      </w:tr>
      <w:tr>
        <w:trPr>
          <w:trHeight w:val="20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110,000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3"/>
              <w:spacing w:after="0"/>
              <w:rPr>
                <w:sz w:val="20"/>
                <w:szCs w:val="20"/>
                <w:color w:val="auto"/>
              </w:rPr>
            </w:pPr>
            <w:r>
              <w:rPr>
                <w:rFonts w:ascii="Arial" w:cs="Arial" w:eastAsia="Arial" w:hAnsi="Arial"/>
                <w:sz w:val="16"/>
                <w:szCs w:val="16"/>
                <w:color w:val="auto"/>
              </w:rPr>
              <w:t>281,592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391,592</w:t>
            </w:r>
          </w:p>
        </w:tc>
        <w:tc>
          <w:tcPr>
            <w:tcW w:w="40" w:type="dxa"/>
            <w:vAlign w:val="bottom"/>
          </w:tcPr>
          <w:p>
            <w:pPr>
              <w:spacing w:after="0"/>
              <w:rPr>
                <w:sz w:val="17"/>
                <w:szCs w:val="17"/>
                <w:color w:val="auto"/>
              </w:rPr>
            </w:pPr>
          </w:p>
        </w:tc>
      </w:tr>
      <w:tr>
        <w:trPr>
          <w:trHeight w:val="19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w w:val="92"/>
              </w:rPr>
              <w:t>Preferred Unit Warrants $1.76 Strike Price,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282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Expiration Date 1/6/15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r>
      <w:tr>
        <w:trPr>
          <w:trHeight w:val="162"/>
        </w:trPr>
        <w:tc>
          <w:tcPr>
            <w:tcW w:w="2840" w:type="dxa"/>
            <w:vAlign w:val="bottom"/>
            <w:gridSpan w:val="13"/>
          </w:tcPr>
          <w:p>
            <w:pPr>
              <w:ind w:left="20"/>
              <w:spacing w:after="0" w:line="162" w:lineRule="exact"/>
              <w:rPr>
                <w:sz w:val="20"/>
                <w:szCs w:val="20"/>
                <w:color w:val="auto"/>
              </w:rPr>
            </w:pPr>
            <w:r>
              <w:rPr>
                <w:rFonts w:ascii="Arial" w:cs="Arial" w:eastAsia="Arial" w:hAnsi="Arial"/>
                <w:sz w:val="16"/>
                <w:szCs w:val="16"/>
                <w:b w:val="1"/>
                <w:bCs w:val="1"/>
                <w:color w:val="auto"/>
              </w:rPr>
              <w:t>NestGSV, Inc. (d/b/a. GSV Labs, Inc.)</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1,188,137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(748,137)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440,000</w:t>
            </w:r>
          </w:p>
        </w:tc>
        <w:tc>
          <w:tcPr>
            <w:tcW w:w="40" w:type="dxa"/>
            <w:vAlign w:val="bottom"/>
          </w:tcPr>
          <w:p>
            <w:pPr>
              <w:spacing w:after="0"/>
              <w:rPr>
                <w:sz w:val="17"/>
                <w:szCs w:val="17"/>
                <w:color w:val="auto"/>
              </w:rPr>
            </w:pPr>
          </w:p>
        </w:tc>
      </w:tr>
      <w:tr>
        <w:trPr>
          <w:trHeight w:val="20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594,068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(328,088)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265,980</w:t>
            </w:r>
          </w:p>
        </w:tc>
        <w:tc>
          <w:tcPr>
            <w:tcW w:w="40" w:type="dxa"/>
            <w:vAlign w:val="bottom"/>
          </w:tcPr>
          <w:p>
            <w:pPr>
              <w:spacing w:after="0"/>
              <w:rPr>
                <w:sz w:val="17"/>
                <w:szCs w:val="17"/>
                <w:color w:val="auto"/>
              </w:rPr>
            </w:pPr>
          </w:p>
        </w:tc>
      </w:tr>
      <w:tr>
        <w:trPr>
          <w:trHeight w:val="20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2,005,730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(501,898)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1,503,832</w:t>
            </w:r>
          </w:p>
        </w:tc>
        <w:tc>
          <w:tcPr>
            <w:tcW w:w="40" w:type="dxa"/>
            <w:vAlign w:val="bottom"/>
          </w:tcPr>
          <w:p>
            <w:pPr>
              <w:spacing w:after="0"/>
              <w:rPr>
                <w:sz w:val="17"/>
                <w:szCs w:val="17"/>
                <w:color w:val="auto"/>
              </w:rPr>
            </w:pPr>
          </w:p>
        </w:tc>
      </w:tr>
      <w:tr>
        <w:trPr>
          <w:trHeight w:val="20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89"/>
              </w:rPr>
              <w:t>1,404,499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3"/>
              <w:spacing w:after="0"/>
              <w:rPr>
                <w:sz w:val="20"/>
                <w:szCs w:val="20"/>
                <w:color w:val="auto"/>
              </w:rPr>
            </w:pPr>
            <w:r>
              <w:rPr>
                <w:rFonts w:ascii="Arial" w:cs="Arial" w:eastAsia="Arial" w:hAnsi="Arial"/>
                <w:sz w:val="16"/>
                <w:szCs w:val="16"/>
                <w:color w:val="auto"/>
              </w:rPr>
              <w:t>56,058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1,460,557</w:t>
            </w:r>
          </w:p>
        </w:tc>
        <w:tc>
          <w:tcPr>
            <w:tcW w:w="40" w:type="dxa"/>
            <w:vAlign w:val="bottom"/>
          </w:tcPr>
          <w:p>
            <w:pPr>
              <w:spacing w:after="0"/>
              <w:rPr>
                <w:sz w:val="17"/>
                <w:szCs w:val="17"/>
                <w:color w:val="auto"/>
              </w:rPr>
            </w:pPr>
          </w:p>
        </w:tc>
      </w:tr>
      <w:tr>
        <w:trPr>
          <w:trHeight w:val="20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40" w:type="dxa"/>
            <w:vAlign w:val="bottom"/>
          </w:tcPr>
          <w:p>
            <w:pPr>
              <w:spacing w:after="0"/>
              <w:rPr>
                <w:sz w:val="17"/>
                <w:szCs w:val="17"/>
                <w:color w:val="auto"/>
              </w:rPr>
            </w:pPr>
          </w:p>
        </w:tc>
      </w:tr>
      <w:tr>
        <w:trPr>
          <w:trHeight w:val="20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Convertible Promissory Note***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10,233</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500,000</w:t>
            </w:r>
          </w:p>
        </w:tc>
        <w:tc>
          <w:tcPr>
            <w:tcW w:w="80" w:type="dxa"/>
            <w:vAlign w:val="bottom"/>
          </w:tcPr>
          <w:p>
            <w:pPr>
              <w:spacing w:after="0"/>
              <w:rPr>
                <w:sz w:val="17"/>
                <w:szCs w:val="17"/>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19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w w:val="91"/>
              </w:rPr>
              <w:t>Preferred warrants, Series C – $1.33 Strike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282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Price, Expiration Date 4/9/2019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24,375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24,375</w:t>
            </w:r>
          </w:p>
        </w:tc>
        <w:tc>
          <w:tcPr>
            <w:tcW w:w="40" w:type="dxa"/>
            <w:vAlign w:val="bottom"/>
          </w:tcPr>
          <w:p>
            <w:pPr>
              <w:spacing w:after="0"/>
              <w:rPr>
                <w:sz w:val="18"/>
                <w:szCs w:val="18"/>
                <w:color w:val="auto"/>
              </w:rPr>
            </w:pPr>
          </w:p>
        </w:tc>
      </w:tr>
      <w:tr>
        <w:trPr>
          <w:trHeight w:val="193"/>
        </w:trPr>
        <w:tc>
          <w:tcPr>
            <w:tcW w:w="2840" w:type="dxa"/>
            <w:vAlign w:val="bottom"/>
            <w:gridSpan w:val="13"/>
          </w:tcPr>
          <w:p>
            <w:pPr>
              <w:ind w:left="20"/>
              <w:spacing w:after="0"/>
              <w:rPr>
                <w:sz w:val="20"/>
                <w:szCs w:val="20"/>
                <w:color w:val="auto"/>
              </w:rPr>
            </w:pPr>
            <w:r>
              <w:rPr>
                <w:rFonts w:ascii="Arial" w:cs="Arial" w:eastAsia="Arial" w:hAnsi="Arial"/>
                <w:sz w:val="16"/>
                <w:szCs w:val="16"/>
                <w:color w:val="auto"/>
                <w:w w:val="94"/>
              </w:rPr>
              <w:t>Preferred Warrant Series D – $1.33 Strike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2820" w:type="dxa"/>
            <w:vAlign w:val="bottom"/>
            <w:gridSpan w:val="12"/>
          </w:tcPr>
          <w:p>
            <w:pPr>
              <w:ind w:left="180"/>
              <w:spacing w:after="0"/>
              <w:rPr>
                <w:sz w:val="20"/>
                <w:szCs w:val="20"/>
                <w:color w:val="auto"/>
              </w:rPr>
            </w:pPr>
            <w:r>
              <w:rPr>
                <w:rFonts w:ascii="Arial" w:cs="Arial" w:eastAsia="Arial" w:hAnsi="Arial"/>
                <w:sz w:val="16"/>
                <w:szCs w:val="16"/>
                <w:color w:val="auto"/>
              </w:rPr>
              <w:t>Price, Expiration Date 10/6/2019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3"/>
              <w:spacing w:after="0"/>
              <w:rPr>
                <w:sz w:val="20"/>
                <w:szCs w:val="20"/>
                <w:color w:val="auto"/>
              </w:rPr>
            </w:pPr>
            <w:r>
              <w:rPr>
                <w:rFonts w:ascii="Arial" w:cs="Arial" w:eastAsia="Arial" w:hAnsi="Arial"/>
                <w:sz w:val="16"/>
                <w:szCs w:val="16"/>
                <w:color w:val="auto"/>
              </w:rPr>
              <w:t>65,000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65,000</w:t>
            </w:r>
          </w:p>
        </w:tc>
        <w:tc>
          <w:tcPr>
            <w:tcW w:w="40" w:type="dxa"/>
            <w:vAlign w:val="bottom"/>
          </w:tcPr>
          <w:p>
            <w:pPr>
              <w:spacing w:after="0"/>
              <w:rPr>
                <w:sz w:val="18"/>
                <w:szCs w:val="18"/>
                <w:color w:val="auto"/>
              </w:rPr>
            </w:pPr>
          </w:p>
        </w:tc>
      </w:tr>
      <w:tr>
        <w:trPr>
          <w:trHeight w:val="165"/>
        </w:trPr>
        <w:tc>
          <w:tcPr>
            <w:tcW w:w="2840" w:type="dxa"/>
            <w:vAlign w:val="bottom"/>
            <w:gridSpan w:val="13"/>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GSV Sustainability Partners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Preferred shares, Class A</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89"/>
              </w:rPr>
              <w:t>4,851,256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4,850,000</w:t>
            </w:r>
          </w:p>
        </w:tc>
        <w:tc>
          <w:tcPr>
            <w:tcW w:w="40" w:type="dxa"/>
            <w:vAlign w:val="bottom"/>
          </w:tcPr>
          <w:p>
            <w:pPr>
              <w:spacing w:after="0"/>
              <w:rPr>
                <w:sz w:val="17"/>
                <w:szCs w:val="17"/>
                <w:color w:val="auto"/>
              </w:rPr>
            </w:pPr>
          </w:p>
        </w:tc>
      </w:tr>
      <w:tr>
        <w:trPr>
          <w:trHeight w:val="20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40" w:type="dxa"/>
            <w:vAlign w:val="bottom"/>
          </w:tcPr>
          <w:p>
            <w:pPr>
              <w:spacing w:after="0"/>
              <w:rPr>
                <w:sz w:val="17"/>
                <w:szCs w:val="17"/>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2840" w:type="dxa"/>
            <w:vAlign w:val="bottom"/>
            <w:gridSpan w:val="13"/>
          </w:tcPr>
          <w:p>
            <w:pPr>
              <w:ind w:left="20"/>
              <w:spacing w:after="0" w:line="155" w:lineRule="exact"/>
              <w:rPr>
                <w:sz w:val="20"/>
                <w:szCs w:val="20"/>
                <w:color w:val="auto"/>
              </w:rPr>
            </w:pPr>
            <w:r>
              <w:rPr>
                <w:rFonts w:ascii="Arial" w:cs="Arial" w:eastAsia="Arial" w:hAnsi="Arial"/>
                <w:sz w:val="16"/>
                <w:szCs w:val="16"/>
                <w:b w:val="1"/>
                <w:bCs w:val="1"/>
                <w:color w:val="auto"/>
              </w:rPr>
              <w:t>Total Control Investments</w:t>
            </w:r>
          </w:p>
        </w:tc>
        <w:tc>
          <w:tcPr>
            <w:tcW w:w="16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w:t>
            </w:r>
          </w:p>
        </w:tc>
        <w:tc>
          <w:tcPr>
            <w:tcW w:w="820" w:type="dxa"/>
            <w:vAlign w:val="bottom"/>
            <w:gridSpan w:val="2"/>
          </w:tcPr>
          <w:p>
            <w:pPr>
              <w:jc w:val="right"/>
              <w:ind w:right="140"/>
              <w:spacing w:after="0" w:line="155" w:lineRule="exact"/>
              <w:rPr>
                <w:sz w:val="20"/>
                <w:szCs w:val="20"/>
                <w:color w:val="auto"/>
              </w:rPr>
            </w:pPr>
            <w:r>
              <w:rPr>
                <w:rFonts w:ascii="Arial" w:cs="Arial" w:eastAsia="Arial" w:hAnsi="Arial"/>
                <w:sz w:val="16"/>
                <w:szCs w:val="16"/>
                <w:b w:val="1"/>
                <w:bCs w:val="1"/>
                <w:color w:val="auto"/>
              </w:rPr>
              <w:t>10,233</w:t>
            </w:r>
          </w:p>
        </w:tc>
        <w:tc>
          <w:tcPr>
            <w:tcW w:w="100" w:type="dxa"/>
            <w:vAlign w:val="bottom"/>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6"/>
                <w:szCs w:val="16"/>
                <w:b w:val="1"/>
                <w:bCs w:val="1"/>
                <w:color w:val="auto"/>
                <w:w w:val="92"/>
              </w:rPr>
              <w:t>6,790,358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gridSpan w:val="2"/>
          </w:tcPr>
          <w:p>
            <w:pPr>
              <w:jc w:val="right"/>
              <w:spacing w:after="0" w:line="155" w:lineRule="exact"/>
              <w:rPr>
                <w:sz w:val="20"/>
                <w:szCs w:val="20"/>
                <w:color w:val="auto"/>
              </w:rPr>
            </w:pPr>
            <w:r>
              <w:rPr>
                <w:rFonts w:ascii="Arial" w:cs="Arial" w:eastAsia="Arial" w:hAnsi="Arial"/>
                <w:sz w:val="16"/>
                <w:szCs w:val="16"/>
                <w:b w:val="1"/>
                <w:bCs w:val="1"/>
                <w:u w:val="single" w:color="auto"/>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w w:val="89"/>
              </w:rPr>
              <w:t>18,819,335</w:t>
            </w:r>
          </w:p>
        </w:tc>
        <w:tc>
          <w:tcPr>
            <w:tcW w:w="4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2840" w:type="dxa"/>
            <w:vAlign w:val="bottom"/>
            <w:gridSpan w:val="13"/>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Affiliate Investments</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840" w:type="dxa"/>
            <w:vAlign w:val="bottom"/>
            <w:gridSpan w:val="13"/>
          </w:tcPr>
          <w:p>
            <w:pPr>
              <w:ind w:left="20"/>
              <w:spacing w:after="0" w:line="202" w:lineRule="exact"/>
              <w:rPr>
                <w:sz w:val="20"/>
                <w:szCs w:val="20"/>
                <w:color w:val="auto"/>
              </w:rPr>
            </w:pPr>
            <w:r>
              <w:rPr>
                <w:rFonts w:ascii="Arial" w:cs="Arial" w:eastAsia="Arial" w:hAnsi="Arial"/>
                <w:sz w:val="14"/>
                <w:szCs w:val="14"/>
                <w:b w:val="1"/>
                <w:bCs w:val="1"/>
                <w:color w:val="auto"/>
              </w:rPr>
              <w:t>Whittle Schools, LLC</w:t>
            </w:r>
            <w:r>
              <w:rPr>
                <w:rFonts w:ascii="Arial" w:cs="Arial" w:eastAsia="Arial" w:hAnsi="Arial"/>
                <w:sz w:val="23"/>
                <w:szCs w:val="23"/>
                <w:b w:val="1"/>
                <w:bCs w:val="1"/>
                <w:color w:val="auto"/>
                <w:vertAlign w:val="superscript"/>
              </w:rPr>
              <w:t>(2)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3,000,000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3,000,000</w:t>
            </w:r>
          </w:p>
        </w:tc>
        <w:tc>
          <w:tcPr>
            <w:tcW w:w="40" w:type="dxa"/>
            <w:vAlign w:val="bottom"/>
          </w:tcPr>
          <w:p>
            <w:pPr>
              <w:spacing w:after="0"/>
              <w:rPr>
                <w:sz w:val="17"/>
                <w:szCs w:val="17"/>
                <w:color w:val="auto"/>
              </w:rPr>
            </w:pPr>
          </w:p>
        </w:tc>
      </w:tr>
      <w:tr>
        <w:trPr>
          <w:trHeight w:val="20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1,500,000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45,363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(45,363)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1,500,000</w:t>
            </w:r>
          </w:p>
        </w:tc>
        <w:tc>
          <w:tcPr>
            <w:tcW w:w="40" w:type="dxa"/>
            <w:vAlign w:val="bottom"/>
          </w:tcPr>
          <w:p>
            <w:pPr>
              <w:spacing w:after="0"/>
              <w:rPr>
                <w:sz w:val="17"/>
                <w:szCs w:val="17"/>
                <w:color w:val="auto"/>
              </w:rPr>
            </w:pPr>
          </w:p>
        </w:tc>
      </w:tr>
      <w:tr>
        <w:trPr>
          <w:trHeight w:val="162"/>
        </w:trPr>
        <w:tc>
          <w:tcPr>
            <w:tcW w:w="2840" w:type="dxa"/>
            <w:vAlign w:val="bottom"/>
            <w:gridSpan w:val="13"/>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Circle Media (f/k/a. S3 Digital</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060" w:type="dxa"/>
            <w:vAlign w:val="bottom"/>
            <w:tcBorders>
              <w:top w:val="single" w:sz="8" w:color="auto"/>
            </w:tcBorders>
            <w:gridSpan w:val="10"/>
            <w:shd w:val="clear" w:color="auto" w:fill="CCEEFF"/>
          </w:tcPr>
          <w:p>
            <w:pPr>
              <w:ind w:left="180"/>
              <w:spacing w:after="0" w:line="183" w:lineRule="exact"/>
              <w:rPr>
                <w:sz w:val="20"/>
                <w:szCs w:val="20"/>
                <w:color w:val="auto"/>
              </w:rPr>
            </w:pPr>
            <w:r>
              <w:rPr>
                <w:rFonts w:ascii="Arial" w:cs="Arial" w:eastAsia="Arial" w:hAnsi="Arial"/>
                <w:sz w:val="16"/>
                <w:szCs w:val="16"/>
                <w:b w:val="1"/>
                <w:bCs w:val="1"/>
                <w:color w:val="auto"/>
              </w:rPr>
              <w:t>Corp. (d/b/a S3i))</w:t>
            </w:r>
          </w:p>
        </w:tc>
        <w:tc>
          <w:tcPr>
            <w:tcW w:w="760" w:type="dxa"/>
            <w:vAlign w:val="bottom"/>
            <w:tcBorders>
              <w:top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right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1,168,847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507,001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3"/>
              <w:spacing w:after="0"/>
              <w:rPr>
                <w:sz w:val="20"/>
                <w:szCs w:val="20"/>
                <w:color w:val="auto"/>
              </w:rPr>
            </w:pPr>
            <w:r>
              <w:rPr>
                <w:rFonts w:ascii="Arial" w:cs="Arial" w:eastAsia="Arial" w:hAnsi="Arial"/>
                <w:sz w:val="16"/>
                <w:szCs w:val="16"/>
                <w:color w:val="auto"/>
              </w:rPr>
              <w:t>29,158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1,705,006</w:t>
            </w:r>
          </w:p>
        </w:tc>
        <w:tc>
          <w:tcPr>
            <w:tcW w:w="40" w:type="dxa"/>
            <w:vAlign w:val="bottom"/>
          </w:tcPr>
          <w:p>
            <w:pPr>
              <w:spacing w:after="0"/>
              <w:rPr>
                <w:sz w:val="17"/>
                <w:szCs w:val="17"/>
                <w:color w:val="auto"/>
              </w:rPr>
            </w:pPr>
          </w:p>
        </w:tc>
      </w:tr>
      <w:tr>
        <w:trPr>
          <w:trHeight w:val="20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Term Loan, 12%, 09/30/15***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31,423</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250,000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22,871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15,243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288,114</w:t>
            </w:r>
          </w:p>
        </w:tc>
        <w:tc>
          <w:tcPr>
            <w:tcW w:w="40" w:type="dxa"/>
            <w:vAlign w:val="bottom"/>
          </w:tcPr>
          <w:p>
            <w:pPr>
              <w:spacing w:after="0"/>
              <w:rPr>
                <w:sz w:val="17"/>
                <w:szCs w:val="17"/>
                <w:color w:val="auto"/>
              </w:rPr>
            </w:pPr>
          </w:p>
        </w:tc>
      </w:tr>
      <w:tr>
        <w:trPr>
          <w:trHeight w:val="19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Preferred warrants, $1.17 Strike Price,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2820" w:type="dxa"/>
            <w:vAlign w:val="bottom"/>
            <w:gridSpan w:val="12"/>
          </w:tcPr>
          <w:p>
            <w:pPr>
              <w:ind w:left="180"/>
              <w:spacing w:after="0"/>
              <w:rPr>
                <w:sz w:val="20"/>
                <w:szCs w:val="20"/>
                <w:color w:val="auto"/>
              </w:rPr>
            </w:pPr>
            <w:r>
              <w:rPr>
                <w:rFonts w:ascii="Arial" w:cs="Arial" w:eastAsia="Arial" w:hAnsi="Arial"/>
                <w:sz w:val="16"/>
                <w:szCs w:val="16"/>
                <w:color w:val="auto"/>
              </w:rPr>
              <w:t>Expiration Date 08/29/2021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3"/>
              <w:spacing w:after="0"/>
              <w:rPr>
                <w:sz w:val="20"/>
                <w:szCs w:val="20"/>
                <w:color w:val="auto"/>
              </w:rPr>
            </w:pPr>
            <w:r>
              <w:rPr>
                <w:rFonts w:ascii="Arial" w:cs="Arial" w:eastAsia="Arial" w:hAnsi="Arial"/>
                <w:sz w:val="16"/>
                <w:szCs w:val="16"/>
                <w:color w:val="auto"/>
              </w:rPr>
              <w:t>58,019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58,019</w:t>
            </w:r>
          </w:p>
        </w:tc>
        <w:tc>
          <w:tcPr>
            <w:tcW w:w="40" w:type="dxa"/>
            <w:vAlign w:val="bottom"/>
          </w:tcPr>
          <w:p>
            <w:pPr>
              <w:spacing w:after="0"/>
              <w:rPr>
                <w:sz w:val="18"/>
                <w:szCs w:val="18"/>
                <w:color w:val="auto"/>
              </w:rPr>
            </w:pPr>
          </w:p>
        </w:tc>
      </w:tr>
      <w:tr>
        <w:trPr>
          <w:trHeight w:val="196"/>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warrants, $1.17 Strike Price,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2"/>
        </w:trPr>
        <w:tc>
          <w:tcPr>
            <w:tcW w:w="20" w:type="dxa"/>
            <w:vAlign w:val="bottom"/>
            <w:shd w:val="clear" w:color="auto" w:fill="CCEEFF"/>
          </w:tcPr>
          <w:p>
            <w:pPr>
              <w:spacing w:after="0"/>
              <w:rPr>
                <w:sz w:val="18"/>
                <w:szCs w:val="18"/>
                <w:color w:val="auto"/>
              </w:rPr>
            </w:pPr>
          </w:p>
        </w:tc>
        <w:tc>
          <w:tcPr>
            <w:tcW w:w="282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Expiration Date 09/30/2020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64,322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64,322</w:t>
            </w:r>
          </w:p>
        </w:tc>
        <w:tc>
          <w:tcPr>
            <w:tcW w:w="40" w:type="dxa"/>
            <w:vAlign w:val="bottom"/>
          </w:tcPr>
          <w:p>
            <w:pPr>
              <w:spacing w:after="0"/>
              <w:rPr>
                <w:sz w:val="18"/>
                <w:szCs w:val="18"/>
                <w:color w:val="auto"/>
              </w:rPr>
            </w:pPr>
          </w:p>
        </w:tc>
      </w:tr>
      <w:tr>
        <w:trPr>
          <w:trHeight w:val="19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Preferred warrants, $1.16 Strike Price,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2820" w:type="dxa"/>
            <w:vAlign w:val="bottom"/>
            <w:gridSpan w:val="12"/>
          </w:tcPr>
          <w:p>
            <w:pPr>
              <w:ind w:left="180"/>
              <w:spacing w:after="0"/>
              <w:rPr>
                <w:sz w:val="20"/>
                <w:szCs w:val="20"/>
                <w:color w:val="auto"/>
              </w:rPr>
            </w:pPr>
            <w:r>
              <w:rPr>
                <w:rFonts w:ascii="Arial" w:cs="Arial" w:eastAsia="Arial" w:hAnsi="Arial"/>
                <w:sz w:val="16"/>
                <w:szCs w:val="16"/>
                <w:color w:val="auto"/>
              </w:rPr>
              <w:t>Expiration Date 6/26/2021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3"/>
              <w:spacing w:after="0"/>
              <w:rPr>
                <w:sz w:val="20"/>
                <w:szCs w:val="20"/>
                <w:color w:val="auto"/>
              </w:rPr>
            </w:pPr>
            <w:r>
              <w:rPr>
                <w:rFonts w:ascii="Arial" w:cs="Arial" w:eastAsia="Arial" w:hAnsi="Arial"/>
                <w:sz w:val="16"/>
                <w:szCs w:val="16"/>
                <w:color w:val="auto"/>
              </w:rPr>
              <w:t>12,736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12,736</w:t>
            </w:r>
          </w:p>
        </w:tc>
        <w:tc>
          <w:tcPr>
            <w:tcW w:w="40" w:type="dxa"/>
            <w:vAlign w:val="bottom"/>
          </w:tcPr>
          <w:p>
            <w:pPr>
              <w:spacing w:after="0"/>
              <w:rPr>
                <w:sz w:val="18"/>
                <w:szCs w:val="18"/>
                <w:color w:val="auto"/>
              </w:rPr>
            </w:pPr>
          </w:p>
        </w:tc>
      </w:tr>
      <w:tr>
        <w:trPr>
          <w:trHeight w:val="196"/>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warrants, $1.00 Strike Price,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2"/>
        </w:trPr>
        <w:tc>
          <w:tcPr>
            <w:tcW w:w="20" w:type="dxa"/>
            <w:vAlign w:val="bottom"/>
            <w:shd w:val="clear" w:color="auto" w:fill="CCEEFF"/>
          </w:tcPr>
          <w:p>
            <w:pPr>
              <w:spacing w:after="0"/>
              <w:rPr>
                <w:sz w:val="18"/>
                <w:szCs w:val="18"/>
                <w:color w:val="auto"/>
              </w:rPr>
            </w:pPr>
          </w:p>
        </w:tc>
        <w:tc>
          <w:tcPr>
            <w:tcW w:w="282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Expiration Date 11/21/2017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150,000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15,000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165,000</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-2228850</wp:posOffset>
            </wp:positionV>
            <wp:extent cx="5188585" cy="1460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88585" cy="14605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8" w:name="page69"/>
    <w:bookmarkEnd w:id="6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12-14</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of Investments in and Advances to Affiliates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8858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Amount of</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Interest, Fees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or Dividends</w:t>
            </w:r>
          </w:p>
        </w:tc>
        <w:tc>
          <w:tcPr>
            <w:tcW w:w="4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Realized and</w:t>
            </w:r>
          </w:p>
        </w:tc>
        <w:tc>
          <w:tcPr>
            <w:tcW w:w="6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Credited in</w:t>
            </w:r>
          </w:p>
        </w:tc>
        <w:tc>
          <w:tcPr>
            <w:tcW w:w="4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6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840" w:type="dxa"/>
            <w:vAlign w:val="bottom"/>
            <w:gridSpan w:val="13"/>
          </w:tcPr>
          <w:p>
            <w:pPr>
              <w:ind w:left="20"/>
              <w:spacing w:after="0"/>
              <w:rPr>
                <w:sz w:val="20"/>
                <w:szCs w:val="20"/>
                <w:color w:val="auto"/>
              </w:rPr>
            </w:pPr>
            <w:r>
              <w:rPr>
                <w:rFonts w:ascii="Arial" w:cs="Arial" w:eastAsia="Arial" w:hAnsi="Arial"/>
                <w:sz w:val="14"/>
                <w:szCs w:val="14"/>
                <w:b w:val="1"/>
                <w:bCs w:val="1"/>
                <w:color w:val="auto"/>
              </w:rPr>
              <w:t>Portfolio Company/Type of Investment*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Income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2013</w:t>
            </w:r>
          </w:p>
        </w:tc>
        <w:tc>
          <w:tcPr>
            <w:tcW w:w="40" w:type="dxa"/>
            <w:vAlign w:val="bottom"/>
          </w:tcPr>
          <w:p>
            <w:pPr>
              <w:spacing w:after="0"/>
              <w:rPr>
                <w:sz w:val="14"/>
                <w:szCs w:val="14"/>
                <w:color w:val="auto"/>
              </w:rPr>
            </w:pPr>
          </w:p>
        </w:tc>
        <w:tc>
          <w:tcPr>
            <w:tcW w:w="780" w:type="dxa"/>
            <w:vAlign w:val="bottom"/>
          </w:tcPr>
          <w:p>
            <w:pPr>
              <w:jc w:val="right"/>
              <w:ind w:right="20"/>
              <w:spacing w:after="0"/>
              <w:rPr>
                <w:sz w:val="20"/>
                <w:szCs w:val="20"/>
                <w:color w:val="auto"/>
              </w:rPr>
            </w:pPr>
            <w:r>
              <w:rPr>
                <w:rFonts w:ascii="Arial" w:cs="Arial" w:eastAsia="Arial" w:hAnsi="Arial"/>
                <w:sz w:val="14"/>
                <w:szCs w:val="14"/>
                <w:b w:val="1"/>
                <w:bCs w:val="1"/>
                <w:color w:val="auto"/>
                <w:w w:val="93"/>
              </w:rPr>
              <w:t>Purchases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79"/>
              <w:spacing w:after="0"/>
              <w:rPr>
                <w:sz w:val="20"/>
                <w:szCs w:val="20"/>
                <w:color w:val="auto"/>
              </w:rPr>
            </w:pPr>
            <w:r>
              <w:rPr>
                <w:rFonts w:ascii="Arial" w:cs="Arial" w:eastAsia="Arial" w:hAnsi="Arial"/>
                <w:sz w:val="14"/>
                <w:szCs w:val="14"/>
                <w:b w:val="1"/>
                <w:bCs w:val="1"/>
                <w:color w:val="auto"/>
              </w:rPr>
              <w:t>Sales</w:t>
            </w:r>
          </w:p>
        </w:tc>
        <w:tc>
          <w:tcPr>
            <w:tcW w:w="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1"/>
              </w:rPr>
              <w:t>Gains/Losses</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40" w:type="dxa"/>
            <w:vAlign w:val="bottom"/>
            <w:tcBorders>
              <w:top w:val="single" w:sz="8" w:color="auto"/>
            </w:tcBorders>
            <w:gridSpan w:val="13"/>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CUX, Inc. (d/b/a CorpU)</w:t>
            </w:r>
          </w:p>
        </w:tc>
        <w:tc>
          <w:tcPr>
            <w:tcW w:w="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Convertible preferred shares, Series C</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 $2,006,077</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
              <w:spacing w:after="0"/>
              <w:rPr>
                <w:sz w:val="20"/>
                <w:szCs w:val="20"/>
                <w:color w:val="auto"/>
              </w:rPr>
            </w:pPr>
            <w:r>
              <w:rPr>
                <w:rFonts w:ascii="Arial" w:cs="Arial" w:eastAsia="Arial" w:hAnsi="Arial"/>
                <w:sz w:val="16"/>
                <w:szCs w:val="16"/>
                <w:color w:val="auto"/>
              </w:rPr>
              <w:t>$  286,505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$ 2,292,582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Senior Subordinated Convertible</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82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Promissory Note 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0" w:type="dxa"/>
            <w:vAlign w:val="bottom"/>
            <w:shd w:val="clear" w:color="auto" w:fill="CCEEFF"/>
          </w:tcPr>
          <w:p>
            <w:pPr>
              <w:spacing w:after="0"/>
              <w:rPr>
                <w:sz w:val="22"/>
                <w:szCs w:val="22"/>
                <w:color w:val="auto"/>
              </w:rPr>
            </w:pPr>
          </w:p>
        </w:tc>
        <w:tc>
          <w:tcPr>
            <w:tcW w:w="2820" w:type="dxa"/>
            <w:vAlign w:val="bottom"/>
            <w:gridSpan w:val="12"/>
            <w:shd w:val="clear" w:color="auto" w:fill="CCEEFF"/>
          </w:tcPr>
          <w:p>
            <w:pPr>
              <w:ind w:left="180"/>
              <w:spacing w:after="0" w:line="254" w:lineRule="exact"/>
              <w:rPr>
                <w:sz w:val="20"/>
                <w:szCs w:val="20"/>
                <w:color w:val="auto"/>
              </w:rPr>
            </w:pPr>
            <w:r>
              <w:rPr>
                <w:rFonts w:ascii="Arial" w:cs="Arial" w:eastAsia="Arial" w:hAnsi="Arial"/>
                <w:sz w:val="16"/>
                <w:szCs w:val="16"/>
                <w:color w:val="auto"/>
              </w:rPr>
              <w:t>Due 11/26/2018***</w:t>
            </w:r>
            <w:r>
              <w:rPr>
                <w:rFonts w:ascii="Arial" w:cs="Arial" w:eastAsia="Arial" w:hAnsi="Arial"/>
                <w:sz w:val="27"/>
                <w:szCs w:val="27"/>
                <w:color w:val="auto"/>
                <w:vertAlign w:val="superscript"/>
              </w:rPr>
              <w:t>(6)</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7,890</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7,671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1,007,671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Convertible preferred shares, Series 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697,041</w:t>
            </w:r>
          </w:p>
        </w:tc>
        <w:tc>
          <w:tcPr>
            <w:tcW w:w="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
              <w:spacing w:after="0"/>
              <w:rPr>
                <w:sz w:val="20"/>
                <w:szCs w:val="20"/>
                <w:color w:val="auto"/>
              </w:rPr>
            </w:pPr>
            <w:r>
              <w:rPr>
                <w:rFonts w:ascii="Arial" w:cs="Arial" w:eastAsia="Arial" w:hAnsi="Arial"/>
                <w:sz w:val="16"/>
                <w:szCs w:val="16"/>
                <w:color w:val="auto"/>
              </w:rPr>
              <w:t>19,025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716,066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warrants, $4.59 Strike Price,</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82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Expiration Date 02/25/2018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12,508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40" w:type="dxa"/>
            <w:vAlign w:val="bottom"/>
            <w:gridSpan w:val="13"/>
          </w:tcPr>
          <w:p>
            <w:pPr>
              <w:ind w:left="20"/>
              <w:spacing w:after="0" w:line="202" w:lineRule="exact"/>
              <w:rPr>
                <w:sz w:val="20"/>
                <w:szCs w:val="20"/>
                <w:color w:val="auto"/>
              </w:rPr>
            </w:pPr>
            <w:r>
              <w:rPr>
                <w:rFonts w:ascii="Arial" w:cs="Arial" w:eastAsia="Arial" w:hAnsi="Arial"/>
                <w:sz w:val="14"/>
                <w:szCs w:val="14"/>
                <w:b w:val="1"/>
                <w:bCs w:val="1"/>
                <w:color w:val="auto"/>
              </w:rPr>
              <w:t>Cricket Media (f/k/a ePals Inc.)**</w:t>
            </w:r>
            <w:r>
              <w:rPr>
                <w:rFonts w:ascii="Arial" w:cs="Arial" w:eastAsia="Arial" w:hAnsi="Arial"/>
                <w:sz w:val="23"/>
                <w:szCs w:val="23"/>
                <w:b w:val="1"/>
                <w:bCs w:val="1"/>
                <w:color w:val="auto"/>
                <w:vertAlign w:val="superscript"/>
              </w:rPr>
              <w:t>(4)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4,199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(1,373,073)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331,126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40" w:type="dxa"/>
            <w:vAlign w:val="bottom"/>
            <w:gridSpan w:val="13"/>
          </w:tcPr>
          <w:p>
            <w:pPr>
              <w:ind w:left="20"/>
              <w:spacing w:after="0" w:line="162" w:lineRule="exact"/>
              <w:rPr>
                <w:sz w:val="20"/>
                <w:szCs w:val="20"/>
                <w:color w:val="auto"/>
              </w:rPr>
            </w:pPr>
            <w:r>
              <w:rPr>
                <w:rFonts w:ascii="Arial" w:cs="Arial" w:eastAsia="Arial" w:hAnsi="Arial"/>
                <w:sz w:val="16"/>
                <w:szCs w:val="16"/>
                <w:b w:val="1"/>
                <w:bCs w:val="1"/>
                <w:color w:val="auto"/>
              </w:rPr>
              <w:t>Curious.com Inc.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10,000,003</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(3,692)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9,996,311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40" w:type="dxa"/>
            <w:vAlign w:val="bottom"/>
            <w:gridSpan w:val="13"/>
          </w:tcPr>
          <w:p>
            <w:pPr>
              <w:ind w:left="20"/>
              <w:spacing w:after="0" w:line="162" w:lineRule="exact"/>
              <w:rPr>
                <w:sz w:val="20"/>
                <w:szCs w:val="20"/>
                <w:color w:val="auto"/>
              </w:rPr>
            </w:pPr>
            <w:r>
              <w:rPr>
                <w:rFonts w:ascii="Arial" w:cs="Arial" w:eastAsia="Arial" w:hAnsi="Arial"/>
                <w:sz w:val="16"/>
                <w:szCs w:val="16"/>
                <w:b w:val="1"/>
                <w:bCs w:val="1"/>
                <w:color w:val="auto"/>
              </w:rPr>
              <w:t>Dailybreak, Inc.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1,211,393</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(1,211,393)</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426,254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(426,254)</w:t>
            </w: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40" w:type="dxa"/>
            <w:vAlign w:val="bottom"/>
            <w:gridSpan w:val="13"/>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Declara, Inc.</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9,999,999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
              <w:spacing w:after="0"/>
              <w:rPr>
                <w:sz w:val="20"/>
                <w:szCs w:val="20"/>
                <w:color w:val="auto"/>
              </w:rPr>
            </w:pPr>
            <w:r>
              <w:rPr>
                <w:rFonts w:ascii="Arial" w:cs="Arial" w:eastAsia="Arial" w:hAnsi="Arial"/>
                <w:sz w:val="16"/>
                <w:szCs w:val="16"/>
                <w:color w:val="auto"/>
              </w:rPr>
              <w:t>19,826</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10,019,825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40" w:type="dxa"/>
            <w:vAlign w:val="bottom"/>
            <w:gridSpan w:val="13"/>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EdSurge, Inc.</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500,801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
              <w:spacing w:after="0"/>
              <w:rPr>
                <w:sz w:val="20"/>
                <w:szCs w:val="20"/>
                <w:color w:val="auto"/>
              </w:rPr>
            </w:pPr>
            <w:r>
              <w:rPr>
                <w:rFonts w:ascii="Arial" w:cs="Arial" w:eastAsia="Arial" w:hAnsi="Arial"/>
                <w:sz w:val="16"/>
                <w:szCs w:val="16"/>
                <w:color w:val="auto"/>
              </w:rPr>
              <w:t>4,527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505,328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40" w:type="dxa"/>
            <w:vAlign w:val="bottom"/>
            <w:gridSpan w:val="13"/>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Fullbridge, Inc.</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C</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3,114,120</w:t>
            </w:r>
          </w:p>
        </w:tc>
        <w:tc>
          <w:tcPr>
            <w:tcW w:w="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(1,489,119)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1,625,001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D</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2,956,022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155,692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3,111,714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Common warrants, $0.91 Strike Price,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gridSpan w:val="12"/>
          </w:tcPr>
          <w:p>
            <w:pPr>
              <w:ind w:left="180"/>
              <w:spacing w:after="0"/>
              <w:rPr>
                <w:sz w:val="20"/>
                <w:szCs w:val="20"/>
                <w:color w:val="auto"/>
              </w:rPr>
            </w:pPr>
            <w:r>
              <w:rPr>
                <w:rFonts w:ascii="Arial" w:cs="Arial" w:eastAsia="Arial" w:hAnsi="Arial"/>
                <w:sz w:val="16"/>
                <w:szCs w:val="16"/>
                <w:color w:val="auto"/>
              </w:rPr>
              <w:t>Expiration Date 3/22/2020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126,362</w:t>
            </w: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(124,500)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1,862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Common warrants, $0.91 Strike Price,</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82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Expiration Date 12/11/2018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824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Common warrants, $0.91 Strike Price,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gridSpan w:val="12"/>
          </w:tcPr>
          <w:p>
            <w:pPr>
              <w:ind w:left="180"/>
              <w:spacing w:after="0"/>
              <w:rPr>
                <w:sz w:val="20"/>
                <w:szCs w:val="20"/>
                <w:color w:val="auto"/>
              </w:rPr>
            </w:pPr>
            <w:r>
              <w:rPr>
                <w:rFonts w:ascii="Arial" w:cs="Arial" w:eastAsia="Arial" w:hAnsi="Arial"/>
                <w:sz w:val="16"/>
                <w:szCs w:val="16"/>
                <w:color w:val="auto"/>
              </w:rPr>
              <w:t>Expiration Date 12/11/2018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50,970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(46,849)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Common warrants, $0.91 Strike Price,</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82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Expiration Date 5/16/2019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23,244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(21,321)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Common warrants, $0.91 Strike Price,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gridSpan w:val="12"/>
          </w:tcPr>
          <w:p>
            <w:pPr>
              <w:ind w:left="180"/>
              <w:spacing w:after="0"/>
              <w:rPr>
                <w:sz w:val="20"/>
                <w:szCs w:val="20"/>
                <w:color w:val="auto"/>
              </w:rPr>
            </w:pPr>
            <w:r>
              <w:rPr>
                <w:rFonts w:ascii="Arial" w:cs="Arial" w:eastAsia="Arial" w:hAnsi="Arial"/>
                <w:sz w:val="16"/>
                <w:szCs w:val="16"/>
                <w:color w:val="auto"/>
              </w:rPr>
              <w:t>Expiration Date 3/22/2020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85,779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(78,636)</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Common warrants, $0.91 Strike Price,</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82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Expiration Date 10/09/2018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824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840" w:type="dxa"/>
            <w:vAlign w:val="bottom"/>
            <w:gridSpan w:val="13"/>
          </w:tcPr>
          <w:p>
            <w:pPr>
              <w:ind w:left="20"/>
              <w:spacing w:after="0"/>
              <w:rPr>
                <w:sz w:val="20"/>
                <w:szCs w:val="20"/>
                <w:color w:val="auto"/>
              </w:rPr>
            </w:pPr>
            <w:r>
              <w:rPr>
                <w:rFonts w:ascii="Arial" w:cs="Arial" w:eastAsia="Arial" w:hAnsi="Arial"/>
                <w:sz w:val="16"/>
                <w:szCs w:val="16"/>
                <w:color w:val="auto"/>
                <w:w w:val="92"/>
              </w:rPr>
              <w:t>Convertible Promissory Note, 10% Interest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20" w:type="dxa"/>
            <w:vAlign w:val="bottom"/>
            <w:gridSpan w:val="12"/>
          </w:tcPr>
          <w:p>
            <w:pPr>
              <w:ind w:left="180"/>
              <w:spacing w:after="0"/>
              <w:rPr>
                <w:sz w:val="20"/>
                <w:szCs w:val="20"/>
                <w:color w:val="auto"/>
              </w:rPr>
            </w:pPr>
            <w:r>
              <w:rPr>
                <w:rFonts w:ascii="Arial" w:cs="Arial" w:eastAsia="Arial" w:hAnsi="Arial"/>
                <w:sz w:val="16"/>
                <w:szCs w:val="16"/>
                <w:color w:val="auto"/>
              </w:rPr>
              <w:t>rate, February 16, 2015***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80,620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1,813,904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w w:val="87"/>
              </w:rPr>
              <w:t>1,813,904</w:t>
            </w:r>
          </w:p>
        </w:tc>
        <w:tc>
          <w:tcPr>
            <w:tcW w:w="6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Term Loan, 10%, 3/31/14***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(250,000)</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Term Loan, 10%, 3/31/14***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3,346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250,000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9"/>
              </w:rPr>
              <w:t>(250,000)</w:t>
            </w:r>
          </w:p>
        </w:tc>
        <w:tc>
          <w:tcPr>
            <w:tcW w:w="6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40" w:type="dxa"/>
            <w:vAlign w:val="bottom"/>
            <w:gridSpan w:val="13"/>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Global Education</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40" w:type="dxa"/>
            <w:vAlign w:val="bottom"/>
            <w:gridSpan w:val="13"/>
          </w:tcPr>
          <w:p>
            <w:pPr>
              <w:ind w:left="20"/>
              <w:spacing w:after="0" w:line="162" w:lineRule="exact"/>
              <w:rPr>
                <w:sz w:val="20"/>
                <w:szCs w:val="20"/>
                <w:color w:val="auto"/>
              </w:rPr>
            </w:pPr>
            <w:r>
              <w:rPr>
                <w:rFonts w:ascii="Arial" w:cs="Arial" w:eastAsia="Arial" w:hAnsi="Arial"/>
                <w:sz w:val="16"/>
                <w:szCs w:val="16"/>
                <w:b w:val="1"/>
                <w:bCs w:val="1"/>
                <w:color w:val="auto"/>
              </w:rPr>
              <w:t>Learning (Holdings) Ltd.**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4,338,009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(342,886)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3,995,221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40" w:type="dxa"/>
            <w:vAlign w:val="bottom"/>
            <w:gridSpan w:val="13"/>
          </w:tcPr>
          <w:p>
            <w:pPr>
              <w:ind w:left="20"/>
              <w:spacing w:after="0" w:line="162" w:lineRule="exact"/>
              <w:rPr>
                <w:sz w:val="20"/>
                <w:szCs w:val="20"/>
                <w:color w:val="auto"/>
              </w:rPr>
            </w:pPr>
            <w:r>
              <w:rPr>
                <w:rFonts w:ascii="Arial" w:cs="Arial" w:eastAsia="Arial" w:hAnsi="Arial"/>
                <w:sz w:val="16"/>
                <w:szCs w:val="16"/>
                <w:b w:val="1"/>
                <w:bCs w:val="1"/>
                <w:color w:val="auto"/>
              </w:rPr>
              <w:t>Learnist Inc. (f/k/a Grockit, Inc.)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D</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2,073,472</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245,542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2,319,014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1,499,999</w:t>
            </w:r>
          </w:p>
        </w:tc>
        <w:tc>
          <w:tcPr>
            <w:tcW w:w="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
              <w:spacing w:after="0"/>
              <w:rPr>
                <w:sz w:val="20"/>
                <w:szCs w:val="20"/>
                <w:color w:val="auto"/>
              </w:rPr>
            </w:pPr>
            <w:r>
              <w:rPr>
                <w:rFonts w:ascii="Arial" w:cs="Arial" w:eastAsia="Arial" w:hAnsi="Arial"/>
                <w:sz w:val="16"/>
                <w:szCs w:val="16"/>
                <w:color w:val="auto"/>
              </w:rPr>
              <w:t>110,297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1,610,296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F</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1,450,000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40" w:type="dxa"/>
            <w:vAlign w:val="bottom"/>
            <w:gridSpan w:val="13"/>
          </w:tcPr>
          <w:p>
            <w:pPr>
              <w:ind w:left="20"/>
              <w:spacing w:after="0" w:line="162" w:lineRule="exact"/>
              <w:rPr>
                <w:sz w:val="20"/>
                <w:szCs w:val="20"/>
                <w:color w:val="auto"/>
              </w:rPr>
            </w:pPr>
            <w:r>
              <w:rPr>
                <w:rFonts w:ascii="Arial" w:cs="Arial" w:eastAsia="Arial" w:hAnsi="Arial"/>
                <w:sz w:val="16"/>
                <w:szCs w:val="16"/>
                <w:b w:val="1"/>
                <w:bCs w:val="1"/>
                <w:color w:val="auto"/>
              </w:rPr>
              <w:t>Maven Research, Inc.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1,999,998</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1,999,998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B</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249,505</w:t>
            </w:r>
          </w:p>
        </w:tc>
        <w:tc>
          <w:tcPr>
            <w:tcW w:w="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
              <w:spacing w:after="0"/>
              <w:rPr>
                <w:sz w:val="20"/>
                <w:szCs w:val="20"/>
                <w:color w:val="auto"/>
              </w:rPr>
            </w:pPr>
            <w:r>
              <w:rPr>
                <w:rFonts w:ascii="Arial" w:cs="Arial" w:eastAsia="Arial" w:hAnsi="Arial"/>
                <w:sz w:val="16"/>
                <w:szCs w:val="16"/>
                <w:color w:val="auto"/>
              </w:rPr>
              <w:t>186</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249,691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9" w:name="page70"/>
    <w:bookmarkEnd w:id="6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12-14</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of Investments in and Advances to Affiliates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8858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63"/>
              <w:spacing w:after="0"/>
              <w:rPr>
                <w:sz w:val="20"/>
                <w:szCs w:val="20"/>
                <w:color w:val="auto"/>
              </w:rPr>
            </w:pPr>
            <w:r>
              <w:rPr>
                <w:rFonts w:ascii="Arial" w:cs="Arial" w:eastAsia="Arial" w:hAnsi="Arial"/>
                <w:sz w:val="14"/>
                <w:szCs w:val="14"/>
                <w:b w:val="1"/>
                <w:bCs w:val="1"/>
                <w:color w:val="auto"/>
                <w:w w:val="88"/>
              </w:rPr>
              <w:t>Amount of</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Interest, Fees</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or Dividends</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Realized and</w:t>
            </w:r>
          </w:p>
        </w:tc>
        <w:tc>
          <w:tcPr>
            <w:tcW w:w="9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Fair Value at</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87"/>
              </w:rPr>
              <w:t>Credited in</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Unrealized</w:t>
            </w: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290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rPr>
              <w:t>Portfolio Company/Type of Investment*</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3"/>
              </w:rPr>
              <w:t>2013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Purchases</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Gains/Losses</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2014</w:t>
            </w:r>
          </w:p>
        </w:tc>
        <w:tc>
          <w:tcPr>
            <w:tcW w:w="40" w:type="dxa"/>
            <w:vAlign w:val="bottom"/>
          </w:tcPr>
          <w:p>
            <w:pPr>
              <w:spacing w:after="0"/>
              <w:rPr>
                <w:sz w:val="14"/>
                <w:szCs w:val="14"/>
                <w:color w:val="auto"/>
              </w:rPr>
            </w:pPr>
          </w:p>
        </w:tc>
      </w:tr>
      <w:tr>
        <w:trPr>
          <w:trHeight w:val="156"/>
        </w:trPr>
        <w:tc>
          <w:tcPr>
            <w:tcW w:w="2900" w:type="dxa"/>
            <w:vAlign w:val="bottom"/>
            <w:tcBorders>
              <w:right w:val="single" w:sz="8" w:color="CCEEFF"/>
            </w:tcBorders>
            <w:gridSpan w:val="9"/>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Ozy Media, Inc.</w:t>
            </w:r>
          </w:p>
        </w:tc>
        <w:tc>
          <w:tcPr>
            <w:tcW w:w="10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900" w:type="dxa"/>
            <w:vAlign w:val="bottom"/>
            <w:gridSpan w:val="9"/>
          </w:tcPr>
          <w:p>
            <w:pPr>
              <w:ind w:left="20"/>
              <w:spacing w:after="0"/>
              <w:rPr>
                <w:sz w:val="20"/>
                <w:szCs w:val="20"/>
                <w:color w:val="auto"/>
              </w:rPr>
            </w:pPr>
            <w:r>
              <w:rPr>
                <w:rFonts w:ascii="Arial" w:cs="Arial" w:eastAsia="Arial" w:hAnsi="Arial"/>
                <w:sz w:val="16"/>
                <w:szCs w:val="16"/>
                <w:color w:val="auto"/>
              </w:rPr>
              <w:t>Preferred shares, Series B</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89"/>
              </w:rPr>
              <w:t>$4,999,999</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ind w:left="24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4,999,999</w:t>
            </w:r>
          </w:p>
        </w:tc>
        <w:tc>
          <w:tcPr>
            <w:tcW w:w="40" w:type="dxa"/>
            <w:vAlign w:val="bottom"/>
          </w:tcPr>
          <w:p>
            <w:pPr>
              <w:spacing w:after="0"/>
              <w:rPr>
                <w:sz w:val="17"/>
                <w:szCs w:val="17"/>
                <w:color w:val="auto"/>
              </w:rPr>
            </w:pPr>
          </w:p>
        </w:tc>
      </w:tr>
      <w:tr>
        <w:trPr>
          <w:trHeight w:val="203"/>
        </w:trPr>
        <w:tc>
          <w:tcPr>
            <w:tcW w:w="2900" w:type="dxa"/>
            <w:vAlign w:val="bottom"/>
            <w:tcBorders>
              <w:right w:val="single" w:sz="8" w:color="CCEEFF"/>
            </w:tcBorders>
            <w:gridSpan w:val="9"/>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8"/>
              </w:rPr>
              <w:t>3,000,000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95"/>
              </w:rPr>
              <w:t>1,164,891</w:t>
            </w: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4,165,091</w:t>
            </w:r>
          </w:p>
        </w:tc>
        <w:tc>
          <w:tcPr>
            <w:tcW w:w="40" w:type="dxa"/>
            <w:vAlign w:val="bottom"/>
          </w:tcPr>
          <w:p>
            <w:pPr>
              <w:spacing w:after="0"/>
              <w:rPr>
                <w:sz w:val="17"/>
                <w:szCs w:val="17"/>
                <w:color w:val="auto"/>
              </w:rPr>
            </w:pPr>
          </w:p>
        </w:tc>
      </w:tr>
      <w:tr>
        <w:trPr>
          <w:trHeight w:val="203"/>
        </w:trPr>
        <w:tc>
          <w:tcPr>
            <w:tcW w:w="2900" w:type="dxa"/>
            <w:vAlign w:val="bottom"/>
            <w:gridSpan w:val="9"/>
          </w:tcPr>
          <w:p>
            <w:pPr>
              <w:ind w:left="20"/>
              <w:spacing w:after="0"/>
              <w:rPr>
                <w:sz w:val="20"/>
                <w:szCs w:val="20"/>
                <w:color w:val="auto"/>
              </w:rPr>
            </w:pPr>
            <w:r>
              <w:rPr>
                <w:rFonts w:ascii="Arial" w:cs="Arial" w:eastAsia="Arial" w:hAnsi="Arial"/>
                <w:sz w:val="16"/>
                <w:szCs w:val="16"/>
                <w:color w:val="auto"/>
              </w:rPr>
              <w:t>Preferred shares, Series Seed</w:t>
            </w:r>
          </w:p>
        </w:tc>
        <w:tc>
          <w:tcPr>
            <w:tcW w:w="100" w:type="dxa"/>
            <w:vAlign w:val="bottom"/>
          </w:tcPr>
          <w:p>
            <w:pPr>
              <w:spacing w:after="0"/>
              <w:rPr>
                <w:sz w:val="17"/>
                <w:szCs w:val="17"/>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865,000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ind w:lef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708,000</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1,573,000</w:t>
            </w:r>
          </w:p>
        </w:tc>
        <w:tc>
          <w:tcPr>
            <w:tcW w:w="40" w:type="dxa"/>
            <w:vAlign w:val="bottom"/>
          </w:tcPr>
          <w:p>
            <w:pPr>
              <w:spacing w:after="0"/>
              <w:rPr>
                <w:sz w:val="17"/>
                <w:szCs w:val="17"/>
                <w:color w:val="auto"/>
              </w:rPr>
            </w:pPr>
          </w:p>
        </w:tc>
      </w:tr>
      <w:tr>
        <w:trPr>
          <w:trHeight w:val="162"/>
        </w:trPr>
        <w:tc>
          <w:tcPr>
            <w:tcW w:w="2900" w:type="dxa"/>
            <w:vAlign w:val="bottom"/>
            <w:tcBorders>
              <w:right w:val="single" w:sz="8" w:color="CCEEFF"/>
            </w:tcBorders>
            <w:gridSpan w:val="9"/>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PayNearMe, Inc.</w:t>
            </w:r>
          </w:p>
        </w:tc>
        <w:tc>
          <w:tcPr>
            <w:tcW w:w="1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900" w:type="dxa"/>
            <w:vAlign w:val="bottom"/>
            <w:gridSpan w:val="9"/>
          </w:tcPr>
          <w:p>
            <w:pPr>
              <w:ind w:left="20"/>
              <w:spacing w:after="0"/>
              <w:rPr>
                <w:sz w:val="20"/>
                <w:szCs w:val="20"/>
                <w:color w:val="auto"/>
              </w:rPr>
            </w:pPr>
            <w:r>
              <w:rPr>
                <w:rFonts w:ascii="Arial" w:cs="Arial" w:eastAsia="Arial" w:hAnsi="Arial"/>
                <w:sz w:val="16"/>
                <w:szCs w:val="16"/>
                <w:color w:val="auto"/>
              </w:rPr>
              <w:t>Preferred shares, Series E</w:t>
            </w:r>
          </w:p>
        </w:tc>
        <w:tc>
          <w:tcPr>
            <w:tcW w:w="100" w:type="dxa"/>
            <w:vAlign w:val="bottom"/>
          </w:tcPr>
          <w:p>
            <w:pPr>
              <w:spacing w:after="0"/>
              <w:rPr>
                <w:sz w:val="17"/>
                <w:szCs w:val="17"/>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87"/>
              </w:rPr>
              <w:t>10,000,000</w:t>
            </w:r>
          </w:p>
        </w:tc>
        <w:tc>
          <w:tcPr>
            <w:tcW w:w="780" w:type="dxa"/>
            <w:vAlign w:val="bottom"/>
          </w:tcPr>
          <w:p>
            <w:pPr>
              <w:jc w:val="right"/>
              <w:spacing w:after="0"/>
              <w:rPr>
                <w:sz w:val="20"/>
                <w:szCs w:val="20"/>
                <w:color w:val="auto"/>
              </w:rPr>
            </w:pPr>
            <w:r>
              <w:rPr>
                <w:rFonts w:ascii="Arial" w:cs="Arial" w:eastAsia="Arial" w:hAnsi="Arial"/>
                <w:sz w:val="16"/>
                <w:szCs w:val="16"/>
                <w:color w:val="auto"/>
              </w:rPr>
              <w:t>400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ind w:lef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(18,336)</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9,982,064</w:t>
            </w:r>
          </w:p>
        </w:tc>
        <w:tc>
          <w:tcPr>
            <w:tcW w:w="40" w:type="dxa"/>
            <w:vAlign w:val="bottom"/>
          </w:tcPr>
          <w:p>
            <w:pPr>
              <w:spacing w:after="0"/>
              <w:rPr>
                <w:sz w:val="17"/>
                <w:szCs w:val="17"/>
                <w:color w:val="auto"/>
              </w:rPr>
            </w:pPr>
          </w:p>
        </w:tc>
      </w:tr>
      <w:tr>
        <w:trPr>
          <w:trHeight w:val="162"/>
        </w:trPr>
        <w:tc>
          <w:tcPr>
            <w:tcW w:w="2900" w:type="dxa"/>
            <w:vAlign w:val="bottom"/>
            <w:tcBorders>
              <w:right w:val="single" w:sz="8" w:color="CCEEFF"/>
            </w:tcBorders>
            <w:gridSpan w:val="9"/>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The rSmart Group, Inc.</w:t>
            </w:r>
          </w:p>
        </w:tc>
        <w:tc>
          <w:tcPr>
            <w:tcW w:w="1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900" w:type="dxa"/>
            <w:vAlign w:val="bottom"/>
            <w:gridSpan w:val="9"/>
          </w:tcPr>
          <w:p>
            <w:pPr>
              <w:ind w:left="20"/>
              <w:spacing w:after="0"/>
              <w:rPr>
                <w:sz w:val="20"/>
                <w:szCs w:val="20"/>
                <w:color w:val="auto"/>
              </w:rPr>
            </w:pPr>
            <w:r>
              <w:rPr>
                <w:rFonts w:ascii="Arial" w:cs="Arial" w:eastAsia="Arial" w:hAnsi="Arial"/>
                <w:sz w:val="16"/>
                <w:szCs w:val="16"/>
                <w:color w:val="auto"/>
              </w:rPr>
              <w:t>Preferred shares, Series B</w:t>
            </w:r>
          </w:p>
        </w:tc>
        <w:tc>
          <w:tcPr>
            <w:tcW w:w="100" w:type="dxa"/>
            <w:vAlign w:val="bottom"/>
          </w:tcPr>
          <w:p>
            <w:pPr>
              <w:spacing w:after="0"/>
              <w:rPr>
                <w:sz w:val="17"/>
                <w:szCs w:val="17"/>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857,302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ind w:lef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(664,716)</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192,586</w:t>
            </w:r>
          </w:p>
        </w:tc>
        <w:tc>
          <w:tcPr>
            <w:tcW w:w="40" w:type="dxa"/>
            <w:vAlign w:val="bottom"/>
          </w:tcPr>
          <w:p>
            <w:pPr>
              <w:spacing w:after="0"/>
              <w:rPr>
                <w:sz w:val="17"/>
                <w:szCs w:val="17"/>
                <w:color w:val="auto"/>
              </w:rPr>
            </w:pPr>
          </w:p>
        </w:tc>
      </w:tr>
      <w:tr>
        <w:trPr>
          <w:trHeight w:val="203"/>
        </w:trPr>
        <w:tc>
          <w:tcPr>
            <w:tcW w:w="2900" w:type="dxa"/>
            <w:vAlign w:val="bottom"/>
            <w:tcBorders>
              <w:right w:val="single" w:sz="8" w:color="CCEEFF"/>
            </w:tcBorders>
            <w:gridSpan w:val="9"/>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Strategic Data Command, LLC</w:t>
            </w:r>
            <w:r>
              <w:rPr>
                <w:rFonts w:ascii="Arial" w:cs="Arial" w:eastAsia="Arial" w:hAnsi="Arial"/>
                <w:sz w:val="23"/>
                <w:szCs w:val="23"/>
                <w:b w:val="1"/>
                <w:bCs w:val="1"/>
                <w:color w:val="auto"/>
                <w:vertAlign w:val="superscript"/>
              </w:rPr>
              <w:t>(3)</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900" w:type="dxa"/>
            <w:vAlign w:val="bottom"/>
            <w:gridSpan w:val="9"/>
          </w:tcPr>
          <w:p>
            <w:pPr>
              <w:ind w:left="20"/>
              <w:spacing w:after="0"/>
              <w:rPr>
                <w:sz w:val="20"/>
                <w:szCs w:val="20"/>
                <w:color w:val="auto"/>
              </w:rPr>
            </w:pPr>
            <w:r>
              <w:rPr>
                <w:rFonts w:ascii="Arial" w:cs="Arial" w:eastAsia="Arial" w:hAnsi="Arial"/>
                <w:sz w:val="16"/>
                <w:szCs w:val="16"/>
                <w:color w:val="auto"/>
              </w:rPr>
              <w:t>Common shares</w:t>
            </w:r>
          </w:p>
        </w:tc>
        <w:tc>
          <w:tcPr>
            <w:tcW w:w="100" w:type="dxa"/>
            <w:vAlign w:val="bottom"/>
          </w:tcPr>
          <w:p>
            <w:pPr>
              <w:spacing w:after="0"/>
              <w:rPr>
                <w:sz w:val="17"/>
                <w:szCs w:val="17"/>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1,046,830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ind w:lef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(46,830)</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1,000,000</w:t>
            </w:r>
          </w:p>
        </w:tc>
        <w:tc>
          <w:tcPr>
            <w:tcW w:w="40" w:type="dxa"/>
            <w:vAlign w:val="bottom"/>
          </w:tcPr>
          <w:p>
            <w:pPr>
              <w:spacing w:after="0"/>
              <w:rPr>
                <w:sz w:val="17"/>
                <w:szCs w:val="17"/>
                <w:color w:val="auto"/>
              </w:rPr>
            </w:pPr>
          </w:p>
        </w:tc>
      </w:tr>
      <w:tr>
        <w:trPr>
          <w:trHeight w:val="203"/>
        </w:trPr>
        <w:tc>
          <w:tcPr>
            <w:tcW w:w="2900" w:type="dxa"/>
            <w:vAlign w:val="bottom"/>
            <w:tcBorders>
              <w:right w:val="single" w:sz="8" w:color="CCEEFF"/>
            </w:tcBorders>
            <w:gridSpan w:val="9"/>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Totus Solutions, Inc.</w:t>
            </w:r>
            <w:r>
              <w:rPr>
                <w:rFonts w:ascii="Arial" w:cs="Arial" w:eastAsia="Arial" w:hAnsi="Arial"/>
                <w:sz w:val="23"/>
                <w:szCs w:val="23"/>
                <w:b w:val="1"/>
                <w:bCs w:val="1"/>
                <w:color w:val="auto"/>
                <w:vertAlign w:val="superscript"/>
              </w:rPr>
              <w:t>(5)</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900" w:type="dxa"/>
            <w:vAlign w:val="bottom"/>
            <w:gridSpan w:val="9"/>
          </w:tcPr>
          <w:p>
            <w:pPr>
              <w:ind w:left="20"/>
              <w:spacing w:after="0"/>
              <w:rPr>
                <w:sz w:val="20"/>
                <w:szCs w:val="20"/>
                <w:color w:val="auto"/>
              </w:rPr>
            </w:pPr>
            <w:r>
              <w:rPr>
                <w:rFonts w:ascii="Arial" w:cs="Arial" w:eastAsia="Arial" w:hAnsi="Arial"/>
                <w:sz w:val="16"/>
                <w:szCs w:val="16"/>
                <w:color w:val="auto"/>
              </w:rPr>
              <w:t>Preferred shares, Series B</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1,001,001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ind w:lef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(872,099)</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128,902</w:t>
            </w:r>
          </w:p>
        </w:tc>
        <w:tc>
          <w:tcPr>
            <w:tcW w:w="40" w:type="dxa"/>
            <w:vAlign w:val="bottom"/>
          </w:tcPr>
          <w:p>
            <w:pPr>
              <w:spacing w:after="0"/>
              <w:rPr>
                <w:sz w:val="17"/>
                <w:szCs w:val="17"/>
                <w:color w:val="auto"/>
              </w:rPr>
            </w:pPr>
          </w:p>
        </w:tc>
      </w:tr>
      <w:tr>
        <w:trPr>
          <w:trHeight w:val="193"/>
        </w:trPr>
        <w:tc>
          <w:tcPr>
            <w:tcW w:w="2900" w:type="dxa"/>
            <w:vAlign w:val="bottom"/>
            <w:tcBorders>
              <w:right w:val="single" w:sz="8" w:color="CCEEFF"/>
            </w:tcBorders>
            <w:gridSpan w:val="9"/>
            <w:shd w:val="clear" w:color="auto" w:fill="CCEEFF"/>
          </w:tcPr>
          <w:p>
            <w:pPr>
              <w:ind w:left="20"/>
              <w:spacing w:after="0"/>
              <w:rPr>
                <w:sz w:val="20"/>
                <w:szCs w:val="20"/>
                <w:color w:val="auto"/>
              </w:rPr>
            </w:pPr>
            <w:r>
              <w:rPr>
                <w:rFonts w:ascii="Arial" w:cs="Arial" w:eastAsia="Arial" w:hAnsi="Arial"/>
                <w:sz w:val="16"/>
                <w:szCs w:val="16"/>
                <w:color w:val="auto"/>
              </w:rPr>
              <w:t>Convertible Promissory Note 6%,</w:t>
            </w:r>
          </w:p>
        </w:tc>
        <w:tc>
          <w:tcPr>
            <w:tcW w:w="10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2880" w:type="dxa"/>
            <w:vAlign w:val="bottom"/>
            <w:tcBorders>
              <w:right w:val="single" w:sz="8" w:color="CCEEFF"/>
            </w:tcBorders>
            <w:gridSpan w:val="8"/>
            <w:shd w:val="clear" w:color="auto" w:fill="CCEEFF"/>
          </w:tcPr>
          <w:p>
            <w:pPr>
              <w:ind w:left="180"/>
              <w:spacing w:after="0"/>
              <w:rPr>
                <w:sz w:val="20"/>
                <w:szCs w:val="20"/>
                <w:color w:val="auto"/>
              </w:rPr>
            </w:pPr>
            <w:r>
              <w:rPr>
                <w:rFonts w:ascii="Arial" w:cs="Arial" w:eastAsia="Arial" w:hAnsi="Arial"/>
                <w:sz w:val="16"/>
                <w:szCs w:val="16"/>
                <w:color w:val="auto"/>
              </w:rPr>
              <w:t>Expiration Date, 4/01/2016***</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3,406</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1,995</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78,425</w:t>
            </w:r>
          </w:p>
        </w:tc>
        <w:tc>
          <w:tcPr>
            <w:tcW w:w="40" w:type="dxa"/>
            <w:vAlign w:val="bottom"/>
          </w:tcPr>
          <w:p>
            <w:pPr>
              <w:spacing w:after="0"/>
              <w:rPr>
                <w:sz w:val="18"/>
                <w:szCs w:val="18"/>
                <w:color w:val="auto"/>
              </w:rPr>
            </w:pPr>
          </w:p>
        </w:tc>
      </w:tr>
      <w:tr>
        <w:trPr>
          <w:trHeight w:val="203"/>
        </w:trPr>
        <w:tc>
          <w:tcPr>
            <w:tcW w:w="2900" w:type="dxa"/>
            <w:vAlign w:val="bottom"/>
            <w:gridSpan w:val="9"/>
          </w:tcPr>
          <w:p>
            <w:pPr>
              <w:ind w:left="20"/>
              <w:spacing w:after="0"/>
              <w:rPr>
                <w:sz w:val="20"/>
                <w:szCs w:val="20"/>
                <w:color w:val="auto"/>
              </w:rPr>
            </w:pPr>
            <w:r>
              <w:rPr>
                <w:rFonts w:ascii="Arial" w:cs="Arial" w:eastAsia="Arial" w:hAnsi="Arial"/>
                <w:sz w:val="16"/>
                <w:szCs w:val="16"/>
                <w:color w:val="auto"/>
              </w:rPr>
              <w:t>Preferred shares, Series A</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2,173,163</w:t>
            </w:r>
          </w:p>
        </w:tc>
        <w:tc>
          <w:tcPr>
            <w:tcW w:w="780" w:type="dxa"/>
            <w:vAlign w:val="bottom"/>
          </w:tcPr>
          <w:p>
            <w:pPr>
              <w:jc w:val="right"/>
              <w:spacing w:after="0"/>
              <w:rPr>
                <w:sz w:val="20"/>
                <w:szCs w:val="20"/>
                <w:color w:val="auto"/>
              </w:rPr>
            </w:pPr>
            <w:r>
              <w:rPr>
                <w:rFonts w:ascii="Arial" w:cs="Arial" w:eastAsia="Arial" w:hAnsi="Arial"/>
                <w:sz w:val="16"/>
                <w:szCs w:val="16"/>
                <w:color w:val="auto"/>
              </w:rPr>
              <w:t>840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ind w:lef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w w:val="90"/>
              </w:rPr>
              <w:t>(2,174,003)</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03"/>
        </w:trPr>
        <w:tc>
          <w:tcPr>
            <w:tcW w:w="2900" w:type="dxa"/>
            <w:vAlign w:val="bottom"/>
            <w:tcBorders>
              <w:right w:val="single" w:sz="8" w:color="CCEEFF"/>
            </w:tcBorders>
            <w:gridSpan w:val="9"/>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576,675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(576,875)</w:t>
            </w: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2900" w:type="dxa"/>
            <w:vAlign w:val="bottom"/>
            <w:gridSpan w:val="9"/>
          </w:tcPr>
          <w:p>
            <w:pPr>
              <w:ind w:left="20"/>
              <w:spacing w:after="0" w:line="155" w:lineRule="exact"/>
              <w:rPr>
                <w:sz w:val="20"/>
                <w:szCs w:val="20"/>
                <w:color w:val="auto"/>
              </w:rPr>
            </w:pPr>
            <w:r>
              <w:rPr>
                <w:rFonts w:ascii="Arial" w:cs="Arial" w:eastAsia="Arial" w:hAnsi="Arial"/>
                <w:sz w:val="16"/>
                <w:szCs w:val="16"/>
                <w:b w:val="1"/>
                <w:bCs w:val="1"/>
                <w:color w:val="auto"/>
              </w:rPr>
              <w:t>Total Affiliate Investments</w:t>
            </w:r>
          </w:p>
        </w:tc>
        <w:tc>
          <w:tcPr>
            <w:tcW w:w="100" w:type="dxa"/>
            <w:vAlign w:val="bottom"/>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ind w:right="43"/>
              <w:spacing w:after="0" w:line="155" w:lineRule="exact"/>
              <w:rPr>
                <w:sz w:val="20"/>
                <w:szCs w:val="20"/>
                <w:color w:val="auto"/>
              </w:rPr>
            </w:pPr>
            <w:r>
              <w:rPr>
                <w:rFonts w:ascii="Arial" w:cs="Arial" w:eastAsia="Arial" w:hAnsi="Arial"/>
                <w:sz w:val="16"/>
                <w:szCs w:val="16"/>
                <w:b w:val="1"/>
                <w:bCs w:val="1"/>
                <w:color w:val="auto"/>
              </w:rPr>
              <w:t>130,021</w:t>
            </w:r>
          </w:p>
        </w:tc>
        <w:tc>
          <w:tcPr>
            <w:tcW w:w="100" w:type="dxa"/>
            <w:vAlign w:val="bottom"/>
          </w:tcPr>
          <w:p>
            <w:pPr>
              <w:jc w:val="right"/>
              <w:spacing w:after="0" w:line="155" w:lineRule="exact"/>
              <w:rPr>
                <w:sz w:val="20"/>
                <w:szCs w:val="20"/>
                <w:color w:val="auto"/>
              </w:rPr>
            </w:pPr>
            <w:r>
              <w:rPr>
                <w:rFonts w:ascii="Arial" w:cs="Arial" w:eastAsia="Arial" w:hAnsi="Arial"/>
                <w:sz w:val="16"/>
                <w:szCs w:val="16"/>
                <w:b w:val="1"/>
                <w:bCs w:val="1"/>
                <w:u w:val="single" w:color="auto"/>
                <w:color w:val="auto"/>
                <w:w w:val="89"/>
              </w:rPr>
              <w:t>$</w:t>
            </w:r>
          </w:p>
        </w:tc>
        <w:tc>
          <w:tcPr>
            <w:tcW w:w="820" w:type="dxa"/>
            <w:vAlign w:val="bottom"/>
          </w:tcPr>
          <w:p>
            <w:pPr>
              <w:jc w:val="right"/>
              <w:ind w:right="20"/>
              <w:spacing w:after="0" w:line="155" w:lineRule="exact"/>
              <w:rPr>
                <w:sz w:val="20"/>
                <w:szCs w:val="20"/>
                <w:color w:val="auto"/>
              </w:rPr>
            </w:pPr>
            <w:r>
              <w:rPr>
                <w:rFonts w:ascii="Arial" w:cs="Arial" w:eastAsia="Arial" w:hAnsi="Arial"/>
                <w:sz w:val="16"/>
                <w:szCs w:val="16"/>
                <w:b w:val="1"/>
                <w:bCs w:val="1"/>
                <w:color w:val="auto"/>
                <w:w w:val="87"/>
              </w:rPr>
              <w:t>52,663,042</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Arial" w:cs="Arial" w:eastAsia="Arial" w:hAnsi="Arial"/>
                <w:sz w:val="15"/>
                <w:szCs w:val="15"/>
                <w:b w:val="1"/>
                <w:bCs w:val="1"/>
                <w:u w:val="single" w:color="auto"/>
                <w:color w:val="auto"/>
                <w:w w:val="71"/>
              </w:rPr>
              <w:t>$</w:t>
            </w:r>
          </w:p>
        </w:tc>
        <w:tc>
          <w:tcPr>
            <w:tcW w:w="7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w w:val="89"/>
              </w:rPr>
              <w:t>70,172,313</w:t>
            </w:r>
          </w:p>
        </w:tc>
        <w:tc>
          <w:tcPr>
            <w:tcW w:w="4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-325120</wp:posOffset>
            </wp:positionV>
            <wp:extent cx="5188585" cy="1460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88585" cy="14605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7" w:lineRule="auto"/>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300" w:right="519" w:hanging="272"/>
        <w:spacing w:after="0" w:line="277" w:lineRule="auto"/>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ind w:left="300" w:hanging="272"/>
        <w:spacing w:after="0"/>
        <w:tabs>
          <w:tab w:leader="none" w:pos="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wholly-owned subsidiary GSVC SW Holdings, Inc.</w:t>
      </w:r>
    </w:p>
    <w:p>
      <w:pPr>
        <w:spacing w:after="0" w:line="128" w:lineRule="exact"/>
        <w:rPr>
          <w:rFonts w:ascii="Arial" w:cs="Arial" w:eastAsia="Arial" w:hAnsi="Arial"/>
          <w:sz w:val="17"/>
          <w:szCs w:val="17"/>
          <w:color w:val="auto"/>
        </w:rPr>
      </w:pPr>
    </w:p>
    <w:p>
      <w:pPr>
        <w:ind w:left="300" w:right="519" w:hanging="272"/>
        <w:spacing w:after="0" w:line="308" w:lineRule="auto"/>
        <w:tabs>
          <w:tab w:leader="none" w:pos="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GSV Capital Corp.’s investment in Whittle Schools, LLC is held through its wholly-owned subsidiary GSVC WS Holdings, Inc. Whittle Schools, LLC is an investment whose economics are derived from the value of Avenues Global Holdings LLC.</w:t>
      </w:r>
    </w:p>
    <w:p>
      <w:pPr>
        <w:spacing w:after="0" w:line="38" w:lineRule="exact"/>
        <w:rPr>
          <w:rFonts w:ascii="Arial" w:cs="Arial" w:eastAsia="Arial" w:hAnsi="Arial"/>
          <w:sz w:val="17"/>
          <w:szCs w:val="17"/>
          <w:color w:val="auto"/>
        </w:rPr>
      </w:pPr>
    </w:p>
    <w:p>
      <w:pPr>
        <w:ind w:left="300" w:right="539" w:hanging="272"/>
        <w:spacing w:after="0" w:line="277" w:lineRule="auto"/>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wholly-owned subsidiary GSVC SVDS Holdings, Inc.</w:t>
      </w:r>
    </w:p>
    <w:p>
      <w:pPr>
        <w:spacing w:after="0" w:line="62" w:lineRule="exact"/>
        <w:rPr>
          <w:rFonts w:ascii="Arial" w:cs="Arial" w:eastAsia="Arial" w:hAnsi="Arial"/>
          <w:sz w:val="18"/>
          <w:szCs w:val="18"/>
          <w:color w:val="auto"/>
        </w:rPr>
      </w:pPr>
    </w:p>
    <w:p>
      <w:pPr>
        <w:jc w:val="both"/>
        <w:ind w:left="300" w:right="519" w:hanging="272"/>
        <w:spacing w:after="0" w:line="293" w:lineRule="auto"/>
        <w:tabs>
          <w:tab w:leader="none" w:pos="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On October 22, 2013, Cricket Media (f/k/a ePals Inc.), priced its initial public offering, selling 40,267,333 shares at a price of CAD $0.075 per share. GSV Capital Corp.’s shares in Cricket Media (f/k/a ePals Inc.), are subject to a lock-up agreement which expired on February 23, 2014. At December 31, 2014, GSV Capital Corp. valued Cricket Media (f/k/a ePals Inc.), based on its December 31, 2014 closing price less 17.5%. GSV Capital Corp.’s Chief Executive Officer, Michael Moe is a Board member of Cricket Media (f/k/a ePals Inc.), which subjects GSV Capital Corp. to insider trading restrictions under Canadian securities law. As such, the Company has applied a 17.5% discount to reflect the aforementioned trading restrictions.</w:t>
      </w:r>
    </w:p>
    <w:p>
      <w:pPr>
        <w:spacing w:after="0" w:line="56" w:lineRule="exact"/>
        <w:rPr>
          <w:rFonts w:ascii="Arial" w:cs="Arial" w:eastAsia="Arial" w:hAnsi="Arial"/>
          <w:sz w:val="16"/>
          <w:szCs w:val="16"/>
          <w:color w:val="auto"/>
        </w:rPr>
      </w:pPr>
    </w:p>
    <w:p>
      <w:pPr>
        <w:ind w:left="300" w:hanging="272"/>
        <w:spacing w:after="0"/>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November 20, 2014, Totus Solutions, Inc., conducted a 10:1 stock split.</w:t>
      </w:r>
    </w:p>
    <w:p>
      <w:pPr>
        <w:spacing w:after="0" w:line="117" w:lineRule="exact"/>
        <w:rPr>
          <w:rFonts w:ascii="Arial" w:cs="Arial" w:eastAsia="Arial" w:hAnsi="Arial"/>
          <w:sz w:val="18"/>
          <w:szCs w:val="18"/>
          <w:color w:val="auto"/>
        </w:rPr>
      </w:pPr>
    </w:p>
    <w:p>
      <w:pPr>
        <w:jc w:val="both"/>
        <w:ind w:left="300" w:right="519" w:hanging="272"/>
        <w:spacing w:after="0" w:line="264" w:lineRule="auto"/>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Accrued interest is not payable until the earlier of a) the closing of a subsequent equity offering by CUX, Inc., or b) the maturity of the note(November 26, 2018). Interest will compound annually beginning on November 26, 2015.</w:t>
      </w:r>
    </w:p>
    <w:p>
      <w:pPr>
        <w:spacing w:after="0" w:line="200" w:lineRule="exact"/>
        <w:rPr>
          <w:sz w:val="20"/>
          <w:szCs w:val="20"/>
          <w:color w:val="auto"/>
        </w:rPr>
      </w:pPr>
    </w:p>
    <w:p>
      <w:pPr>
        <w:spacing w:after="0" w:line="3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0" w:name="page71"/>
    <w:bookmarkEnd w:id="70"/>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80" w:right="519"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-62230</wp:posOffset>
            </wp:positionV>
            <wp:extent cx="519684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6540" w:type="dxa"/>
            <w:vAlign w:val="bottom"/>
            <w:gridSpan w:val="3"/>
          </w:tcPr>
          <w:p>
            <w:pPr>
              <w:ind w:left="1260"/>
              <w:spacing w:after="0"/>
              <w:rPr>
                <w:sz w:val="20"/>
                <w:szCs w:val="20"/>
                <w:color w:val="auto"/>
              </w:rPr>
            </w:pPr>
            <w:r>
              <w:rPr>
                <w:rFonts w:ascii="Arial" w:cs="Arial" w:eastAsia="Arial" w:hAnsi="Arial"/>
                <w:sz w:val="18"/>
                <w:szCs w:val="18"/>
                <w:b w:val="1"/>
                <w:bCs w:val="1"/>
                <w:color w:val="auto"/>
              </w:rPr>
              <w:t>GSV CAPITAL CORP.</w:t>
            </w:r>
          </w:p>
        </w:tc>
      </w:tr>
      <w:tr>
        <w:trPr>
          <w:trHeight w:val="432"/>
        </w:trPr>
        <w:tc>
          <w:tcPr>
            <w:tcW w:w="3060" w:type="dxa"/>
            <w:vAlign w:val="bottom"/>
          </w:tcPr>
          <w:p>
            <w:pPr>
              <w:ind w:left="1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August 10, 2015</w:t>
            </w:r>
          </w:p>
        </w:tc>
        <w:tc>
          <w:tcPr>
            <w:tcW w:w="6540" w:type="dxa"/>
            <w:vAlign w:val="bottom"/>
            <w:gridSpan w:val="3"/>
          </w:tcPr>
          <w:p>
            <w:pPr>
              <w:ind w:left="126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Michael T. Moe</w:t>
            </w:r>
          </w:p>
        </w:tc>
      </w:tr>
      <w:tr>
        <w:trPr>
          <w:trHeight w:val="195"/>
        </w:trPr>
        <w:tc>
          <w:tcPr>
            <w:tcW w:w="30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T. Moe</w:t>
            </w:r>
          </w:p>
        </w:tc>
        <w:tc>
          <w:tcPr>
            <w:tcW w:w="1260" w:type="dxa"/>
            <w:vAlign w:val="bottom"/>
          </w:tcPr>
          <w:p>
            <w:pPr>
              <w:spacing w:after="0"/>
              <w:rPr>
                <w:sz w:val="16"/>
                <w:szCs w:val="16"/>
                <w:color w:val="auto"/>
              </w:rPr>
            </w:pPr>
          </w:p>
        </w:tc>
      </w:tr>
      <w:tr>
        <w:trPr>
          <w:trHeight w:val="216"/>
        </w:trPr>
        <w:tc>
          <w:tcPr>
            <w:tcW w:w="3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Chief Executive Officer and</w:t>
            </w:r>
          </w:p>
        </w:tc>
      </w:tr>
      <w:tr>
        <w:trPr>
          <w:trHeight w:val="216"/>
        </w:trPr>
        <w:tc>
          <w:tcPr>
            <w:tcW w:w="3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r>
      <w:tr>
        <w:trPr>
          <w:trHeight w:val="212"/>
        </w:trPr>
        <w:tc>
          <w:tcPr>
            <w:tcW w:w="3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234"/>
        </w:trPr>
        <w:tc>
          <w:tcPr>
            <w:tcW w:w="3060" w:type="dxa"/>
            <w:vAlign w:val="bottom"/>
          </w:tcPr>
          <w:p>
            <w:pPr>
              <w:ind w:left="1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August 10, 2015</w:t>
            </w:r>
          </w:p>
        </w:tc>
        <w:tc>
          <w:tcPr>
            <w:tcW w:w="6540" w:type="dxa"/>
            <w:vAlign w:val="bottom"/>
            <w:gridSpan w:val="3"/>
          </w:tcPr>
          <w:p>
            <w:pPr>
              <w:ind w:left="126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William F. Tanona</w:t>
            </w:r>
          </w:p>
        </w:tc>
      </w:tr>
      <w:tr>
        <w:trPr>
          <w:trHeight w:val="195"/>
        </w:trPr>
        <w:tc>
          <w:tcPr>
            <w:tcW w:w="30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F. Tanona</w:t>
            </w:r>
          </w:p>
        </w:tc>
        <w:tc>
          <w:tcPr>
            <w:tcW w:w="1260" w:type="dxa"/>
            <w:vAlign w:val="bottom"/>
          </w:tcPr>
          <w:p>
            <w:pPr>
              <w:spacing w:after="0"/>
              <w:rPr>
                <w:sz w:val="16"/>
                <w:szCs w:val="16"/>
                <w:color w:val="auto"/>
              </w:rPr>
            </w:pPr>
          </w:p>
        </w:tc>
      </w:tr>
      <w:tr>
        <w:trPr>
          <w:trHeight w:val="216"/>
        </w:trPr>
        <w:tc>
          <w:tcPr>
            <w:tcW w:w="3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Chief Financial Officer, Treasurer and Secretary</w:t>
            </w:r>
          </w:p>
        </w:tc>
      </w:tr>
      <w:tr>
        <w:trPr>
          <w:trHeight w:val="230"/>
        </w:trPr>
        <w:tc>
          <w:tcPr>
            <w:tcW w:w="3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0"/>
        </w:trPr>
        <w:tc>
          <w:tcPr>
            <w:tcW w:w="3060" w:type="dxa"/>
            <w:vAlign w:val="bottom"/>
          </w:tcPr>
          <w:p>
            <w:pPr>
              <w:spacing w:after="0"/>
              <w:rPr>
                <w:sz w:val="24"/>
                <w:szCs w:val="24"/>
                <w:color w:val="auto"/>
              </w:rPr>
            </w:pPr>
          </w:p>
        </w:tc>
        <w:tc>
          <w:tcPr>
            <w:tcW w:w="5280" w:type="dxa"/>
            <w:vAlign w:val="bottom"/>
            <w:gridSpan w:val="2"/>
          </w:tcPr>
          <w:p>
            <w:pPr>
              <w:ind w:left="1640"/>
              <w:spacing w:after="0"/>
              <w:rPr>
                <w:sz w:val="20"/>
                <w:szCs w:val="20"/>
                <w:color w:val="auto"/>
              </w:rPr>
            </w:pPr>
            <w:r>
              <w:rPr>
                <w:rFonts w:ascii="Arial" w:cs="Arial" w:eastAsia="Arial" w:hAnsi="Arial"/>
                <w:sz w:val="18"/>
                <w:szCs w:val="18"/>
                <w:color w:val="auto"/>
              </w:rPr>
              <w:t>68</w:t>
            </w:r>
          </w:p>
        </w:tc>
        <w:tc>
          <w:tcPr>
            <w:tcW w:w="1260" w:type="dxa"/>
            <w:vAlign w:val="bottom"/>
          </w:tcPr>
          <w:p>
            <w:pPr>
              <w:spacing w:after="0"/>
              <w:rPr>
                <w:sz w:val="24"/>
                <w:szCs w:val="24"/>
                <w:color w:val="auto"/>
              </w:rPr>
            </w:pPr>
          </w:p>
        </w:tc>
      </w:tr>
      <w:tr>
        <w:trPr>
          <w:trHeight w:val="162"/>
        </w:trPr>
        <w:tc>
          <w:tcPr>
            <w:tcW w:w="306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366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3060" w:type="dxa"/>
            <w:vAlign w:val="bottom"/>
            <w:tcBorders>
              <w:bottom w:val="single" w:sz="8" w:color="EEEEEE"/>
            </w:tcBorders>
          </w:tcPr>
          <w:p>
            <w:pPr>
              <w:spacing w:after="0" w:line="20" w:lineRule="exact"/>
              <w:rPr>
                <w:sz w:val="1"/>
                <w:szCs w:val="1"/>
                <w:color w:val="auto"/>
              </w:rPr>
            </w:pPr>
          </w:p>
        </w:tc>
        <w:tc>
          <w:tcPr>
            <w:tcW w:w="1620" w:type="dxa"/>
            <w:vAlign w:val="bottom"/>
            <w:tcBorders>
              <w:bottom w:val="single" w:sz="8" w:color="EEEEEE"/>
            </w:tcBorders>
          </w:tcPr>
          <w:p>
            <w:pPr>
              <w:spacing w:after="0" w:line="20" w:lineRule="exact"/>
              <w:rPr>
                <w:sz w:val="1"/>
                <w:szCs w:val="1"/>
                <w:color w:val="auto"/>
              </w:rPr>
            </w:pPr>
          </w:p>
        </w:tc>
        <w:tc>
          <w:tcPr>
            <w:tcW w:w="36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71" w:name="page72"/>
    <w:bookmarkEnd w:id="71"/>
    <w:p>
      <w:pPr>
        <w:jc w:val="right"/>
        <w:ind w:right="51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 Michael T. Moe, certify that:</w:t>
      </w:r>
    </w:p>
    <w:p>
      <w:pPr>
        <w:spacing w:after="0" w:line="117" w:lineRule="exact"/>
        <w:rPr>
          <w:sz w:val="20"/>
          <w:szCs w:val="20"/>
          <w:color w:val="auto"/>
        </w:rPr>
      </w:pPr>
    </w:p>
    <w:p>
      <w:pPr>
        <w:ind w:left="540" w:hanging="262"/>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117"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40" w:right="539" w:hanging="262"/>
        <w:spacing w:after="0" w:line="264"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820" w:right="519" w:hanging="272"/>
        <w:spacing w:after="0" w:line="259" w:lineRule="auto"/>
        <w:tabs>
          <w:tab w:leader="none" w:pos="8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820" w:right="539" w:hanging="272"/>
        <w:spacing w:after="0" w:line="312" w:lineRule="auto"/>
        <w:tabs>
          <w:tab w:leader="none" w:pos="8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jc w:val="both"/>
        <w:ind w:left="820" w:right="519" w:hanging="272"/>
        <w:spacing w:after="0" w:line="264" w:lineRule="auto"/>
        <w:tabs>
          <w:tab w:leader="none" w:pos="8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820" w:right="519" w:hanging="272"/>
        <w:spacing w:after="0" w:line="259" w:lineRule="auto"/>
        <w:tabs>
          <w:tab w:leader="none" w:pos="8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jc w:val="both"/>
        <w:ind w:left="820" w:right="539" w:hanging="272"/>
        <w:spacing w:after="0" w:line="264" w:lineRule="auto"/>
        <w:tabs>
          <w:tab w:leader="none" w:pos="8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539" w:hanging="272"/>
        <w:spacing w:after="0" w:line="277" w:lineRule="auto"/>
        <w:tabs>
          <w:tab w:leader="none" w:pos="8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this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August 2015.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4445</wp:posOffset>
            </wp:positionV>
            <wp:extent cx="1235075"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35075" cy="1714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b w:val="1"/>
          <w:bCs w:val="1"/>
          <w:color w:val="auto"/>
        </w:rPr>
        <w:t>Michael T. Moe</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72" w:name="page73"/>
    <w:bookmarkEnd w:id="72"/>
    <w:p>
      <w:pPr>
        <w:jc w:val="right"/>
        <w:ind w:right="5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 William F. Tanona, certify that:</w:t>
      </w:r>
    </w:p>
    <w:p>
      <w:pPr>
        <w:spacing w:after="0" w:line="117" w:lineRule="exact"/>
        <w:rPr>
          <w:sz w:val="20"/>
          <w:szCs w:val="20"/>
          <w:color w:val="auto"/>
        </w:rPr>
      </w:pPr>
    </w:p>
    <w:p>
      <w:pPr>
        <w:ind w:left="540" w:hanging="26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117"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40" w:right="539" w:hanging="262"/>
        <w:spacing w:after="0" w:line="264"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820" w:right="519" w:hanging="272"/>
        <w:spacing w:after="0" w:line="259" w:lineRule="auto"/>
        <w:tabs>
          <w:tab w:leader="none" w:pos="8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820" w:right="539" w:hanging="272"/>
        <w:spacing w:after="0" w:line="312" w:lineRule="auto"/>
        <w:tabs>
          <w:tab w:leader="none" w:pos="8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jc w:val="both"/>
        <w:ind w:left="820" w:right="519" w:hanging="272"/>
        <w:spacing w:after="0" w:line="264" w:lineRule="auto"/>
        <w:tabs>
          <w:tab w:leader="none" w:pos="8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820" w:right="519" w:hanging="272"/>
        <w:spacing w:after="0" w:line="259" w:lineRule="auto"/>
        <w:tabs>
          <w:tab w:leader="none" w:pos="8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jc w:val="both"/>
        <w:ind w:left="820" w:right="539" w:hanging="272"/>
        <w:spacing w:after="0" w:line="264" w:lineRule="auto"/>
        <w:tabs>
          <w:tab w:leader="none" w:pos="8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539" w:hanging="272"/>
        <w:spacing w:after="0" w:line="277" w:lineRule="auto"/>
        <w:tabs>
          <w:tab w:leader="none" w:pos="8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this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August 2015.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By:/s/ William F.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4445</wp:posOffset>
            </wp:positionV>
            <wp:extent cx="1235075"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35075" cy="1714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b w:val="1"/>
          <w:bCs w:val="1"/>
          <w:color w:val="auto"/>
        </w:rPr>
        <w:t>William F. Tanona</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73" w:name="page74"/>
    <w:bookmarkEnd w:id="73"/>
    <w:p>
      <w:pPr>
        <w:jc w:val="right"/>
        <w:ind w:right="5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jc w:val="both"/>
        <w:ind w:right="519" w:firstLine="270"/>
        <w:spacing w:after="0" w:line="264" w:lineRule="auto"/>
        <w:rPr>
          <w:sz w:val="20"/>
          <w:szCs w:val="20"/>
          <w:color w:val="auto"/>
        </w:rPr>
      </w:pPr>
      <w:r>
        <w:rPr>
          <w:rFonts w:ascii="Arial" w:cs="Arial" w:eastAsia="Arial" w:hAnsi="Arial"/>
          <w:sz w:val="18"/>
          <w:szCs w:val="18"/>
          <w:color w:val="auto"/>
        </w:rPr>
        <w:t>In connection with the Quarterly Report on Form 10-Q for period ended June 30, 2015 (the “Report”) of GSV Capital Corp. (the “Registrant”), as filed with the Securities and Exchange Commission on the date hereof, I, Michael T. Moe, the Chief Executive Officer of the Registrant, hereby certify, to the best of my knowledge, that:</w:t>
      </w:r>
    </w:p>
    <w:p>
      <w:pPr>
        <w:spacing w:after="0" w:line="73" w:lineRule="exact"/>
        <w:rPr>
          <w:sz w:val="20"/>
          <w:szCs w:val="20"/>
          <w:color w:val="auto"/>
        </w:rPr>
      </w:pPr>
    </w:p>
    <w:p>
      <w:pPr>
        <w:ind w:left="500" w:right="539" w:hanging="262"/>
        <w:spacing w:after="0" w:line="277"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519" w:hanging="262"/>
        <w:spacing w:after="0" w:line="277"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Name: Michael T. Moe</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August 10,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74" w:name="page75"/>
    <w:bookmarkEnd w:id="74"/>
    <w:p>
      <w:pPr>
        <w:jc w:val="right"/>
        <w:ind w:right="5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jc w:val="both"/>
        <w:ind w:right="519" w:firstLine="270"/>
        <w:spacing w:after="0" w:line="264" w:lineRule="auto"/>
        <w:rPr>
          <w:sz w:val="20"/>
          <w:szCs w:val="20"/>
          <w:color w:val="auto"/>
        </w:rPr>
      </w:pPr>
      <w:r>
        <w:rPr>
          <w:rFonts w:ascii="Arial" w:cs="Arial" w:eastAsia="Arial" w:hAnsi="Arial"/>
          <w:sz w:val="18"/>
          <w:szCs w:val="18"/>
          <w:color w:val="auto"/>
        </w:rPr>
        <w:t>In connection with the Quarterly Report on Form 10-Q for period ended June 30, 2015 (the “Report”) of GSV Capital Corp. (the “Registrant”), as filed with the Securities and Exchange Commission on the date hereof, I, William Tanona, the Chief Financial Officer of the Registrant, hereby certify, to the best of my knowledge, that:</w:t>
      </w:r>
    </w:p>
    <w:p>
      <w:pPr>
        <w:spacing w:after="0" w:line="73" w:lineRule="exact"/>
        <w:rPr>
          <w:sz w:val="20"/>
          <w:szCs w:val="20"/>
          <w:color w:val="auto"/>
        </w:rPr>
      </w:pPr>
    </w:p>
    <w:p>
      <w:pPr>
        <w:ind w:left="500" w:right="539" w:hanging="262"/>
        <w:spacing w:after="0" w:line="277"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519" w:hanging="262"/>
        <w:spacing w:after="0" w:line="277"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Name: William Tanona</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August 10,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39"/>
      </w:cols>
      <w:pgMar w:left="42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x"/>
      <w:numFmt w:val="bullet"/>
      <w:start w:val="1"/>
    </w:lvl>
  </w:abstractNum>
  <w:abstractNum w:abstractNumId="1">
    <w:nsid w:val="2D1D5AE9"/>
    <w:multiLevelType w:val="hybridMultilevel"/>
    <w:lvl w:ilvl="0">
      <w:lvlJc w:val="left"/>
      <w:lvlText w:val="o"/>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8"/>
    </w:lvl>
  </w:abstractNum>
  <w:abstractNum w:abstractNumId="8">
    <w:nsid w:val="189A769B"/>
    <w:multiLevelType w:val="hybridMultilevel"/>
    <w:lvl w:ilvl="0">
      <w:lvlJc w:val="left"/>
      <w:lvlText w:val="(%1)"/>
      <w:numFmt w:val="decimal"/>
      <w:start w:val="12"/>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7"/>
    </w:lvl>
  </w:abstractNum>
  <w:abstractNum w:abstractNumId="13">
    <w:nsid w:val="2901D82"/>
    <w:multiLevelType w:val="hybridMultilevel"/>
    <w:lvl w:ilvl="0">
      <w:lvlJc w:val="left"/>
      <w:lvlText w:val="(%1)"/>
      <w:numFmt w:val="decimal"/>
      <w:start w:val="12"/>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4"/>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5"/>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3"/>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2019-12-29T17:08:26Z</dcterms:created>
  <dcterms:modified xsi:type="dcterms:W3CDTF">2019-12-29T17:08:26Z</dcterms:modified>
</cp:coreProperties>
</file>