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4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200660</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260985</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7"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96"/>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312"/>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40"/>
        </w:trPr>
        <w:tc>
          <w:tcPr>
            <w:tcW w:w="2320" w:type="dxa"/>
            <w:vAlign w:val="bottom"/>
          </w:tcPr>
          <w:p>
            <w:pPr>
              <w:jc w:val="center"/>
              <w:spacing w:after="0" w:line="141" w:lineRule="exact"/>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2"/>
                <w:szCs w:val="12"/>
                <w:color w:val="auto"/>
              </w:rPr>
            </w:pPr>
          </w:p>
        </w:tc>
        <w:tc>
          <w:tcPr>
            <w:tcW w:w="4320" w:type="dxa"/>
            <w:vAlign w:val="bottom"/>
            <w:gridSpan w:val="2"/>
          </w:tcPr>
          <w:p>
            <w:pPr>
              <w:jc w:val="center"/>
              <w:ind w:left="2168"/>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57"/>
        </w:trPr>
        <w:tc>
          <w:tcPr>
            <w:tcW w:w="232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w w:val="88"/>
              </w:rPr>
              <w:t>2925 Woodside Road</w:t>
            </w:r>
          </w:p>
        </w:tc>
        <w:tc>
          <w:tcPr>
            <w:tcW w:w="4480" w:type="dxa"/>
            <w:vAlign w:val="bottom"/>
            <w:gridSpan w:val="3"/>
          </w:tcPr>
          <w:p>
            <w:pPr>
              <w:jc w:val="right"/>
              <w:ind w:right="748"/>
              <w:spacing w:after="0" w:line="157" w:lineRule="exact"/>
              <w:rPr>
                <w:sz w:val="20"/>
                <w:szCs w:val="20"/>
                <w:color w:val="auto"/>
              </w:rPr>
            </w:pPr>
            <w:r>
              <w:rPr>
                <w:rFonts w:ascii="Arial" w:cs="Arial" w:eastAsia="Arial" w:hAnsi="Arial"/>
                <w:sz w:val="18"/>
                <w:szCs w:val="18"/>
                <w:b w:val="1"/>
                <w:bCs w:val="1"/>
                <w:color w:val="auto"/>
              </w:rPr>
              <w:t>94062</w:t>
            </w: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-882650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ind w:left="40" w:right="559"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rPr>
          <w:sz w:val="20"/>
          <w:szCs w:val="20"/>
          <w:color w:val="auto"/>
        </w:rPr>
      </w:pPr>
      <w:r>
        <w:rPr>
          <w:rFonts w:ascii="Arial" w:cs="Arial" w:eastAsia="Arial" w:hAnsi="Arial"/>
          <w:sz w:val="18"/>
          <w:szCs w:val="18"/>
          <w:color w:val="auto"/>
        </w:rPr>
        <w:t>Large 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Accelerated filer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6"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320" w:right="73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the issuer’s Common Stock, $0.01 par value, outstanding as of May 12, 2014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615315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-134620</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-108585</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Consolidated Statements of Assets and Liabilities as of March 31, 2014 (unaudited) and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196"/>
        </w:trPr>
        <w:tc>
          <w:tcPr>
            <w:tcW w:w="2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6140" w:type="dxa"/>
            <w:vAlign w:val="bottom"/>
            <w:tcBorders>
              <w:top w:val="single" w:sz="8" w:color="0000EE"/>
            </w:tcBorders>
            <w:gridSpan w:val="20"/>
            <w:shd w:val="clear" w:color="auto" w:fill="CCFFCC"/>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2013</w:t>
              </w:r>
            </w:hyperlink>
          </w:p>
        </w:tc>
        <w:tc>
          <w:tcPr>
            <w:tcW w:w="440" w:type="dxa"/>
            <w:vAlign w:val="bottom"/>
            <w:tcBorders>
              <w:top w:val="single" w:sz="8" w:color="CCFFCC"/>
            </w:tcBorders>
            <w:gridSpan w:val="3"/>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4"/>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(unaudited) for the three months ended March 31,</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2014, and March 31, 2013</w:t>
              </w:r>
            </w:hyperlink>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FFCC"/>
            </w:tcBorders>
            <w:shd w:val="clear" w:color="auto" w:fill="CCFFCC"/>
          </w:tcPr>
          <w:p>
            <w:pPr>
              <w:spacing w:after="0"/>
              <w:rPr>
                <w:sz w:val="15"/>
                <w:szCs w:val="15"/>
                <w:color w:val="auto"/>
              </w:rPr>
            </w:pPr>
          </w:p>
        </w:tc>
        <w:tc>
          <w:tcPr>
            <w:tcW w:w="50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6500" w:type="dxa"/>
            <w:vAlign w:val="bottom"/>
            <w:tcBorders>
              <w:bottom w:val="single" w:sz="8" w:color="0000EE"/>
            </w:tcBorders>
            <w:gridSpan w:val="23"/>
            <w:shd w:val="clear" w:color="auto" w:fill="CCFFCC"/>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Changes in Net Assets (unaudited) for the three months ended</w:t>
              </w:r>
            </w:hyperlink>
          </w:p>
        </w:tc>
        <w:tc>
          <w:tcPr>
            <w:tcW w:w="260" w:type="dxa"/>
            <w:vAlign w:val="bottom"/>
            <w:tcBorders>
              <w:bottom w:val="single" w:sz="8" w:color="CCFFCC"/>
            </w:tcBorders>
            <w:shd w:val="clear" w:color="auto" w:fill="CCFFCC"/>
          </w:tcPr>
          <w:p>
            <w:pPr>
              <w:spacing w:after="0"/>
              <w:rPr>
                <w:sz w:val="15"/>
                <w:szCs w:val="15"/>
                <w:color w:val="auto"/>
              </w:rPr>
            </w:pPr>
          </w:p>
        </w:tc>
        <w:tc>
          <w:tcPr>
            <w:tcW w:w="340" w:type="dxa"/>
            <w:vAlign w:val="bottom"/>
            <w:tcBorders>
              <w:bottom w:val="single" w:sz="8" w:color="CCFFCC"/>
            </w:tcBorders>
            <w:gridSpan w:val="2"/>
            <w:shd w:val="clear" w:color="auto" w:fill="CCFFCC"/>
          </w:tcPr>
          <w:p>
            <w:pPr>
              <w:spacing w:after="0"/>
              <w:rPr>
                <w:sz w:val="15"/>
                <w:szCs w:val="15"/>
                <w:color w:val="auto"/>
              </w:rPr>
            </w:pPr>
          </w:p>
        </w:tc>
        <w:tc>
          <w:tcPr>
            <w:tcW w:w="10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00" w:type="dxa"/>
            <w:vAlign w:val="bottom"/>
            <w:tcBorders>
              <w:bottom w:val="single" w:sz="8" w:color="CCFFCC"/>
            </w:tcBorders>
            <w:shd w:val="clear" w:color="auto" w:fill="CCFFCC"/>
          </w:tcPr>
          <w:p>
            <w:pPr>
              <w:spacing w:after="0"/>
              <w:rPr>
                <w:sz w:val="15"/>
                <w:szCs w:val="15"/>
                <w:color w:val="auto"/>
              </w:rPr>
            </w:pPr>
          </w:p>
        </w:tc>
      </w:tr>
      <w:tr>
        <w:trPr>
          <w:trHeight w:val="217"/>
        </w:trPr>
        <w:tc>
          <w:tcPr>
            <w:tcW w:w="20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680" w:type="dxa"/>
            <w:vAlign w:val="bottom"/>
            <w:tcBorders>
              <w:bottom w:val="single" w:sz="8" w:color="0000EE"/>
            </w:tcBorders>
            <w:gridSpan w:val="13"/>
            <w:shd w:val="clear" w:color="auto" w:fill="CCFFCC"/>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March 31, 2014, and March 31, 2013</w:t>
              </w:r>
            </w:hyperlink>
          </w:p>
        </w:tc>
        <w:tc>
          <w:tcPr>
            <w:tcW w:w="3900" w:type="dxa"/>
            <w:vAlign w:val="bottom"/>
            <w:tcBorders>
              <w:bottom w:val="single" w:sz="8" w:color="CCFFCC"/>
            </w:tcBorders>
            <w:gridSpan w:val="10"/>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00" w:type="dxa"/>
            <w:vAlign w:val="bottom"/>
            <w:tcBorders>
              <w:bottom w:val="single" w:sz="8" w:color="0000EE"/>
            </w:tcBorders>
            <w:gridSpan w:val="23"/>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 for the three months ended March 31,</w:t>
              </w:r>
            </w:hyperlink>
          </w:p>
        </w:tc>
        <w:tc>
          <w:tcPr>
            <w:tcW w:w="2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2014, and March 31, 2013</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FFCC"/>
            </w:tcBorders>
            <w:shd w:val="clear" w:color="auto" w:fill="CCFFCC"/>
          </w:tcPr>
          <w:p>
            <w:pPr>
              <w:spacing w:after="0"/>
              <w:rPr>
                <w:sz w:val="17"/>
                <w:szCs w:val="17"/>
                <w:color w:val="auto"/>
              </w:rPr>
            </w:pPr>
          </w:p>
        </w:tc>
        <w:tc>
          <w:tcPr>
            <w:tcW w:w="5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5220" w:type="dxa"/>
            <w:vAlign w:val="bottom"/>
            <w:tcBorders>
              <w:bottom w:val="single" w:sz="8" w:color="0000EE"/>
            </w:tcBorders>
            <w:gridSpan w:val="18"/>
            <w:shd w:val="clear" w:color="auto" w:fill="CCFFCC"/>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Schedule of Investments as of March 31, 2014 (unaudited)</w:t>
              </w:r>
            </w:hyperlink>
          </w:p>
        </w:tc>
        <w:tc>
          <w:tcPr>
            <w:tcW w:w="1540" w:type="dxa"/>
            <w:vAlign w:val="bottom"/>
            <w:tcBorders>
              <w:bottom w:val="single" w:sz="8" w:color="CCFFCC"/>
            </w:tcBorders>
            <w:gridSpan w:val="6"/>
            <w:shd w:val="clear" w:color="auto" w:fill="CCFFCC"/>
          </w:tcPr>
          <w:p>
            <w:pPr>
              <w:spacing w:after="0"/>
              <w:rPr>
                <w:sz w:val="17"/>
                <w:szCs w:val="17"/>
                <w:color w:val="auto"/>
              </w:rPr>
            </w:pPr>
          </w:p>
        </w:tc>
        <w:tc>
          <w:tcPr>
            <w:tcW w:w="340" w:type="dxa"/>
            <w:vAlign w:val="bottom"/>
            <w:tcBorders>
              <w:bottom w:val="single" w:sz="8" w:color="CCFFCC"/>
            </w:tcBorders>
            <w:gridSpan w:val="2"/>
            <w:shd w:val="clear" w:color="auto" w:fill="CCFFCC"/>
          </w:tcPr>
          <w:p>
            <w:pPr>
              <w:spacing w:after="0"/>
              <w:rPr>
                <w:sz w:val="17"/>
                <w:szCs w:val="17"/>
                <w:color w:val="auto"/>
              </w:rPr>
            </w:pPr>
          </w:p>
        </w:tc>
        <w:tc>
          <w:tcPr>
            <w:tcW w:w="100" w:type="dxa"/>
            <w:vAlign w:val="bottom"/>
            <w:tcBorders>
              <w:bottom w:val="single" w:sz="8" w:color="0000EE"/>
            </w:tcBorders>
            <w:shd w:val="clear" w:color="auto" w:fill="CCFFCC"/>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00" w:type="dxa"/>
            <w:vAlign w:val="bottom"/>
            <w:tcBorders>
              <w:bottom w:val="single" w:sz="8" w:color="CCFFCC"/>
            </w:tcBorders>
            <w:shd w:val="clear" w:color="auto" w:fill="CCFFCC"/>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Consolidated Schedule of Investments as of December 31, 2013</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Notes to the Consolidated Financial Statements as of March 31, 2014 (unaudited)</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14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196"/>
        </w:trPr>
        <w:tc>
          <w:tcPr>
            <w:tcW w:w="2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top w:val="single" w:sz="8" w:color="0000EE"/>
            </w:tcBorders>
            <w:gridSpan w:val="19"/>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Operations</w:t>
              </w:r>
            </w:hyperlink>
          </w:p>
        </w:tc>
        <w:tc>
          <w:tcPr>
            <w:tcW w:w="114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14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 1A.</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684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540" w:type="dxa"/>
            <w:vAlign w:val="bottom"/>
            <w:gridSpan w:val="4"/>
            <w:shd w:val="clear" w:color="auto" w:fill="CCFFCC"/>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r>
      <w:tr>
        <w:trPr>
          <w:trHeight w:val="210"/>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shd w:val="clear" w:color="auto" w:fill="CCFFCC"/>
          </w:tcPr>
          <w:p>
            <w:pPr>
              <w:spacing w:after="0"/>
              <w:rPr>
                <w:sz w:val="17"/>
                <w:szCs w:val="17"/>
                <w:color w:val="auto"/>
              </w:rPr>
            </w:pPr>
          </w:p>
        </w:tc>
        <w:tc>
          <w:tcPr>
            <w:tcW w:w="582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rPr>
              <w:t>Investments in controlled securities (cost of $7,033,130 and $0,</w:t>
            </w:r>
          </w:p>
        </w:tc>
        <w:tc>
          <w:tcPr>
            <w:tcW w:w="1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8,012,556</w:t>
            </w:r>
          </w:p>
        </w:tc>
        <w:tc>
          <w:tcPr>
            <w:tcW w:w="26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FFCC"/>
          </w:tcPr>
          <w:p>
            <w:pPr>
              <w:spacing w:after="0"/>
              <w:rPr>
                <w:sz w:val="20"/>
                <w:szCs w:val="20"/>
                <w:color w:val="auto"/>
              </w:rPr>
            </w:pPr>
          </w:p>
        </w:tc>
        <w:tc>
          <w:tcPr>
            <w:tcW w:w="582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Investments in affiliated securities (cost of $63,818,718 and $64,912,527,</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60,038,914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7"/>
              </w:rPr>
              <w:t>62,740,162</w:t>
            </w:r>
          </w:p>
        </w:tc>
      </w:tr>
      <w:tr>
        <w:trPr>
          <w:trHeight w:val="230"/>
        </w:trPr>
        <w:tc>
          <w:tcPr>
            <w:tcW w:w="20" w:type="dxa"/>
            <w:vAlign w:val="bottom"/>
          </w:tcPr>
          <w:p>
            <w:pPr>
              <w:spacing w:after="0"/>
              <w:rPr>
                <w:sz w:val="20"/>
                <w:szCs w:val="20"/>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shd w:val="clear" w:color="auto" w:fill="CCFFCC"/>
          </w:tcPr>
          <w:p>
            <w:pPr>
              <w:spacing w:after="0"/>
              <w:rPr>
                <w:sz w:val="17"/>
                <w:szCs w:val="17"/>
                <w:color w:val="auto"/>
              </w:rPr>
            </w:pPr>
          </w:p>
        </w:tc>
        <w:tc>
          <w:tcPr>
            <w:tcW w:w="582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w w:val="97"/>
              </w:rPr>
              <w:t>Investments in non-control/non-affiliated securities (cost of $224,585,818</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87"/>
              </w:rPr>
              <w:t>299,972,346</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87"/>
              </w:rPr>
              <w:t>292,643,491</w:t>
            </w:r>
          </w:p>
        </w:tc>
      </w:tr>
      <w:tr>
        <w:trPr>
          <w:trHeight w:val="230"/>
        </w:trPr>
        <w:tc>
          <w:tcPr>
            <w:tcW w:w="20" w:type="dxa"/>
            <w:vAlign w:val="bottom"/>
            <w:shd w:val="clear" w:color="auto" w:fill="CCFFCC"/>
          </w:tcPr>
          <w:p>
            <w:pPr>
              <w:spacing w:after="0"/>
              <w:rPr>
                <w:sz w:val="20"/>
                <w:szCs w:val="20"/>
                <w:color w:val="auto"/>
              </w:rPr>
            </w:pPr>
          </w:p>
        </w:tc>
        <w:tc>
          <w:tcPr>
            <w:tcW w:w="582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and $214,796,591, 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Investments owned and pledged (cost of $9,054,451 and $10,845,236,</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9,089,805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7"/>
              </w:rPr>
              <w:t>10,865,200</w:t>
            </w:r>
          </w:p>
        </w:tc>
      </w:tr>
      <w:tr>
        <w:trPr>
          <w:trHeight w:val="230"/>
        </w:trPr>
        <w:tc>
          <w:tcPr>
            <w:tcW w:w="20" w:type="dxa"/>
            <w:vAlign w:val="bottom"/>
          </w:tcPr>
          <w:p>
            <w:pPr>
              <w:spacing w:after="0"/>
              <w:rPr>
                <w:sz w:val="20"/>
                <w:szCs w:val="20"/>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shd w:val="clear" w:color="auto" w:fill="CCFFCC"/>
          </w:tcPr>
          <w:p>
            <w:pPr>
              <w:spacing w:after="0"/>
              <w:rPr>
                <w:sz w:val="17"/>
                <w:szCs w:val="17"/>
                <w:color w:val="auto"/>
              </w:rPr>
            </w:pPr>
          </w:p>
        </w:tc>
        <w:tc>
          <w:tcPr>
            <w:tcW w:w="582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w w:val="98"/>
              </w:rPr>
              <w:t>Investments in United States Treasury Bill (cost of $80,000,584 and $0,</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7"/>
              </w:rPr>
              <w:t>79,999,900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FFCC"/>
            </w:tcBorders>
            <w:shd w:val="clear" w:color="auto" w:fill="CCFFCC"/>
          </w:tcPr>
          <w:p>
            <w:pPr>
              <w:spacing w:after="0"/>
              <w:rPr>
                <w:sz w:val="20"/>
                <w:szCs w:val="20"/>
                <w:color w:val="auto"/>
              </w:rPr>
            </w:pPr>
          </w:p>
        </w:tc>
        <w:tc>
          <w:tcPr>
            <w:tcW w:w="5820" w:type="dxa"/>
            <w:vAlign w:val="bottom"/>
            <w:tcBorders>
              <w:bottom w:val="single" w:sz="8" w:color="CCFFCC"/>
            </w:tcBorders>
            <w:gridSpan w:val="2"/>
            <w:shd w:val="clear" w:color="auto" w:fill="CCFFCC"/>
          </w:tcPr>
          <w:p>
            <w:pPr>
              <w:ind w:left="36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w w:val="93"/>
              </w:rPr>
              <w:t>Total Investments (cost of $384,492,701 and $290,554,354, respectively)</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457,113,521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366,248,853</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4,063,165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7,219,203</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22,264</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Deposit with Broker</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10,000,000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shd w:val="clear" w:color="auto" w:fill="CCFFCC"/>
          </w:tcPr>
          <w:p>
            <w:pPr>
              <w:spacing w:after="0"/>
              <w:rPr>
                <w:sz w:val="22"/>
                <w:szCs w:val="22"/>
                <w:color w:val="auto"/>
              </w:rPr>
            </w:pPr>
          </w:p>
        </w:tc>
        <w:tc>
          <w:tcPr>
            <w:tcW w:w="5820" w:type="dxa"/>
            <w:vAlign w:val="bottom"/>
            <w:gridSpan w:val="2"/>
            <w:shd w:val="clear" w:color="auto" w:fill="CCFFCC"/>
          </w:tcPr>
          <w:p>
            <w:pPr>
              <w:ind w:left="18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3,039</w:t>
            </w:r>
          </w:p>
        </w:tc>
      </w:tr>
      <w:tr>
        <w:trPr>
          <w:trHeight w:val="216"/>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Portfolio companies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140,804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153,178</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40,684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7,304</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49,739</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Coupon interest receivable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11,141</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Dividend receivable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credit facility fees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244,306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288,249</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Deferred debt issuance costs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3,201,159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3,378,121</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228,285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184,710</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334,575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368,524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582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475,517,547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377,947,558</w:t>
            </w:r>
          </w:p>
        </w:tc>
      </w:tr>
      <w:tr>
        <w:trPr>
          <w:trHeight w:val="210"/>
        </w:trPr>
        <w:tc>
          <w:tcPr>
            <w:tcW w:w="584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603,199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563,978</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333,474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382,165</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Accrued incentive fees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11,493,204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10,523,552</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171,063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1,056,563</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80,000,584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Net deferred tax liability</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8,291,196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8,320,561</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18,000,000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embedded derivative liability</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799,000</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Convertible senior notes payable 5.25% due September 15, 2018</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68,365,979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68,335,295</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8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187,471,399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89,981,114</w:t>
            </w:r>
          </w:p>
        </w:tc>
      </w:tr>
      <w:tr>
        <w:trPr>
          <w:trHeight w:val="210"/>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288,046,148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287,966,444</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Common stock, par value $0.01 per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(100,000,000 authorized; 19,320,100 issued and outstanding)</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193,201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193,201</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275,837,514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275,837,514</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(21,987,215)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(19,192,401)</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(8,967,092)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(13,660,306)</w:t>
            </w:r>
          </w:p>
        </w:tc>
      </w:tr>
      <w:tr>
        <w:trPr>
          <w:trHeight w:val="216"/>
        </w:trPr>
        <w:tc>
          <w:tcPr>
            <w:tcW w:w="5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net unrealized appreciation (depreciation) on investments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42,969,740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44,788,436</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8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288,046,148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287,966,444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5820" w:type="dxa"/>
            <w:vAlign w:val="bottom"/>
            <w:gridSpan w:val="2"/>
            <w:shd w:val="clear" w:color="auto" w:fill="CCFFCC"/>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14.91</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484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-5839460</wp:posOffset>
            </wp:positionV>
            <wp:extent cx="52139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-3601085</wp:posOffset>
            </wp:positionV>
            <wp:extent cx="52139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-1920240</wp:posOffset>
            </wp:positionV>
            <wp:extent cx="52139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This balance is a related party transaction. Refer to Note 2 for more detail.</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221"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r>
      <w:tr>
        <w:trPr>
          <w:trHeight w:val="210"/>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Interest income from affiliated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income from affiliated securities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Dividend income from non-control/non-affiliated securities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4,535</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40,815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4,535</w:t>
            </w:r>
          </w:p>
        </w:tc>
      </w:tr>
      <w:tr>
        <w:trPr>
          <w:trHeight w:val="210"/>
        </w:trPr>
        <w:tc>
          <w:tcPr>
            <w:tcW w:w="59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1,756,196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1,283,599</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incentive fees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969,652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908,532</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887,984</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65,250</w:t>
            </w: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456,539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236,886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1,179,725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59,736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53,013</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43,562</w:t>
            </w:r>
          </w:p>
        </w:tc>
      </w:tr>
      <w:tr>
        <w:trPr>
          <w:trHeight w:val="216"/>
        </w:trPr>
        <w:tc>
          <w:tcPr>
            <w:tcW w:w="5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18,251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4,848,543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2,572,260</w:t>
            </w: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2,012,914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(2,794,814)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(2,567,725)</w:t>
            </w: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Net Realized Gain (Loss) on Investments</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7,931,745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(3,346,892)</w:t>
            </w:r>
          </w:p>
        </w:tc>
      </w:tr>
      <w:tr>
        <w:trPr>
          <w:trHeight w:val="216"/>
        </w:trPr>
        <w:tc>
          <w:tcPr>
            <w:tcW w:w="59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w w:val="98"/>
              </w:rPr>
              <w:t>Benefit/(Provision) for taxes on Net Realized Capital Gains/(Losses)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(3,238,531)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Net Change in Unrealized Depreciation on Investments</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(3,073,679)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(1,576,638)</w:t>
            </w:r>
          </w:p>
        </w:tc>
      </w:tr>
      <w:tr>
        <w:trPr>
          <w:trHeight w:val="216"/>
        </w:trPr>
        <w:tc>
          <w:tcPr>
            <w:tcW w:w="59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Benefit for taxes on Unrealized Depreciation of investments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1,254,983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79,704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(7,491,255)</w:t>
            </w:r>
          </w:p>
        </w:tc>
      </w:tr>
      <w:tr>
        <w:trPr>
          <w:trHeight w:val="21"/>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5900" w:type="dxa"/>
            <w:vAlign w:val="bottom"/>
            <w:shd w:val="clear" w:color="auto" w:fill="CCFFCC"/>
          </w:tcPr>
          <w:p>
            <w:pPr>
              <w:ind w:left="200"/>
              <w:spacing w:after="0" w:line="191" w:lineRule="exact"/>
              <w:rPr>
                <w:sz w:val="20"/>
                <w:szCs w:val="20"/>
                <w:color w:val="auto"/>
              </w:rPr>
            </w:pPr>
            <w:r>
              <w:rPr>
                <w:rFonts w:ascii="Arial" w:cs="Arial" w:eastAsia="Arial" w:hAnsi="Arial"/>
                <w:sz w:val="18"/>
                <w:szCs w:val="18"/>
                <w:b w:val="1"/>
                <w:bCs w:val="1"/>
                <w:color w:val="auto"/>
                <w:w w:val="95"/>
              </w:rPr>
              <w:t>Net Increase (Decrease) in Net Assets Resulting From Operations Per</w:t>
            </w:r>
          </w:p>
        </w:tc>
        <w:tc>
          <w:tcPr>
            <w:tcW w:w="10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FFCC"/>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(0.38)</w:t>
            </w:r>
          </w:p>
        </w:tc>
      </w:tr>
      <w:tr>
        <w:trPr>
          <w:trHeight w:val="234"/>
        </w:trPr>
        <w:tc>
          <w:tcPr>
            <w:tcW w:w="590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Common Share — basic and diluted</w:t>
            </w: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34"/>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19,320,100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19,320,100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-3107055</wp:posOffset>
            </wp:positionV>
            <wp:extent cx="52139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-885825</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-602615</wp:posOffset>
            </wp:positionV>
            <wp:extent cx="521398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auto"/>
            </w:tcBorders>
          </w:tcPr>
          <w:p>
            <w:pPr>
              <w:spacing w:after="0"/>
              <w:rPr>
                <w:sz w:val="14"/>
                <w:szCs w:val="14"/>
                <w:color w:val="auto"/>
              </w:rPr>
            </w:pPr>
          </w:p>
        </w:tc>
      </w:tr>
      <w:tr>
        <w:trPr>
          <w:trHeight w:val="210"/>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(2,794,814)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(2,567,725)</w:t>
            </w:r>
          </w:p>
        </w:tc>
      </w:tr>
      <w:tr>
        <w:trPr>
          <w:trHeight w:val="216"/>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7,931,745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(3,346,892)</w:t>
            </w: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Benefit/(Provision) for taxes on Net Realized Capital Gains/(Losses)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(3,238,531)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Change in unrealized depreciation on Investments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(3,073,679)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(1,576,638)</w:t>
            </w: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Benefit for taxes on Unrealized Depreciation of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79,704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(7,491,255)</w:t>
            </w:r>
          </w:p>
        </w:tc>
      </w:tr>
      <w:tr>
        <w:trPr>
          <w:trHeight w:val="20"/>
        </w:trPr>
        <w:tc>
          <w:tcPr>
            <w:tcW w:w="5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79,704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(7,491,255)</w:t>
            </w:r>
          </w:p>
        </w:tc>
      </w:tr>
      <w:tr>
        <w:trPr>
          <w:trHeight w:val="216"/>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287,966,444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252,582,801</w:t>
            </w:r>
          </w:p>
        </w:tc>
      </w:tr>
      <w:tr>
        <w:trPr>
          <w:trHeight w:val="20"/>
        </w:trPr>
        <w:tc>
          <w:tcPr>
            <w:tcW w:w="5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288,046,148</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245,091,546</w:t>
            </w:r>
          </w:p>
        </w:tc>
      </w:tr>
      <w:tr>
        <w:trPr>
          <w:trHeight w:val="21"/>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19,320,100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19,320,100</w:t>
            </w:r>
          </w:p>
        </w:tc>
      </w:tr>
      <w:tr>
        <w:trPr>
          <w:trHeight w:val="20"/>
        </w:trPr>
        <w:tc>
          <w:tcPr>
            <w:tcW w:w="5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19,320,100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19,320,100</w:t>
            </w:r>
          </w:p>
        </w:tc>
      </w:tr>
      <w:tr>
        <w:trPr>
          <w:trHeight w:val="21"/>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r>
      <w:tr>
        <w:trPr>
          <w:trHeight w:val="210"/>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840" w:type="dxa"/>
            <w:vAlign w:val="bottom"/>
            <w:gridSpan w:val="4"/>
          </w:tcPr>
          <w:p>
            <w:pPr>
              <w:ind w:left="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79,704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(7,491,255)</w:t>
            </w:r>
          </w:p>
        </w:tc>
      </w:tr>
      <w:tr>
        <w:trPr>
          <w:trHeight w:val="202"/>
        </w:trPr>
        <w:tc>
          <w:tcPr>
            <w:tcW w:w="5840" w:type="dxa"/>
            <w:vAlign w:val="bottom"/>
            <w:gridSpan w:val="4"/>
            <w:shd w:val="clear" w:color="auto" w:fill="CCFFCC"/>
          </w:tcPr>
          <w:p>
            <w:pPr>
              <w:ind w:left="20"/>
              <w:spacing w:after="0" w:line="201" w:lineRule="exact"/>
              <w:rPr>
                <w:sz w:val="20"/>
                <w:szCs w:val="20"/>
                <w:color w:val="auto"/>
              </w:rPr>
            </w:pPr>
            <w:r>
              <w:rPr>
                <w:rFonts w:ascii="Arial" w:cs="Arial" w:eastAsia="Arial" w:hAnsi="Arial"/>
                <w:sz w:val="18"/>
                <w:szCs w:val="18"/>
                <w:color w:val="auto"/>
                <w:w w:val="95"/>
              </w:rPr>
              <w:t>Adjustments to reconcile net increase (decrease) in net assets resulting from</w:t>
            </w: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30"/>
        </w:trPr>
        <w:tc>
          <w:tcPr>
            <w:tcW w:w="20" w:type="dxa"/>
            <w:vAlign w:val="bottom"/>
            <w:shd w:val="clear" w:color="auto" w:fill="CCFFCC"/>
          </w:tcPr>
          <w:p>
            <w:pPr>
              <w:spacing w:after="0"/>
              <w:rPr>
                <w:sz w:val="20"/>
                <w:szCs w:val="20"/>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operations to net cash used in operating activities:</w:t>
            </w: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(7,931,745)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3,346,892</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3,073,679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1,576,638</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(29,365)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Amortization of deferred credit facility fees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207,646</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Purchases of investments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0"/>
              </w:rPr>
              <w:t>(21,929,081)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(3,466,394)</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Proceeds from sales or redemption of investments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14,132,278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1,785,344</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360"/>
              <w:spacing w:after="0"/>
              <w:rPr>
                <w:sz w:val="20"/>
                <w:szCs w:val="20"/>
                <w:color w:val="auto"/>
              </w:rPr>
            </w:pPr>
            <w:r>
              <w:rPr>
                <w:rFonts w:ascii="Arial" w:cs="Arial" w:eastAsia="Arial" w:hAnsi="Arial"/>
                <w:sz w:val="18"/>
                <w:szCs w:val="18"/>
                <w:color w:val="auto"/>
              </w:rPr>
              <w:t>United States treasury strips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1,790,785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Deposit with Broker</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shd w:val="clear" w:color="auto" w:fill="CCFFCC"/>
          </w:tcPr>
          <w:p>
            <w:pPr>
              <w:spacing w:after="0"/>
              <w:rPr>
                <w:sz w:val="22"/>
                <w:szCs w:val="22"/>
                <w:color w:val="auto"/>
              </w:rPr>
            </w:pPr>
          </w:p>
        </w:tc>
        <w:tc>
          <w:tcPr>
            <w:tcW w:w="5820" w:type="dxa"/>
            <w:vAlign w:val="bottom"/>
            <w:gridSpan w:val="3"/>
            <w:shd w:val="clear" w:color="auto" w:fill="CCFFCC"/>
          </w:tcPr>
          <w:p>
            <w:pPr>
              <w:ind w:left="18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(2,782)</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Due from portfolio companies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(6,664)</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(33,380)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(1,788)</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Coupon interest receivable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Dividend receivable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33,949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(21,344)</w:t>
            </w:r>
          </w:p>
        </w:tc>
      </w:tr>
      <w:tr>
        <w:trPr>
          <w:trHeight w:val="257"/>
        </w:trPr>
        <w:tc>
          <w:tcPr>
            <w:tcW w:w="20" w:type="dxa"/>
            <w:vAlign w:val="bottom"/>
          </w:tcPr>
          <w:p>
            <w:pPr>
              <w:spacing w:after="0"/>
              <w:rPr>
                <w:sz w:val="22"/>
                <w:szCs w:val="22"/>
                <w:color w:val="auto"/>
              </w:rPr>
            </w:pPr>
          </w:p>
        </w:tc>
        <w:tc>
          <w:tcPr>
            <w:tcW w:w="5820" w:type="dxa"/>
            <w:vAlign w:val="bottom"/>
            <w:gridSpan w:val="3"/>
          </w:tcPr>
          <w:p>
            <w:pPr>
              <w:ind w:left="18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39,221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(12,182)</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(48,691)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32,266</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Accrued incentive fees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969,652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(885,500)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(239,320)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0"/>
              </w:rPr>
              <w:t>(21,112,588)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(4,500,146)</w:t>
            </w:r>
          </w:p>
        </w:tc>
      </w:tr>
      <w:tr>
        <w:trPr>
          <w:trHeight w:val="210"/>
        </w:trPr>
        <w:tc>
          <w:tcPr>
            <w:tcW w:w="58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18,000,000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4"/>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3"/>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17,956,550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color w:val="auto"/>
              </w:rPr>
              <w:t>Total Decrease in Cash Balance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(3,156,038)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(4,500,146)</w:t>
            </w:r>
          </w:p>
        </w:tc>
      </w:tr>
      <w:tr>
        <w:trPr>
          <w:trHeight w:val="216"/>
        </w:trPr>
        <w:tc>
          <w:tcPr>
            <w:tcW w:w="5840" w:type="dxa"/>
            <w:vAlign w:val="bottom"/>
            <w:gridSpan w:val="4"/>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7,219,203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11,318,525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4,063,165</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6,818,379</w:t>
            </w:r>
          </w:p>
        </w:tc>
      </w:tr>
      <w:tr>
        <w:trPr>
          <w:trHeight w:val="210"/>
        </w:trPr>
        <w:tc>
          <w:tcPr>
            <w:tcW w:w="58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176"/>
        </w:trPr>
        <w:tc>
          <w:tcPr>
            <w:tcW w:w="5840" w:type="dxa"/>
            <w:vAlign w:val="bottom"/>
            <w:gridSpan w:val="4"/>
            <w:shd w:val="clear" w:color="auto" w:fill="CCFFCC"/>
          </w:tcPr>
          <w:p>
            <w:pPr>
              <w:ind w:left="20"/>
              <w:spacing w:after="0" w:line="176" w:lineRule="exact"/>
              <w:rPr>
                <w:sz w:val="20"/>
                <w:szCs w:val="20"/>
                <w:color w:val="auto"/>
              </w:rPr>
            </w:pPr>
            <w:r>
              <w:rPr>
                <w:rFonts w:ascii="Arial" w:cs="Arial" w:eastAsia="Arial" w:hAnsi="Arial"/>
                <w:sz w:val="18"/>
                <w:szCs w:val="18"/>
                <w:color w:val="auto"/>
              </w:rPr>
              <w:t>Transactions in Investments in Portfolio Companies</w:t>
            </w: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760" w:type="dxa"/>
            <w:vAlign w:val="bottom"/>
            <w:tcBorders>
              <w:top w:val="single" w:sz="8" w:color="auto"/>
            </w:tcBorders>
            <w:shd w:val="clear" w:color="auto" w:fill="CCFFCC"/>
          </w:tcPr>
          <w:p>
            <w:pPr>
              <w:spacing w:after="0" w:line="20" w:lineRule="exact"/>
              <w:rPr>
                <w:sz w:val="1"/>
                <w:szCs w:val="1"/>
                <w:color w:val="auto"/>
              </w:rPr>
            </w:pPr>
          </w:p>
        </w:tc>
        <w:tc>
          <w:tcPr>
            <w:tcW w:w="20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216"/>
        </w:trPr>
        <w:tc>
          <w:tcPr>
            <w:tcW w:w="5840" w:type="dxa"/>
            <w:vAlign w:val="bottom"/>
            <w:gridSpan w:val="4"/>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517,755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1,273,125</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4"/>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8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80,000,584</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7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-2169160</wp:posOffset>
            </wp:positionV>
            <wp:extent cx="52139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-1611630</wp:posOffset>
            </wp:positionV>
            <wp:extent cx="521398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-1036955</wp:posOffset>
            </wp:positionV>
            <wp:extent cx="521398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jc w:val="right"/>
        <w:ind w:left="3080" w:right="3479" w:hanging="3052"/>
        <w:spacing w:after="0" w:line="995" w:lineRule="auto"/>
        <w:tabs>
          <w:tab w:leader="none" w:pos="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This balance is a related party transaction. Refer to Note 2 Related Party Arrangements. </w:t>
      </w:r>
      <w:r>
        <w:rPr>
          <w:rFonts w:ascii="Arial" w:cs="Arial" w:eastAsia="Arial" w:hAnsi="Arial"/>
          <w:sz w:val="16"/>
          <w:szCs w:val="16"/>
          <w:i w:val="1"/>
          <w:iCs w:val="1"/>
          <w:color w:val="auto"/>
        </w:rPr>
        <w:t>See notes to Consolidated Financial Statements.</w:t>
      </w:r>
    </w:p>
    <w:p>
      <w:pPr>
        <w:ind w:left="462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15"/>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8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6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Twitter, Inc.</w:t>
            </w:r>
            <w:r>
              <w:rPr>
                <w:rFonts w:ascii="Arial" w:cs="Arial" w:eastAsia="Arial" w:hAnsi="Arial"/>
                <w:sz w:val="22"/>
                <w:szCs w:val="22"/>
                <w:b w:val="1"/>
                <w:bCs w:val="1"/>
                <w:color w:val="auto"/>
                <w:vertAlign w:val="superscript"/>
              </w:rPr>
              <w:t>(11)**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1,900,600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w w:val="96"/>
              </w:rPr>
              <w:t>$ 32,991,111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w w:val="98"/>
              </w:rPr>
              <w:t>$80,717,912</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28.02%</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20,051,480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40,444,605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14.04%</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2,003,266</w:t>
            </w:r>
          </w:p>
        </w:tc>
        <w:tc>
          <w:tcPr>
            <w:tcW w:w="70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0.70%</w:t>
            </w:r>
          </w:p>
        </w:tc>
      </w:tr>
      <w:tr>
        <w:trPr>
          <w:trHeight w:val="20"/>
        </w:trPr>
        <w:tc>
          <w:tcPr>
            <w:tcW w:w="2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21,060,448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42,447,871</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14.74%</w:t>
            </w:r>
          </w:p>
        </w:tc>
      </w:tr>
      <w:tr>
        <w:trPr>
          <w:trHeight w:val="156"/>
        </w:trPr>
        <w:tc>
          <w:tcPr>
            <w:tcW w:w="2660" w:type="dxa"/>
            <w:vAlign w:val="bottom"/>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14,516,000</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5.04%</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10,552,483</w:t>
            </w:r>
          </w:p>
        </w:tc>
        <w:tc>
          <w:tcPr>
            <w:tcW w:w="70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3.66%</w:t>
            </w:r>
          </w:p>
        </w:tc>
      </w:tr>
      <w:tr>
        <w:trPr>
          <w:trHeight w:val="20"/>
        </w:trPr>
        <w:tc>
          <w:tcPr>
            <w:tcW w:w="2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13,656,486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25,068,483</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8.70%</w:t>
            </w:r>
          </w:p>
        </w:tc>
      </w:tr>
      <w:tr>
        <w:trPr>
          <w:trHeight w:val="196"/>
        </w:trPr>
        <w:tc>
          <w:tcPr>
            <w:tcW w:w="26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(13)</w:t>
            </w:r>
            <w:r>
              <w:rPr>
                <w:rFonts w:ascii="Arial" w:cs="Arial" w:eastAsia="Arial" w:hAnsi="Arial"/>
                <w:sz w:val="14"/>
                <w:szCs w:val="14"/>
                <w:b w:val="1"/>
                <w:bCs w:val="1"/>
                <w:color w:val="auto"/>
              </w:rPr>
              <w:t>**</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1,319,233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10,031,837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14,856,213</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5.16%</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2,961,399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14,519,443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14,517,296</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5.04%</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(8)</w:t>
            </w:r>
            <w:r>
              <w:rPr>
                <w:rFonts w:ascii="Arial" w:cs="Arial" w:eastAsia="Arial" w:hAnsi="Arial"/>
                <w:sz w:val="14"/>
                <w:szCs w:val="14"/>
                <w:b w:val="1"/>
                <w:bCs w:val="1"/>
                <w:color w:val="auto"/>
              </w:rPr>
              <w:t>**</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579,089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5,257,705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12,282,478</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4.26%</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Home Automation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5,034,324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11,017,801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11,000,007</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3.82%</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1,899,799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6,799,392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8,183,904</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2.84%</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Customer Relationship</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Manager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373,134</w:t>
            </w: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1,500,522</w:t>
            </w:r>
          </w:p>
        </w:tc>
        <w:tc>
          <w:tcPr>
            <w:tcW w:w="9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2,323,925</w:t>
            </w:r>
          </w:p>
        </w:tc>
        <w:tc>
          <w:tcPr>
            <w:tcW w:w="70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0.81%</w:t>
            </w:r>
          </w:p>
        </w:tc>
      </w:tr>
      <w:tr>
        <w:trPr>
          <w:trHeight w:val="20"/>
        </w:trPr>
        <w:tc>
          <w:tcPr>
            <w:tcW w:w="2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8,299,914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10,507,829</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3.65%</w:t>
            </w:r>
          </w:p>
        </w:tc>
      </w:tr>
      <w:tr>
        <w:trPr>
          <w:trHeight w:val="196"/>
        </w:trPr>
        <w:tc>
          <w:tcPr>
            <w:tcW w:w="266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2"/>
                <w:szCs w:val="22"/>
                <w:b w:val="1"/>
                <w:bCs w:val="1"/>
                <w:color w:val="auto"/>
                <w:vertAlign w:val="superscript"/>
              </w:rPr>
              <w:t>(2)</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w w:val="91"/>
              </w:rPr>
              <w:t>Preferred shares, Junior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10,220,061</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3.55%</w:t>
            </w: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Globally-focused Private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School</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5"/>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9,999,928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9,999,928</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3.47%</w:t>
            </w: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Menlo Park,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2,839,861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9,999,080</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3.47%</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3,914,535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9,995,517</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3.47%</w:t>
            </w: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3"/>
                <w:szCs w:val="23"/>
                <w:b w:val="1"/>
                <w:bCs w:val="1"/>
                <w:color w:val="auto"/>
                <w:vertAlign w:val="superscript"/>
              </w:rPr>
              <w:t>(12)**</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7,617,180</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2.64%</w:t>
            </w:r>
          </w:p>
        </w:tc>
      </w:tr>
      <w:tr>
        <w:trPr>
          <w:trHeight w:val="20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-5346700</wp:posOffset>
            </wp:positionV>
            <wp:extent cx="521398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-4686300</wp:posOffset>
            </wp:positionV>
            <wp:extent cx="521398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-2430780</wp:posOffset>
            </wp:positionV>
            <wp:extent cx="52139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(1)(5)(15)</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jc w:val="right"/>
              <w:spacing w:after="0"/>
              <w:rPr>
                <w:sz w:val="20"/>
                <w:szCs w:val="20"/>
                <w:color w:val="auto"/>
              </w:rPr>
            </w:pPr>
            <w:r>
              <w:rPr>
                <w:rFonts w:ascii="Arial" w:cs="Arial" w:eastAsia="Arial" w:hAnsi="Arial"/>
                <w:sz w:val="16"/>
                <w:szCs w:val="16"/>
                <w:color w:val="auto"/>
              </w:rPr>
              <w:t>3,279,629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$ 2,019,687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$ 3,797,810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1.32%</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Interactive Learning</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2,132,824</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3,000,030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3,000,030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1.04%</w:t>
            </w: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366,666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0.04%</w:t>
            </w: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Unit Warrants $0.73 strike</w:t>
            </w:r>
          </w:p>
        </w:tc>
        <w:tc>
          <w:tcPr>
            <w:tcW w:w="6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1,215,063</w:t>
            </w:r>
          </w:p>
        </w:tc>
        <w:tc>
          <w:tcPr>
            <w:tcW w:w="8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51,705</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0.02%</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640" w:type="dxa"/>
            <w:vAlign w:val="bottom"/>
            <w:tcBorders>
              <w:bottom w:val="single" w:sz="8" w:color="CCFFCC"/>
            </w:tcBorders>
            <w:gridSpan w:val="12"/>
            <w:shd w:val="clear" w:color="auto" w:fill="CCFFCC"/>
          </w:tcPr>
          <w:p>
            <w:pPr>
              <w:ind w:left="180"/>
              <w:spacing w:after="0"/>
              <w:rPr>
                <w:sz w:val="20"/>
                <w:szCs w:val="20"/>
                <w:color w:val="auto"/>
              </w:rPr>
            </w:pPr>
            <w:r>
              <w:rPr>
                <w:rFonts w:ascii="Arial" w:cs="Arial" w:eastAsia="Arial" w:hAnsi="Arial"/>
                <w:sz w:val="16"/>
                <w:szCs w:val="16"/>
                <w:color w:val="auto"/>
              </w:rPr>
              <w:t>price, expire 7/24/14</w:t>
            </w:r>
          </w:p>
        </w:tc>
        <w:tc>
          <w:tcPr>
            <w:tcW w:w="6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5,129,717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6,959,545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2.42%</w:t>
            </w:r>
          </w:p>
        </w:tc>
      </w:tr>
      <w:tr>
        <w:trPr>
          <w:trHeight w:val="156"/>
        </w:trPr>
        <w:tc>
          <w:tcPr>
            <w:tcW w:w="266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380" w:type="dxa"/>
            <w:vAlign w:val="bottom"/>
            <w:tcBorders>
              <w:top w:val="single" w:sz="8" w:color="auto"/>
            </w:tcBorders>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Stock</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jc w:val="right"/>
              <w:spacing w:after="0"/>
              <w:rPr>
                <w:sz w:val="20"/>
                <w:szCs w:val="20"/>
                <w:color w:val="auto"/>
              </w:rPr>
            </w:pPr>
            <w:r>
              <w:rPr>
                <w:rFonts w:ascii="Arial" w:cs="Arial" w:eastAsia="Arial" w:hAnsi="Arial"/>
                <w:sz w:val="16"/>
                <w:szCs w:val="16"/>
                <w:color w:val="auto"/>
              </w:rPr>
              <w:t>133,213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2,999,983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Stock</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126,552</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2,999,978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2,999,978</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1.04%</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5,999,961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5,999,961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2.08%</w:t>
            </w:r>
          </w:p>
        </w:tc>
      </w:tr>
      <w:tr>
        <w:trPr>
          <w:trHeight w:val="156"/>
        </w:trPr>
        <w:tc>
          <w:tcPr>
            <w:tcW w:w="266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ZocDoc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380" w:type="dxa"/>
            <w:vAlign w:val="bottom"/>
            <w:tcBorders>
              <w:top w:val="single" w:sz="8" w:color="auto"/>
            </w:tcBorders>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3,622,977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1.26%</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Online Medical</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0"/>
              </w:rPr>
              <w:t>Scheduling</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111,866</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1,734,878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2,026,440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0.70%</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5,298,056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5,649,417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1.96%</w:t>
            </w:r>
          </w:p>
        </w:tc>
      </w:tr>
      <w:tr>
        <w:trPr>
          <w:trHeight w:val="156"/>
        </w:trPr>
        <w:tc>
          <w:tcPr>
            <w:tcW w:w="266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380" w:type="dxa"/>
            <w:vAlign w:val="bottom"/>
            <w:tcBorders>
              <w:top w:val="single" w:sz="8" w:color="auto"/>
            </w:tcBorders>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jc w:val="right"/>
              <w:spacing w:after="0"/>
              <w:rPr>
                <w:sz w:val="20"/>
                <w:szCs w:val="20"/>
                <w:color w:val="auto"/>
              </w:rPr>
            </w:pPr>
            <w:r>
              <w:rPr>
                <w:rFonts w:ascii="Arial" w:cs="Arial" w:eastAsia="Arial" w:hAnsi="Arial"/>
                <w:sz w:val="16"/>
                <w:szCs w:val="16"/>
                <w:color w:val="auto"/>
              </w:rPr>
              <w:t>375,985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5,000,149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1.74%</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Lyft,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jc w:val="right"/>
              <w:spacing w:after="0"/>
              <w:rPr>
                <w:sz w:val="20"/>
                <w:szCs w:val="20"/>
                <w:color w:val="auto"/>
              </w:rPr>
            </w:pPr>
            <w:r>
              <w:rPr>
                <w:rFonts w:ascii="Arial" w:cs="Arial" w:eastAsia="Arial" w:hAnsi="Arial"/>
                <w:sz w:val="16"/>
                <w:szCs w:val="16"/>
                <w:color w:val="auto"/>
              </w:rPr>
              <w:t>493,490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4,999,991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4,995,027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1.73%</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89"/>
              </w:rPr>
              <w:t>Peer to Peer Ridesharing</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Violin Memory, Inc.</w:t>
            </w:r>
            <w:r>
              <w:rPr>
                <w:rFonts w:ascii="Arial" w:cs="Arial" w:eastAsia="Arial" w:hAnsi="Arial"/>
                <w:sz w:val="23"/>
                <w:szCs w:val="23"/>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6"/>
              </w:rPr>
              <w:t>Mountain View, CA</w:t>
            </w:r>
          </w:p>
        </w:tc>
        <w:tc>
          <w:tcPr>
            <w:tcW w:w="820" w:type="dxa"/>
            <w:vAlign w:val="bottom"/>
          </w:tcPr>
          <w:p>
            <w:pPr>
              <w:jc w:val="right"/>
              <w:spacing w:after="0"/>
              <w:rPr>
                <w:sz w:val="20"/>
                <w:szCs w:val="20"/>
                <w:color w:val="auto"/>
              </w:rPr>
            </w:pPr>
            <w:r>
              <w:rPr>
                <w:rFonts w:ascii="Arial" w:cs="Arial" w:eastAsia="Arial" w:hAnsi="Arial"/>
                <w:sz w:val="16"/>
                <w:szCs w:val="16"/>
                <w:color w:val="auto"/>
              </w:rPr>
              <w:t>1,247,498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14,820,178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4,989,992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1.73%</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Memory Flash</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7"/>
              </w:rPr>
              <w:t>Cambridge, MA</w:t>
            </w:r>
          </w:p>
        </w:tc>
        <w:tc>
          <w:tcPr>
            <w:tcW w:w="820" w:type="dxa"/>
            <w:vAlign w:val="bottom"/>
          </w:tcPr>
          <w:p>
            <w:pPr>
              <w:jc w:val="right"/>
              <w:spacing w:after="0"/>
              <w:rPr>
                <w:sz w:val="20"/>
                <w:szCs w:val="20"/>
                <w:color w:val="auto"/>
              </w:rPr>
            </w:pPr>
            <w:r>
              <w:rPr>
                <w:rFonts w:ascii="Arial" w:cs="Arial" w:eastAsia="Arial" w:hAnsi="Arial"/>
                <w:sz w:val="16"/>
                <w:szCs w:val="16"/>
                <w:color w:val="auto"/>
              </w:rPr>
              <w:t>1,728,724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3,193,444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3,089,842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1.07%</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Business Education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Convertible Promissory Note, 10%</w:t>
            </w:r>
          </w:p>
        </w:tc>
        <w:tc>
          <w:tcPr>
            <w:tcW w:w="2140" w:type="dxa"/>
            <w:vAlign w:val="bottom"/>
            <w:gridSpan w:val="4"/>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1,813,904</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1,818,075</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1,813,904</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0.63%</w:t>
            </w:r>
          </w:p>
        </w:tc>
      </w:tr>
      <w:tr>
        <w:trPr>
          <w:trHeight w:val="212"/>
        </w:trPr>
        <w:tc>
          <w:tcPr>
            <w:tcW w:w="20" w:type="dxa"/>
            <w:vAlign w:val="bottom"/>
            <w:shd w:val="clear" w:color="auto" w:fill="CCFFCC"/>
          </w:tcPr>
          <w:p>
            <w:pPr>
              <w:spacing w:after="0"/>
              <w:rPr>
                <w:sz w:val="18"/>
                <w:szCs w:val="18"/>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Interest rate, February 16, 2015</w:t>
            </w:r>
          </w:p>
        </w:tc>
        <w:tc>
          <w:tcPr>
            <w:tcW w:w="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warrants,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186,170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59,574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0.02%</w:t>
            </w:r>
          </w:p>
        </w:tc>
      </w:tr>
      <w:tr>
        <w:trPr>
          <w:trHeight w:val="203"/>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$0.91 strike price, expire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1000" w:type="dxa"/>
            <w:vAlign w:val="bottom"/>
            <w:gridSpan w:val="5"/>
          </w:tcPr>
          <w:p>
            <w:pPr>
              <w:ind w:left="200"/>
              <w:spacing w:after="0"/>
              <w:rPr>
                <w:sz w:val="20"/>
                <w:szCs w:val="20"/>
                <w:color w:val="auto"/>
              </w:rPr>
            </w:pPr>
            <w:r>
              <w:rPr>
                <w:rFonts w:ascii="Arial" w:cs="Arial" w:eastAsia="Arial" w:hAnsi="Arial"/>
                <w:sz w:val="16"/>
                <w:szCs w:val="16"/>
                <w:color w:val="auto"/>
              </w:rPr>
              <w:t>3/22/2020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Common warrants,</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82,418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7"/>
                <w:szCs w:val="17"/>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$0.91 strike price, expire</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2"/>
        </w:trPr>
        <w:tc>
          <w:tcPr>
            <w:tcW w:w="1000" w:type="dxa"/>
            <w:vAlign w:val="bottom"/>
            <w:gridSpan w:val="5"/>
            <w:shd w:val="clear" w:color="auto" w:fill="CCFFCC"/>
          </w:tcPr>
          <w:p>
            <w:pPr>
              <w:ind w:left="200"/>
              <w:spacing w:after="0"/>
              <w:rPr>
                <w:sz w:val="20"/>
                <w:szCs w:val="20"/>
                <w:color w:val="auto"/>
              </w:rPr>
            </w:pPr>
            <w:r>
              <w:rPr>
                <w:rFonts w:ascii="Arial" w:cs="Arial" w:eastAsia="Arial" w:hAnsi="Arial"/>
                <w:sz w:val="16"/>
                <w:szCs w:val="16"/>
                <w:color w:val="auto"/>
                <w:w w:val="97"/>
              </w:rPr>
              <w:t>10/09/2018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warrants,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w w:val="94"/>
              </w:rPr>
              <w:t>$0.91 strike price, expire 12/10/2018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5,098,240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4,963,320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1.72%</w:t>
            </w:r>
          </w:p>
        </w:tc>
      </w:tr>
      <w:tr>
        <w:trPr>
          <w:trHeight w:val="156"/>
        </w:trPr>
        <w:tc>
          <w:tcPr>
            <w:tcW w:w="2660" w:type="dxa"/>
            <w:vAlign w:val="bottom"/>
            <w:tcBorders>
              <w:top w:val="single" w:sz="8" w:color="CCFFCC"/>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tcBorders>
              <w:top w:val="single" w:sz="8" w:color="CCFFCC"/>
            </w:tcBorders>
          </w:tcPr>
          <w:p>
            <w:pPr>
              <w:spacing w:after="0"/>
              <w:rPr>
                <w:sz w:val="13"/>
                <w:szCs w:val="13"/>
                <w:color w:val="auto"/>
              </w:rPr>
            </w:pPr>
          </w:p>
        </w:tc>
        <w:tc>
          <w:tcPr>
            <w:tcW w:w="186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2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FFC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tcBorders>
            <w:gridSpan w:val="10"/>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4"/>
              </w:rPr>
              <w:t>Hong Kong</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2,126,475</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4,335,671</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4,527,089</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1.57%</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(1)(3)</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1.04%</w:t>
            </w:r>
          </w:p>
        </w:tc>
      </w:tr>
      <w:tr>
        <w:trPr>
          <w:trHeight w:val="203"/>
        </w:trPr>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4"/>
              </w:rPr>
              <w:t>Globally-focused Private</w:t>
            </w: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89"/>
              </w:rPr>
              <w:t>School</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1,545,159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4,545,159</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4,500,000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1.56%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-5976620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-5316220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-4527550</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1660" w:type="dxa"/>
            <w:vAlign w:val="bottom"/>
            <w:tcBorders>
              <w:bottom w:val="single" w:sz="8" w:color="CCFFCC"/>
            </w:tcBorders>
            <w:gridSpan w:val="6"/>
            <w:vMerge w:val="restart"/>
            <w:shd w:val="clear" w:color="auto" w:fill="CCFFCC"/>
          </w:tcPr>
          <w:p>
            <w:pPr>
              <w:ind w:left="20"/>
              <w:spacing w:after="0"/>
              <w:rPr>
                <w:sz w:val="20"/>
                <w:szCs w:val="20"/>
                <w:color w:val="auto"/>
              </w:rPr>
            </w:pPr>
            <w:r>
              <w:rPr>
                <w:rFonts w:ascii="Arial" w:cs="Arial" w:eastAsia="Arial" w:hAnsi="Arial"/>
                <w:sz w:val="16"/>
                <w:szCs w:val="16"/>
                <w:b w:val="1"/>
                <w:bCs w:val="1"/>
                <w:color w:val="auto"/>
                <w:w w:val="87"/>
              </w:rPr>
              <w:t>Spotify Technology S.A.</w:t>
            </w:r>
          </w:p>
        </w:tc>
        <w:tc>
          <w:tcPr>
            <w:tcW w:w="140" w:type="dxa"/>
            <w:vAlign w:val="bottom"/>
            <w:tcBorders>
              <w:bottom w:val="single" w:sz="8" w:color="auto"/>
            </w:tcBorders>
            <w:gridSpan w:val="2"/>
            <w:shd w:val="clear" w:color="auto" w:fill="CCFFCC"/>
          </w:tcPr>
          <w:p>
            <w:pPr>
              <w:jc w:val="right"/>
              <w:spacing w:after="0" w:line="115" w:lineRule="exact"/>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FFCC"/>
            </w:tcBorders>
            <w:vMerge w:val="restart"/>
            <w:shd w:val="clear" w:color="auto" w:fill="CCFFCC"/>
          </w:tcPr>
          <w:p>
            <w:pPr>
              <w:spacing w:after="0"/>
              <w:rPr>
                <w:sz w:val="11"/>
                <w:szCs w:val="11"/>
                <w:color w:val="auto"/>
              </w:rPr>
            </w:pPr>
          </w:p>
        </w:tc>
        <w:tc>
          <w:tcPr>
            <w:tcW w:w="380" w:type="dxa"/>
            <w:vAlign w:val="bottom"/>
            <w:tcBorders>
              <w:bottom w:val="single" w:sz="8" w:color="CCFFCC"/>
            </w:tcBorders>
            <w:vMerge w:val="restart"/>
            <w:shd w:val="clear" w:color="auto" w:fill="CCFFCC"/>
          </w:tcPr>
          <w:p>
            <w:pPr>
              <w:spacing w:after="0"/>
              <w:rPr>
                <w:sz w:val="11"/>
                <w:szCs w:val="11"/>
                <w:color w:val="auto"/>
              </w:rPr>
            </w:pPr>
          </w:p>
        </w:tc>
        <w:tc>
          <w:tcPr>
            <w:tcW w:w="360" w:type="dxa"/>
            <w:vAlign w:val="bottom"/>
            <w:tcBorders>
              <w:bottom w:val="single" w:sz="8" w:color="CCFFCC"/>
            </w:tcBorders>
            <w:vMerge w:val="restart"/>
            <w:shd w:val="clear" w:color="auto" w:fill="CCFFCC"/>
          </w:tcPr>
          <w:p>
            <w:pPr>
              <w:spacing w:after="0"/>
              <w:rPr>
                <w:sz w:val="11"/>
                <w:szCs w:val="11"/>
                <w:color w:val="auto"/>
              </w:rPr>
            </w:pPr>
          </w:p>
        </w:tc>
        <w:tc>
          <w:tcPr>
            <w:tcW w:w="60" w:type="dxa"/>
            <w:vAlign w:val="bottom"/>
            <w:tcBorders>
              <w:bottom w:val="single" w:sz="8" w:color="CCFFCC"/>
            </w:tcBorders>
            <w:shd w:val="clear" w:color="auto" w:fill="CCFFCC"/>
          </w:tcPr>
          <w:p>
            <w:pPr>
              <w:spacing w:after="0"/>
              <w:rPr>
                <w:sz w:val="11"/>
                <w:szCs w:val="11"/>
                <w:color w:val="auto"/>
              </w:rPr>
            </w:pPr>
          </w:p>
        </w:tc>
        <w:tc>
          <w:tcPr>
            <w:tcW w:w="18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96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82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82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left w:val="single" w:sz="8" w:color="CCFFCC"/>
              <w:bottom w:val="single" w:sz="8" w:color="CCFFCC"/>
            </w:tcBorders>
            <w:shd w:val="clear" w:color="auto" w:fill="CCFFCC"/>
          </w:tcPr>
          <w:p>
            <w:pPr>
              <w:spacing w:after="0"/>
              <w:rPr>
                <w:sz w:val="11"/>
                <w:szCs w:val="11"/>
                <w:color w:val="auto"/>
              </w:rPr>
            </w:pPr>
          </w:p>
        </w:tc>
        <w:tc>
          <w:tcPr>
            <w:tcW w:w="380" w:type="dxa"/>
            <w:vAlign w:val="bottom"/>
            <w:tcBorders>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660" w:type="dxa"/>
            <w:vAlign w:val="bottom"/>
            <w:gridSpan w:val="6"/>
            <w:vMerge w:val="continue"/>
            <w:shd w:val="clear" w:color="auto" w:fill="CCFFCC"/>
          </w:tcPr>
          <w:p>
            <w:pPr>
              <w:spacing w:after="0"/>
              <w:rPr>
                <w:sz w:val="4"/>
                <w:szCs w:val="4"/>
                <w:color w:val="auto"/>
              </w:rPr>
            </w:pPr>
          </w:p>
        </w:tc>
        <w:tc>
          <w:tcPr>
            <w:tcW w:w="60" w:type="dxa"/>
            <w:vAlign w:val="bottom"/>
            <w:shd w:val="clear" w:color="auto" w:fill="CCFFCC"/>
          </w:tcPr>
          <w:p>
            <w:pPr>
              <w:spacing w:after="0"/>
              <w:rPr>
                <w:sz w:val="4"/>
                <w:szCs w:val="4"/>
                <w:color w:val="auto"/>
              </w:rPr>
            </w:pPr>
          </w:p>
        </w:tc>
        <w:tc>
          <w:tcPr>
            <w:tcW w:w="80" w:type="dxa"/>
            <w:vAlign w:val="bottom"/>
            <w:shd w:val="clear" w:color="auto" w:fill="CCFFCC"/>
          </w:tcPr>
          <w:p>
            <w:pPr>
              <w:spacing w:after="0"/>
              <w:rPr>
                <w:sz w:val="4"/>
                <w:szCs w:val="4"/>
                <w:color w:val="auto"/>
              </w:rPr>
            </w:pPr>
          </w:p>
        </w:tc>
        <w:tc>
          <w:tcPr>
            <w:tcW w:w="120" w:type="dxa"/>
            <w:vAlign w:val="bottom"/>
            <w:vMerge w:val="continue"/>
            <w:shd w:val="clear" w:color="auto" w:fill="CCFFCC"/>
          </w:tcPr>
          <w:p>
            <w:pPr>
              <w:spacing w:after="0"/>
              <w:rPr>
                <w:sz w:val="4"/>
                <w:szCs w:val="4"/>
                <w:color w:val="auto"/>
              </w:rPr>
            </w:pPr>
          </w:p>
        </w:tc>
        <w:tc>
          <w:tcPr>
            <w:tcW w:w="380" w:type="dxa"/>
            <w:vAlign w:val="bottom"/>
            <w:vMerge w:val="continue"/>
            <w:shd w:val="clear" w:color="auto" w:fill="CCFFCC"/>
          </w:tcPr>
          <w:p>
            <w:pPr>
              <w:spacing w:after="0"/>
              <w:rPr>
                <w:sz w:val="4"/>
                <w:szCs w:val="4"/>
                <w:color w:val="auto"/>
              </w:rPr>
            </w:pPr>
          </w:p>
        </w:tc>
        <w:tc>
          <w:tcPr>
            <w:tcW w:w="360" w:type="dxa"/>
            <w:vAlign w:val="bottom"/>
            <w:vMerge w:val="continue"/>
            <w:shd w:val="clear" w:color="auto" w:fill="CCFFCC"/>
          </w:tcPr>
          <w:p>
            <w:pPr>
              <w:spacing w:after="0"/>
              <w:rPr>
                <w:sz w:val="4"/>
                <w:szCs w:val="4"/>
                <w:color w:val="auto"/>
              </w:rPr>
            </w:pPr>
          </w:p>
        </w:tc>
        <w:tc>
          <w:tcPr>
            <w:tcW w:w="60" w:type="dxa"/>
            <w:vAlign w:val="bottom"/>
            <w:shd w:val="clear" w:color="auto" w:fill="CCFFCC"/>
          </w:tcPr>
          <w:p>
            <w:pPr>
              <w:spacing w:after="0"/>
              <w:rPr>
                <w:sz w:val="4"/>
                <w:szCs w:val="4"/>
                <w:color w:val="auto"/>
              </w:rPr>
            </w:pPr>
          </w:p>
        </w:tc>
        <w:tc>
          <w:tcPr>
            <w:tcW w:w="1860" w:type="dxa"/>
            <w:vAlign w:val="bottom"/>
            <w:shd w:val="clear" w:color="auto" w:fill="CCFFCC"/>
          </w:tcPr>
          <w:p>
            <w:pPr>
              <w:spacing w:after="0"/>
              <w:rPr>
                <w:sz w:val="4"/>
                <w:szCs w:val="4"/>
                <w:color w:val="auto"/>
              </w:rPr>
            </w:pPr>
          </w:p>
        </w:tc>
        <w:tc>
          <w:tcPr>
            <w:tcW w:w="80" w:type="dxa"/>
            <w:vAlign w:val="bottom"/>
            <w:shd w:val="clear" w:color="auto" w:fill="CCFFCC"/>
          </w:tcPr>
          <w:p>
            <w:pPr>
              <w:spacing w:after="0"/>
              <w:rPr>
                <w:sz w:val="4"/>
                <w:szCs w:val="4"/>
                <w:color w:val="auto"/>
              </w:rPr>
            </w:pPr>
          </w:p>
        </w:tc>
        <w:tc>
          <w:tcPr>
            <w:tcW w:w="960" w:type="dxa"/>
            <w:vAlign w:val="bottom"/>
            <w:shd w:val="clear" w:color="auto" w:fill="CCFFCC"/>
          </w:tcPr>
          <w:p>
            <w:pPr>
              <w:spacing w:after="0"/>
              <w:rPr>
                <w:sz w:val="4"/>
                <w:szCs w:val="4"/>
                <w:color w:val="auto"/>
              </w:rPr>
            </w:pPr>
          </w:p>
        </w:tc>
        <w:tc>
          <w:tcPr>
            <w:tcW w:w="80" w:type="dxa"/>
            <w:vAlign w:val="bottom"/>
            <w:shd w:val="clear" w:color="auto" w:fill="CCFFCC"/>
          </w:tcPr>
          <w:p>
            <w:pPr>
              <w:spacing w:after="0"/>
              <w:rPr>
                <w:sz w:val="4"/>
                <w:szCs w:val="4"/>
                <w:color w:val="auto"/>
              </w:rPr>
            </w:pPr>
          </w:p>
        </w:tc>
        <w:tc>
          <w:tcPr>
            <w:tcW w:w="820" w:type="dxa"/>
            <w:vAlign w:val="bottom"/>
            <w:shd w:val="clear" w:color="auto" w:fill="CCFFCC"/>
          </w:tcPr>
          <w:p>
            <w:pPr>
              <w:spacing w:after="0"/>
              <w:rPr>
                <w:sz w:val="4"/>
                <w:szCs w:val="4"/>
                <w:color w:val="auto"/>
              </w:rPr>
            </w:pPr>
          </w:p>
        </w:tc>
        <w:tc>
          <w:tcPr>
            <w:tcW w:w="140" w:type="dxa"/>
            <w:vAlign w:val="bottom"/>
            <w:tcBorders>
              <w:left w:val="single" w:sz="8" w:color="CCFFCC"/>
            </w:tcBorders>
            <w:shd w:val="clear" w:color="auto" w:fill="CCFFCC"/>
          </w:tcPr>
          <w:p>
            <w:pPr>
              <w:spacing w:after="0"/>
              <w:rPr>
                <w:sz w:val="4"/>
                <w:szCs w:val="4"/>
                <w:color w:val="auto"/>
              </w:rPr>
            </w:pPr>
          </w:p>
        </w:tc>
        <w:tc>
          <w:tcPr>
            <w:tcW w:w="820" w:type="dxa"/>
            <w:vAlign w:val="bottom"/>
            <w:shd w:val="clear" w:color="auto" w:fill="CCFFCC"/>
          </w:tcPr>
          <w:p>
            <w:pPr>
              <w:spacing w:after="0"/>
              <w:rPr>
                <w:sz w:val="4"/>
                <w:szCs w:val="4"/>
                <w:color w:val="auto"/>
              </w:rPr>
            </w:pPr>
          </w:p>
        </w:tc>
        <w:tc>
          <w:tcPr>
            <w:tcW w:w="140" w:type="dxa"/>
            <w:vAlign w:val="bottom"/>
            <w:tcBorders>
              <w:left w:val="single" w:sz="8" w:color="CCFFCC"/>
            </w:tcBorders>
            <w:shd w:val="clear" w:color="auto" w:fill="CCFFCC"/>
          </w:tcPr>
          <w:p>
            <w:pPr>
              <w:spacing w:after="0"/>
              <w:rPr>
                <w:sz w:val="4"/>
                <w:szCs w:val="4"/>
                <w:color w:val="auto"/>
              </w:rPr>
            </w:pPr>
          </w:p>
        </w:tc>
        <w:tc>
          <w:tcPr>
            <w:tcW w:w="380" w:type="dxa"/>
            <w:vAlign w:val="bottom"/>
            <w:shd w:val="clear" w:color="auto" w:fill="CCFFCC"/>
          </w:tcPr>
          <w:p>
            <w:pPr>
              <w:spacing w:after="0"/>
              <w:rPr>
                <w:sz w:val="4"/>
                <w:szCs w:val="4"/>
                <w:color w:val="auto"/>
              </w:rPr>
            </w:pPr>
          </w:p>
        </w:tc>
        <w:tc>
          <w:tcPr>
            <w:tcW w:w="220" w:type="dxa"/>
            <w:vAlign w:val="bottom"/>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Stockholm, Sweden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$ 3,598,472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$ 4,429,957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3,855,602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4,369,350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Fuel Cell Energy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Gilt Groupe,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6,594,434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4,287,883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2,934,840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1,100,909</w:t>
            </w: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1,099,997</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3,164,265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4,034,837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380" w:type="dxa"/>
            <w:vAlign w:val="bottom"/>
            <w:tcBorders>
              <w:top w:val="single" w:sz="8" w:color="auto"/>
            </w:tcBorders>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3,200,512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4,000,862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4,027,933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E-Transcript Exchange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3"/>
                <w:szCs w:val="23"/>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1,090,909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Information Site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865,000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3,500,000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3,865,000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2"/>
                <w:szCs w:val="22"/>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Carrollton, TX</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11,307,348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2,840,391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576,675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LED Lighting</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8,692,652</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2,183,582</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2,173,163</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11,111,110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877,494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640" w:type="dxa"/>
            <w:vAlign w:val="bottom"/>
            <w:gridSpan w:val="10"/>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6,023,973</w:t>
            </w: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3,627,332</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6"/>
        </w:trPr>
        <w:tc>
          <w:tcPr>
            <w:tcW w:w="2660" w:type="dxa"/>
            <w:vAlign w:val="bottom"/>
            <w:tcBorders>
              <w:top w:val="single" w:sz="8" w:color="CCFFCC"/>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18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FFCC"/>
          </w:tcPr>
          <w:p>
            <w:pPr>
              <w:spacing w:after="0"/>
              <w:rPr>
                <w:sz w:val="16"/>
                <w:szCs w:val="16"/>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2,728,252</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2,005,945</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2,073,472</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Online Learning Platform</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1,731,501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1,503,670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1,499,999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640" w:type="dxa"/>
            <w:vAlign w:val="bottom"/>
            <w:gridSpan w:val="10"/>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3,509,615</w:t>
            </w: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3,573,471</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6"/>
        </w:trPr>
        <w:tc>
          <w:tcPr>
            <w:tcW w:w="2660" w:type="dxa"/>
            <w:vAlign w:val="bottom"/>
            <w:tcBorders>
              <w:top w:val="single" w:sz="8" w:color="CCFFCC"/>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18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60" w:type="dxa"/>
            <w:vAlign w:val="bottom"/>
            <w:shd w:val="clear" w:color="auto" w:fill="CCFFCC"/>
          </w:tcPr>
          <w:p>
            <w:pPr>
              <w:spacing w:after="0"/>
              <w:rPr>
                <w:sz w:val="16"/>
                <w:szCs w:val="16"/>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615,763</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2,006,077</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2,484,026</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Corporate Education</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w w:val="95"/>
              </w:rPr>
              <w:t>Convertible preferred shares, Series 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169,033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775,861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193"/>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w w:val="97"/>
              </w:rPr>
              <w:t>Preferred warrants, $4.59 strike price,</w:t>
            </w:r>
          </w:p>
        </w:tc>
        <w:tc>
          <w:tcPr>
            <w:tcW w:w="6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6"/>
                <w:szCs w:val="16"/>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640" w:type="dxa"/>
            <w:vAlign w:val="bottom"/>
            <w:tcBorders>
              <w:bottom w:val="single" w:sz="8" w:color="CCFFCC"/>
            </w:tcBorders>
            <w:gridSpan w:val="10"/>
            <w:shd w:val="clear" w:color="auto" w:fill="CCFFCC"/>
          </w:tcPr>
          <w:p>
            <w:pPr>
              <w:ind w:left="180"/>
              <w:spacing w:after="0"/>
              <w:rPr>
                <w:sz w:val="20"/>
                <w:szCs w:val="20"/>
                <w:color w:val="auto"/>
              </w:rPr>
            </w:pPr>
            <w:r>
              <w:rPr>
                <w:rFonts w:ascii="Arial" w:cs="Arial" w:eastAsia="Arial" w:hAnsi="Arial"/>
                <w:sz w:val="16"/>
                <w:szCs w:val="16"/>
                <w:color w:val="auto"/>
              </w:rPr>
              <w:t>expire 02/25/2018</w:t>
            </w:r>
          </w:p>
        </w:tc>
        <w:tc>
          <w:tcPr>
            <w:tcW w:w="6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2,784,684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3,259,887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2"/>
                <w:szCs w:val="22"/>
                <w:b w:val="1"/>
                <w:bCs w:val="1"/>
                <w:color w:val="auto"/>
                <w:vertAlign w:val="superscript"/>
              </w:rPr>
              <w:t>(6)</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San Bruno, CA</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2,259,716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Online Marketplace</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Finance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gridSpan w:val="11"/>
            <w:shd w:val="clear" w:color="auto" w:fill="CCFFCC"/>
          </w:tcPr>
          <w:p>
            <w:pPr>
              <w:ind w:left="20"/>
              <w:spacing w:after="0"/>
              <w:rPr>
                <w:sz w:val="20"/>
                <w:szCs w:val="20"/>
                <w:color w:val="auto"/>
              </w:rPr>
            </w:pPr>
            <w:r>
              <w:rPr>
                <w:rFonts w:ascii="Arial" w:cs="Arial" w:eastAsia="Arial" w:hAnsi="Arial"/>
                <w:sz w:val="16"/>
                <w:szCs w:val="16"/>
                <w:color w:val="auto"/>
                <w:w w:val="98"/>
              </w:rPr>
              <w:t>Common warrants, $0.13 strike price,</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131,059</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640" w:type="dxa"/>
            <w:vAlign w:val="bottom"/>
            <w:tcBorders>
              <w:bottom w:val="single" w:sz="8" w:color="CCFFCC"/>
            </w:tcBorders>
            <w:gridSpan w:val="10"/>
            <w:shd w:val="clear" w:color="auto" w:fill="CCFFCC"/>
          </w:tcPr>
          <w:p>
            <w:pPr>
              <w:ind w:left="180"/>
              <w:spacing w:after="0"/>
              <w:rPr>
                <w:sz w:val="20"/>
                <w:szCs w:val="20"/>
                <w:color w:val="auto"/>
              </w:rPr>
            </w:pPr>
            <w:r>
              <w:rPr>
                <w:rFonts w:ascii="Arial" w:cs="Arial" w:eastAsia="Arial" w:hAnsi="Arial"/>
                <w:sz w:val="16"/>
                <w:szCs w:val="16"/>
                <w:color w:val="auto"/>
              </w:rPr>
              <w:t>expire 6/15/2018</w:t>
            </w:r>
          </w:p>
        </w:tc>
        <w:tc>
          <w:tcPr>
            <w:tcW w:w="6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2,282,844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2,363,342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-4733290</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-3532505</wp:posOffset>
            </wp:positionV>
            <wp:extent cx="52139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-2580640</wp:posOffset>
            </wp:positionV>
            <wp:extent cx="521398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-1894840</wp:posOffset>
            </wp:positionV>
            <wp:extent cx="521398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-1088390</wp:posOffset>
            </wp:positionV>
            <wp:extent cx="52139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56"/>
        </w:trPr>
        <w:tc>
          <w:tcPr>
            <w:tcW w:w="266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TrueCar, Inc.</w:t>
            </w:r>
          </w:p>
        </w:tc>
        <w:tc>
          <w:tcPr>
            <w:tcW w:w="6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3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Santa Monica, CA</w:t>
            </w:r>
          </w:p>
        </w:tc>
        <w:tc>
          <w:tcPr>
            <w:tcW w:w="820" w:type="dxa"/>
            <w:vAlign w:val="bottom"/>
          </w:tcPr>
          <w:p>
            <w:pPr>
              <w:jc w:val="right"/>
              <w:spacing w:after="0"/>
              <w:rPr>
                <w:sz w:val="20"/>
                <w:szCs w:val="20"/>
                <w:color w:val="auto"/>
              </w:rPr>
            </w:pPr>
            <w:r>
              <w:rPr>
                <w:rFonts w:ascii="Arial" w:cs="Arial" w:eastAsia="Arial" w:hAnsi="Arial"/>
                <w:sz w:val="16"/>
                <w:szCs w:val="16"/>
                <w:color w:val="auto"/>
              </w:rPr>
              <w:t>377,358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$ 2,015,023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$ 2,325,469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Online Marketplace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Bellevue, WA</w:t>
            </w:r>
          </w:p>
        </w:tc>
        <w:tc>
          <w:tcPr>
            <w:tcW w:w="820" w:type="dxa"/>
            <w:vAlign w:val="bottom"/>
          </w:tcPr>
          <w:p>
            <w:pPr>
              <w:jc w:val="right"/>
              <w:spacing w:after="0"/>
              <w:rPr>
                <w:sz w:val="20"/>
                <w:szCs w:val="20"/>
                <w:color w:val="auto"/>
              </w:rPr>
            </w:pPr>
            <w:r>
              <w:rPr>
                <w:rFonts w:ascii="Arial" w:cs="Arial" w:eastAsia="Arial" w:hAnsi="Arial"/>
                <w:sz w:val="16"/>
                <w:szCs w:val="16"/>
                <w:color w:val="auto"/>
              </w:rPr>
              <w:t>7,159,221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1,502,362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1,536,388</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0.53%</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Education Technology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3,579,610</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768,194</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0.27%</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2,260,379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2,304,582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0.80%</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jc w:val="right"/>
              <w:spacing w:after="0"/>
              <w:rPr>
                <w:sz w:val="20"/>
                <w:szCs w:val="20"/>
                <w:color w:val="auto"/>
              </w:rPr>
            </w:pPr>
            <w:r>
              <w:rPr>
                <w:rFonts w:ascii="Arial" w:cs="Arial" w:eastAsia="Arial" w:hAnsi="Arial"/>
                <w:sz w:val="16"/>
                <w:szCs w:val="16"/>
                <w:color w:val="auto"/>
              </w:rPr>
              <w:t>318,979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2,000,447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0.69%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Knowledge Networks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249,703</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2,217,653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2,249,701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(1)</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1,106,120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0.39%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Incubator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450,000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553,060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0.19%</w:t>
            </w: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Promissory Notes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0.10%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1,927,278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1,959,180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0.68%</w:t>
            </w:r>
          </w:p>
        </w:tc>
      </w:tr>
      <w:tr>
        <w:trPr>
          <w:trHeight w:val="196"/>
        </w:trPr>
        <w:tc>
          <w:tcPr>
            <w:tcW w:w="2660" w:type="dxa"/>
            <w:vAlign w:val="bottom"/>
            <w:tcBorders>
              <w:top w:val="single" w:sz="8" w:color="CCFFCC"/>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18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6"/>
              </w:rPr>
              <w:t>Boston, MA</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1,878,129</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2,430,950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1,333,472</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0.46%</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5"/>
              </w:rPr>
              <w:t>Social Advertising</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A-2</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347,666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448,489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0.16%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2,880,950</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1,781,961</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0.62%</w:t>
            </w:r>
          </w:p>
        </w:tc>
      </w:tr>
      <w:tr>
        <w:trPr>
          <w:trHeight w:val="156"/>
        </w:trPr>
        <w:tc>
          <w:tcPr>
            <w:tcW w:w="2660" w:type="dxa"/>
            <w:vAlign w:val="bottom"/>
            <w:tcBorders>
              <w:top w:val="single" w:sz="8" w:color="CCFFCC"/>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Silver Spring Networks, Inc.**</w:t>
            </w:r>
          </w:p>
        </w:tc>
        <w:tc>
          <w:tcPr>
            <w:tcW w:w="60" w:type="dxa"/>
            <w:vAlign w:val="bottom"/>
            <w:tcBorders>
              <w:top w:val="single" w:sz="8" w:color="CCFFCC"/>
            </w:tcBorders>
          </w:tcPr>
          <w:p>
            <w:pPr>
              <w:spacing w:after="0"/>
              <w:rPr>
                <w:sz w:val="13"/>
                <w:szCs w:val="13"/>
                <w:color w:val="auto"/>
              </w:rPr>
            </w:pPr>
          </w:p>
        </w:tc>
        <w:tc>
          <w:tcPr>
            <w:tcW w:w="186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2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FFCC"/>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102,028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5,145,271</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1,773,247</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0.62%</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3"/>
              </w:rPr>
              <w:t>Smart Grid</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w w:val="99"/>
              </w:rPr>
              <w:t>Circle Media (f.k.a. S3 Digital Corp.</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11"/>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Class A1</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1,033,452</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989,058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1,205,005</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0.42%</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60"/>
              <w:spacing w:after="0"/>
              <w:rPr>
                <w:sz w:val="20"/>
                <w:szCs w:val="20"/>
                <w:color w:val="auto"/>
              </w:rPr>
            </w:pPr>
            <w:r>
              <w:rPr>
                <w:rFonts w:ascii="Arial" w:cs="Arial" w:eastAsia="Arial" w:hAnsi="Arial"/>
                <w:sz w:val="16"/>
                <w:szCs w:val="16"/>
                <w:color w:val="auto"/>
                <w:w w:val="94"/>
              </w:rPr>
              <w:t>Sports Analytics</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43"/>
        </w:trPr>
        <w:tc>
          <w:tcPr>
            <w:tcW w:w="2660" w:type="dxa"/>
            <w:vAlign w:val="bottom"/>
            <w:gridSpan w:val="13"/>
          </w:tcPr>
          <w:p>
            <w:pPr>
              <w:ind w:left="20"/>
              <w:spacing w:after="0" w:line="242" w:lineRule="exact"/>
              <w:rPr>
                <w:sz w:val="20"/>
                <w:szCs w:val="20"/>
                <w:color w:val="auto"/>
              </w:rPr>
            </w:pPr>
            <w:r>
              <w:rPr>
                <w:rFonts w:ascii="Arial" w:cs="Arial" w:eastAsia="Arial" w:hAnsi="Arial"/>
                <w:sz w:val="16"/>
                <w:szCs w:val="16"/>
                <w:color w:val="auto"/>
              </w:rPr>
              <w:t>Term Loan, 12%, 09/30/15</w:t>
            </w:r>
            <w:r>
              <w:rPr>
                <w:rFonts w:ascii="Arial" w:cs="Arial" w:eastAsia="Arial" w:hAnsi="Arial"/>
                <w:sz w:val="27"/>
                <w:szCs w:val="27"/>
                <w:color w:val="auto"/>
                <w:vertAlign w:val="superscript"/>
              </w:rPr>
              <w:t>***</w:t>
            </w: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261,081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w w:val="94"/>
              </w:rPr>
              <w:t>Preferred warrants, $1.166 strike price,</w:t>
            </w:r>
          </w:p>
        </w:tc>
        <w:tc>
          <w:tcPr>
            <w:tcW w:w="6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175,000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0.06%</w:t>
            </w:r>
          </w:p>
        </w:tc>
      </w:tr>
      <w:tr>
        <w:trPr>
          <w:trHeight w:val="212"/>
        </w:trPr>
        <w:tc>
          <w:tcPr>
            <w:tcW w:w="20" w:type="dxa"/>
            <w:vAlign w:val="bottom"/>
            <w:shd w:val="clear" w:color="auto" w:fill="CCFFCC"/>
          </w:tcPr>
          <w:p>
            <w:pPr>
              <w:spacing w:after="0"/>
              <w:rPr>
                <w:sz w:val="18"/>
                <w:szCs w:val="18"/>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expire 09/30/2020</w:t>
            </w:r>
          </w:p>
        </w:tc>
        <w:tc>
          <w:tcPr>
            <w:tcW w:w="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7"/>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56,282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0.02%</w:t>
            </w: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1,281,493</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1,686,287</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0.59%</w:t>
            </w:r>
          </w:p>
        </w:tc>
      </w:tr>
      <w:tr>
        <w:trPr>
          <w:trHeight w:val="196"/>
        </w:trPr>
        <w:tc>
          <w:tcPr>
            <w:tcW w:w="2660" w:type="dxa"/>
            <w:vAlign w:val="bottom"/>
            <w:tcBorders>
              <w:top w:val="single" w:sz="8" w:color="CCFFCC"/>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w:t>
            </w:r>
          </w:p>
        </w:tc>
        <w:tc>
          <w:tcPr>
            <w:tcW w:w="60" w:type="dxa"/>
            <w:vAlign w:val="bottom"/>
            <w:tcBorders>
              <w:top w:val="single" w:sz="8" w:color="CCFFCC"/>
            </w:tcBorders>
          </w:tcPr>
          <w:p>
            <w:pPr>
              <w:spacing w:after="0"/>
              <w:rPr>
                <w:sz w:val="17"/>
                <w:szCs w:val="17"/>
                <w:color w:val="auto"/>
              </w:rPr>
            </w:pPr>
          </w:p>
        </w:tc>
        <w:tc>
          <w:tcPr>
            <w:tcW w:w="18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4"/>
              </w:rPr>
              <w:t>Menlo Park, CA</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25,000</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775,544</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1,506,000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0.52%</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5"/>
              </w:rPr>
              <w:t>Social Networking</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ePals Inc.</w:t>
            </w:r>
            <w:r>
              <w:rPr>
                <w:rFonts w:ascii="Arial" w:cs="Arial" w:eastAsia="Arial" w:hAnsi="Arial"/>
                <w:sz w:val="23"/>
                <w:szCs w:val="23"/>
                <w:b w:val="1"/>
                <w:bCs w:val="1"/>
                <w:color w:val="auto"/>
                <w:vertAlign w:val="superscript"/>
              </w:rPr>
              <w:t>**(1)(10)</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FFCC"/>
          </w:tcPr>
          <w:p>
            <w:pPr>
              <w:spacing w:after="0"/>
              <w:rPr>
                <w:sz w:val="16"/>
                <w:szCs w:val="16"/>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3"/>
              </w:rPr>
              <w:t>Herndon, VA</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2"/>
              </w:rPr>
              <w:t>33,333,333</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2,445,108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1,108,784</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0.38%</w:t>
            </w:r>
          </w:p>
        </w:tc>
      </w:tr>
      <w:tr>
        <w:trPr>
          <w:trHeight w:val="212"/>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80" w:type="dxa"/>
            <w:vAlign w:val="bottom"/>
            <w:gridSpan w:val="3"/>
            <w:shd w:val="clear" w:color="auto" w:fill="CCFFCC"/>
          </w:tcPr>
          <w:p>
            <w:pPr>
              <w:jc w:val="center"/>
              <w:ind w:right="180"/>
              <w:spacing w:after="0"/>
              <w:rPr>
                <w:sz w:val="20"/>
                <w:szCs w:val="20"/>
                <w:color w:val="auto"/>
              </w:rPr>
            </w:pPr>
            <w:r>
              <w:rPr>
                <w:rFonts w:ascii="Arial" w:cs="Arial" w:eastAsia="Arial" w:hAnsi="Arial"/>
                <w:sz w:val="16"/>
                <w:szCs w:val="16"/>
                <w:color w:val="auto"/>
                <w:w w:val="93"/>
              </w:rPr>
              <w:t>Online Education</w:t>
            </w: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warrants, 0.075 CAD strike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11,111,111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price, expire 4/30/2014</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20" w:type="dxa"/>
            <w:vAlign w:val="bottom"/>
            <w:shd w:val="clear" w:color="auto" w:fill="CCFFCC"/>
          </w:tcPr>
          <w:p>
            <w:pPr>
              <w:spacing w:after="0"/>
              <w:rPr>
                <w:sz w:val="17"/>
                <w:szCs w:val="17"/>
                <w:color w:val="auto"/>
              </w:rPr>
            </w:pPr>
          </w:p>
        </w:tc>
        <w:tc>
          <w:tcPr>
            <w:tcW w:w="2640" w:type="dxa"/>
            <w:vAlign w:val="bottom"/>
            <w:gridSpan w:val="12"/>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2,445,108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1,108,784</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0.38%</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-5299075</wp:posOffset>
            </wp:positionV>
            <wp:extent cx="52139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-4613275</wp:posOffset>
            </wp:positionV>
            <wp:extent cx="52139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-3661410</wp:posOffset>
            </wp:positionV>
            <wp:extent cx="521398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-2974975</wp:posOffset>
            </wp:positionV>
            <wp:extent cx="521398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521398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71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100" w:type="dxa"/>
            <w:vAlign w:val="bottom"/>
          </w:tcPr>
          <w:p>
            <w:pPr>
              <w:spacing w:after="0"/>
              <w:rPr>
                <w:sz w:val="12"/>
                <w:szCs w:val="12"/>
                <w:color w:val="auto"/>
              </w:rPr>
            </w:pPr>
          </w:p>
        </w:tc>
        <w:tc>
          <w:tcPr>
            <w:tcW w:w="88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2"/>
                <w:szCs w:val="22"/>
                <w:b w:val="1"/>
                <w:bCs w:val="1"/>
                <w:color w:val="auto"/>
                <w:vertAlign w:val="superscript"/>
              </w:rPr>
              <w:t>(15)</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Woodside,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4,465,925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876,023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850,000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0.30%</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1,141,626</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1,027,391</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203,011</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0.07%</w:t>
            </w: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109,375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price, expire 1/9/2017</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warrants Series A-1, $0.19</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center"/>
              <w:ind w:right="40"/>
              <w:spacing w:after="0"/>
              <w:rPr>
                <w:sz w:val="20"/>
                <w:szCs w:val="20"/>
                <w:color w:val="auto"/>
              </w:rPr>
            </w:pPr>
            <w:r>
              <w:rPr>
                <w:rFonts w:ascii="Arial" w:cs="Arial" w:eastAsia="Arial" w:hAnsi="Arial"/>
                <w:sz w:val="16"/>
                <w:szCs w:val="16"/>
                <w:color w:val="auto"/>
                <w:w w:val="92"/>
              </w:rPr>
              <w:t>1,313, 508</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640" w:type="dxa"/>
            <w:vAlign w:val="bottom"/>
            <w:tcBorders>
              <w:bottom w:val="single" w:sz="8" w:color="CCFFCC"/>
            </w:tcBorders>
            <w:gridSpan w:val="12"/>
            <w:shd w:val="clear" w:color="auto" w:fill="CCFFCC"/>
          </w:tcPr>
          <w:p>
            <w:pPr>
              <w:ind w:left="180"/>
              <w:spacing w:after="0"/>
              <w:rPr>
                <w:sz w:val="20"/>
                <w:szCs w:val="20"/>
                <w:color w:val="auto"/>
              </w:rPr>
            </w:pPr>
            <w:r>
              <w:rPr>
                <w:rFonts w:ascii="Arial" w:cs="Arial" w:eastAsia="Arial" w:hAnsi="Arial"/>
                <w:sz w:val="16"/>
                <w:szCs w:val="16"/>
                <w:color w:val="auto"/>
              </w:rPr>
              <w:t>strike price, expire 12/31/2014</w:t>
            </w:r>
          </w:p>
        </w:tc>
        <w:tc>
          <w:tcPr>
            <w:tcW w:w="4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1,903,414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1,053,011</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0.37%</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2"/>
                <w:szCs w:val="22"/>
                <w:b w:val="1"/>
                <w:bCs w:val="1"/>
                <w:color w:val="auto"/>
                <w:vertAlign w:val="superscript"/>
              </w:rPr>
              <w:t>(1)(7)</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50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1,001,650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0.35%</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Software Development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SinoLending Ltd.**</w:t>
            </w:r>
          </w:p>
        </w:tc>
        <w:tc>
          <w:tcPr>
            <w:tcW w:w="4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Class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Shanghai, China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6,414,368</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503,235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577,293</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0.20%</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Class B</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2,333,108</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250,491</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247,076</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753,726</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824,369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0.29%</w:t>
            </w:r>
          </w:p>
        </w:tc>
      </w:tr>
      <w:tr>
        <w:trPr>
          <w:trHeight w:val="196"/>
        </w:trPr>
        <w:tc>
          <w:tcPr>
            <w:tcW w:w="266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2"/>
                <w:szCs w:val="22"/>
                <w:b w:val="1"/>
                <w:bCs w:val="1"/>
                <w:color w:val="auto"/>
                <w:vertAlign w:val="superscript"/>
              </w:rPr>
              <w:t>(1)</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50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1,201,923</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1,267,240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819,727</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0.28%</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Higher Education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Learning Platform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AliphCom, Inc. (d/b/a Jawbone)</w:t>
            </w:r>
          </w:p>
        </w:tc>
        <w:tc>
          <w:tcPr>
            <w:tcW w:w="4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Stock</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793,152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807,894</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0.28%</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Smart Device Company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NestGSV Silicon Valley, LLC</w:t>
            </w:r>
            <w:r>
              <w:rPr>
                <w:rFonts w:ascii="Arial" w:cs="Arial" w:eastAsia="Arial" w:hAnsi="Arial"/>
                <w:sz w:val="23"/>
                <w:szCs w:val="23"/>
                <w:b w:val="1"/>
                <w:bCs w:val="1"/>
                <w:color w:val="auto"/>
                <w:vertAlign w:val="superscript"/>
              </w:rPr>
              <w:t>(1)(4)</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membership interest</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622,577</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0.22%</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6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Burlingame,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500,001</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0.17%</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Education Media Platform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4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260,476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312,439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0.11%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Retail Machines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AAI</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7"/>
              </w:rPr>
              <w:t>San Jose,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262,530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263,097</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5"/>
        </w:trPr>
        <w:tc>
          <w:tcPr>
            <w:tcW w:w="266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w w:val="95"/>
              </w:rPr>
              <w:t>4C Insights (f.k.a The Echo Systems</w:t>
            </w:r>
          </w:p>
        </w:tc>
        <w:tc>
          <w:tcPr>
            <w:tcW w:w="40" w:type="dxa"/>
            <w:vAlign w:val="bottom"/>
            <w:shd w:val="clear" w:color="auto" w:fill="CCFFCC"/>
          </w:tcPr>
          <w:p>
            <w:pPr>
              <w:spacing w:after="0"/>
              <w:rPr>
                <w:sz w:val="14"/>
                <w:szCs w:val="14"/>
                <w:color w:val="auto"/>
              </w:rPr>
            </w:pPr>
          </w:p>
        </w:tc>
        <w:tc>
          <w:tcPr>
            <w:tcW w:w="18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2480" w:type="dxa"/>
            <w:vAlign w:val="bottom"/>
            <w:tcBorders>
              <w:top w:val="single" w:sz="8" w:color="auto"/>
            </w:tcBorders>
            <w:gridSpan w:val="11"/>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6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186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860" w:type="dxa"/>
            <w:vAlign w:val="bottom"/>
            <w:tcBorders>
              <w:top w:val="single" w:sz="8" w:color="CCFFCC"/>
              <w:right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880" w:type="dxa"/>
            <w:vAlign w:val="bottom"/>
            <w:tcBorders>
              <w:top w:val="single" w:sz="8" w:color="CCFFCC"/>
              <w:righ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900" w:type="dxa"/>
            <w:vAlign w:val="bottom"/>
            <w:tcBorders>
              <w:top w:val="single" w:sz="8" w:color="CCFFCC"/>
              <w:right w:val="single" w:sz="8" w:color="CCFFCC"/>
            </w:tcBorders>
            <w:shd w:val="clear" w:color="auto" w:fill="CCFFCC"/>
          </w:tcPr>
          <w:p>
            <w:pPr>
              <w:spacing w:after="0"/>
              <w:rPr>
                <w:sz w:val="15"/>
                <w:szCs w:val="15"/>
                <w:color w:val="auto"/>
              </w:rPr>
            </w:pPr>
          </w:p>
        </w:tc>
        <w:tc>
          <w:tcPr>
            <w:tcW w:w="50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Chicago, IL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512,365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1,436,404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254,343</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Data Platform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w w:val="97"/>
              </w:rPr>
              <w:t>Preferred warrants, $0.20 strike price,</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640" w:type="dxa"/>
            <w:vAlign w:val="bottom"/>
            <w:tcBorders>
              <w:bottom w:val="single" w:sz="8" w:color="CCFFCC"/>
            </w:tcBorders>
            <w:gridSpan w:val="12"/>
            <w:shd w:val="clear" w:color="auto" w:fill="CCFFCC"/>
          </w:tcPr>
          <w:p>
            <w:pPr>
              <w:ind w:left="180"/>
              <w:spacing w:after="0"/>
              <w:rPr>
                <w:sz w:val="20"/>
                <w:szCs w:val="20"/>
                <w:color w:val="auto"/>
              </w:rPr>
            </w:pPr>
            <w:r>
              <w:rPr>
                <w:rFonts w:ascii="Arial" w:cs="Arial" w:eastAsia="Arial" w:hAnsi="Arial"/>
                <w:sz w:val="16"/>
                <w:szCs w:val="16"/>
                <w:color w:val="auto"/>
              </w:rPr>
              <w:t>expire 11/14/2016</w:t>
            </w:r>
          </w:p>
        </w:tc>
        <w:tc>
          <w:tcPr>
            <w:tcW w:w="40" w:type="dxa"/>
            <w:vAlign w:val="bottom"/>
            <w:tcBorders>
              <w:bottom w:val="single" w:sz="8" w:color="CCFFCC"/>
            </w:tcBorders>
            <w:shd w:val="clear" w:color="auto" w:fill="CCFFCC"/>
          </w:tcPr>
          <w:p>
            <w:pPr>
              <w:spacing w:after="0"/>
              <w:rPr>
                <w:sz w:val="18"/>
                <w:szCs w:val="18"/>
                <w:color w:val="auto"/>
              </w:rPr>
            </w:pPr>
          </w:p>
        </w:tc>
        <w:tc>
          <w:tcPr>
            <w:tcW w:w="18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1,512,392</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254,343</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0.09%</w:t>
            </w:r>
          </w:p>
        </w:tc>
      </w:tr>
      <w:tr>
        <w:trPr>
          <w:trHeight w:val="156"/>
        </w:trPr>
        <w:tc>
          <w:tcPr>
            <w:tcW w:w="266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60" w:type="dxa"/>
            <w:vAlign w:val="bottom"/>
            <w:tcBorders>
              <w:right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900" w:type="dxa"/>
            <w:vAlign w:val="bottom"/>
            <w:tcBorders>
              <w:top w:val="single" w:sz="8" w:color="auto"/>
              <w:right w:val="single" w:sz="8" w:color="CCFFCC"/>
            </w:tcBorders>
            <w:shd w:val="clear" w:color="auto" w:fill="CCFFCC"/>
          </w:tcPr>
          <w:p>
            <w:pPr>
              <w:spacing w:after="0"/>
              <w:rPr>
                <w:sz w:val="13"/>
                <w:szCs w:val="13"/>
                <w:color w:val="auto"/>
              </w:rPr>
            </w:pPr>
          </w:p>
        </w:tc>
        <w:tc>
          <w:tcPr>
            <w:tcW w:w="500" w:type="dxa"/>
            <w:vAlign w:val="bottom"/>
            <w:tcBorders>
              <w:top w:val="single" w:sz="8" w:color="auto"/>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183,269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217,800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0.08%</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2660" w:type="dxa"/>
            <w:vAlign w:val="bottom"/>
            <w:gridSpan w:val="13"/>
            <w:shd w:val="clear" w:color="auto" w:fill="CCFFCC"/>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7"/>
              </w:rPr>
              <w:t>295,437,666</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368,023,816</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127.77%</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-5316220</wp:posOffset>
            </wp:positionV>
            <wp:extent cx="52139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-4244340</wp:posOffset>
            </wp:positionV>
            <wp:extent cx="52139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71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6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2"/>
                <w:szCs w:val="12"/>
                <w:color w:val="auto"/>
              </w:rPr>
            </w:pPr>
          </w:p>
        </w:tc>
        <w:tc>
          <w:tcPr>
            <w:tcW w:w="2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Headquarters/Industry</w:t>
            </w:r>
          </w:p>
        </w:tc>
        <w:tc>
          <w:tcPr>
            <w:tcW w:w="86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tcPr>
          <w:p>
            <w:pPr>
              <w:jc w:val="right"/>
              <w:ind w:right="28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r>
      <w:tr>
        <w:trPr>
          <w:trHeight w:val="156"/>
        </w:trPr>
        <w:tc>
          <w:tcPr>
            <w:tcW w:w="2660" w:type="dxa"/>
            <w:vAlign w:val="bottom"/>
            <w:gridSpan w:val="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shd w:val="clear" w:color="auto" w:fill="CCFFCC"/>
          </w:tcPr>
          <w:p>
            <w:pPr>
              <w:spacing w:after="0"/>
              <w:rPr>
                <w:sz w:val="13"/>
                <w:szCs w:val="13"/>
                <w:color w:val="auto"/>
              </w:rPr>
            </w:pPr>
          </w:p>
        </w:tc>
        <w:tc>
          <w:tcPr>
            <w:tcW w:w="18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00" w:type="dxa"/>
            <w:vAlign w:val="bottom"/>
            <w:tcBorders>
              <w:right w:val="single" w:sz="8" w:color="CCFFCC"/>
            </w:tcBorders>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420" w:type="dxa"/>
            <w:vAlign w:val="bottom"/>
            <w:tcBorders>
              <w:top w:val="single" w:sz="8" w:color="CCFFCC"/>
            </w:tcBorders>
            <w:shd w:val="clear" w:color="auto" w:fill="CCFFCC"/>
          </w:tcPr>
          <w:p>
            <w:pPr>
              <w:spacing w:after="0"/>
              <w:rPr>
                <w:sz w:val="19"/>
                <w:szCs w:val="19"/>
                <w:color w:val="auto"/>
              </w:rPr>
            </w:pPr>
          </w:p>
        </w:tc>
        <w:tc>
          <w:tcPr>
            <w:tcW w:w="124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186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860" w:type="dxa"/>
            <w:vAlign w:val="bottom"/>
            <w:tcBorders>
              <w:top w:val="single" w:sz="8" w:color="CCFFCC"/>
              <w:right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8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00" w:type="dxa"/>
            <w:vAlign w:val="bottom"/>
            <w:tcBorders>
              <w:top w:val="single" w:sz="8" w:color="CCFFCC"/>
              <w:right w:val="single" w:sz="8" w:color="CCFFCC"/>
            </w:tcBorders>
            <w:shd w:val="clear" w:color="auto" w:fill="CCFFCC"/>
          </w:tcPr>
          <w:p>
            <w:pPr>
              <w:spacing w:after="0"/>
              <w:rPr>
                <w:sz w:val="19"/>
                <w:szCs w:val="19"/>
                <w:color w:val="auto"/>
              </w:rPr>
            </w:pPr>
          </w:p>
        </w:tc>
        <w:tc>
          <w:tcPr>
            <w:tcW w:w="50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spacing w:after="0"/>
              <w:rPr>
                <w:sz w:val="19"/>
                <w:szCs w:val="19"/>
                <w:color w:val="auto"/>
              </w:rPr>
            </w:pPr>
          </w:p>
        </w:tc>
      </w:tr>
      <w:tr>
        <w:trPr>
          <w:trHeight w:val="203"/>
        </w:trPr>
        <w:tc>
          <w:tcPr>
            <w:tcW w:w="2660" w:type="dxa"/>
            <w:vAlign w:val="bottom"/>
            <w:gridSpan w:val="5"/>
          </w:tcPr>
          <w:p>
            <w:pPr>
              <w:ind w:left="20"/>
              <w:spacing w:after="0"/>
              <w:rPr>
                <w:sz w:val="20"/>
                <w:szCs w:val="20"/>
                <w:color w:val="auto"/>
              </w:rPr>
            </w:pPr>
            <w:r>
              <w:rPr>
                <w:rFonts w:ascii="Arial" w:cs="Arial" w:eastAsia="Arial" w:hAnsi="Arial"/>
                <w:sz w:val="16"/>
                <w:szCs w:val="16"/>
                <w:color w:val="auto"/>
              </w:rPr>
              <w:t>U.S. Treasury Bill, 0%, due 4/4/2014</w:t>
            </w:r>
          </w:p>
        </w:tc>
        <w:tc>
          <w:tcPr>
            <w:tcW w:w="20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w w:val="94"/>
              </w:rPr>
              <w:t>80,000,000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7"/>
              </w:rPr>
              <w:t>80,000,584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9"/>
              </w:rPr>
              <w:t>79,999,900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27.77%</w:t>
            </w:r>
          </w:p>
        </w:tc>
      </w:tr>
      <w:tr>
        <w:trPr>
          <w:trHeight w:val="203"/>
        </w:trPr>
        <w:tc>
          <w:tcPr>
            <w:tcW w:w="2660" w:type="dxa"/>
            <w:vAlign w:val="bottom"/>
            <w:gridSpan w:val="5"/>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(14)</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20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1,851,000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1,811,111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1,823,457</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0.63%</w:t>
            </w:r>
          </w:p>
        </w:tc>
      </w:tr>
      <w:tr>
        <w:trPr>
          <w:trHeight w:val="209"/>
        </w:trPr>
        <w:tc>
          <w:tcPr>
            <w:tcW w:w="20" w:type="dxa"/>
            <w:vAlign w:val="bottom"/>
          </w:tcPr>
          <w:p>
            <w:pPr>
              <w:spacing w:after="0"/>
              <w:rPr>
                <w:sz w:val="18"/>
                <w:szCs w:val="18"/>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0.00% due 08/15/2016</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2660" w:type="dxa"/>
            <w:vAlign w:val="bottom"/>
            <w:gridSpan w:val="5"/>
            <w:shd w:val="clear" w:color="auto" w:fill="CCFFCC"/>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2060" w:type="dxa"/>
            <w:vAlign w:val="bottom"/>
            <w:gridSpan w:val="4"/>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1,834,000</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1,810,323</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1,820,740</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0.63%</w:t>
            </w:r>
          </w:p>
        </w:tc>
      </w:tr>
      <w:tr>
        <w:trPr>
          <w:trHeight w:val="212"/>
        </w:trPr>
        <w:tc>
          <w:tcPr>
            <w:tcW w:w="20" w:type="dxa"/>
            <w:vAlign w:val="bottom"/>
            <w:shd w:val="clear" w:color="auto" w:fill="CCFFCC"/>
          </w:tcPr>
          <w:p>
            <w:pPr>
              <w:spacing w:after="0"/>
              <w:rPr>
                <w:sz w:val="18"/>
                <w:szCs w:val="18"/>
                <w:color w:val="auto"/>
              </w:rPr>
            </w:pPr>
          </w:p>
        </w:tc>
        <w:tc>
          <w:tcPr>
            <w:tcW w:w="2640" w:type="dxa"/>
            <w:vAlign w:val="bottom"/>
            <w:gridSpan w:val="4"/>
            <w:shd w:val="clear" w:color="auto" w:fill="CCFFCC"/>
          </w:tcPr>
          <w:p>
            <w:pPr>
              <w:ind w:left="180"/>
              <w:spacing w:after="0"/>
              <w:rPr>
                <w:sz w:val="20"/>
                <w:szCs w:val="20"/>
                <w:color w:val="auto"/>
              </w:rPr>
            </w:pPr>
            <w:r>
              <w:rPr>
                <w:rFonts w:ascii="Arial" w:cs="Arial" w:eastAsia="Arial" w:hAnsi="Arial"/>
                <w:sz w:val="16"/>
                <w:szCs w:val="16"/>
                <w:color w:val="auto"/>
              </w:rPr>
              <w:t>0.00% due 02/15/2016</w:t>
            </w:r>
          </w:p>
        </w:tc>
        <w:tc>
          <w:tcPr>
            <w:tcW w:w="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20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1,823,000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1,811,205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1,818,315</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0.63%</w:t>
            </w:r>
          </w:p>
        </w:tc>
      </w:tr>
      <w:tr>
        <w:trPr>
          <w:trHeight w:val="209"/>
        </w:trPr>
        <w:tc>
          <w:tcPr>
            <w:tcW w:w="20" w:type="dxa"/>
            <w:vAlign w:val="bottom"/>
          </w:tcPr>
          <w:p>
            <w:pPr>
              <w:spacing w:after="0"/>
              <w:rPr>
                <w:sz w:val="18"/>
                <w:szCs w:val="18"/>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0.00% due 08/15/2015</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6"/>
        </w:trPr>
        <w:tc>
          <w:tcPr>
            <w:tcW w:w="2660" w:type="dxa"/>
            <w:vAlign w:val="bottom"/>
            <w:gridSpan w:val="5"/>
            <w:shd w:val="clear" w:color="auto" w:fill="CCFFCC"/>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2060" w:type="dxa"/>
            <w:vAlign w:val="bottom"/>
            <w:gridSpan w:val="4"/>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1,816,000</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1,810,625</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1,814,402</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0.63%</w:t>
            </w:r>
          </w:p>
        </w:tc>
      </w:tr>
      <w:tr>
        <w:trPr>
          <w:trHeight w:val="212"/>
        </w:trPr>
        <w:tc>
          <w:tcPr>
            <w:tcW w:w="20" w:type="dxa"/>
            <w:vAlign w:val="bottom"/>
            <w:shd w:val="clear" w:color="auto" w:fill="CCFFCC"/>
          </w:tcPr>
          <w:p>
            <w:pPr>
              <w:spacing w:after="0"/>
              <w:rPr>
                <w:sz w:val="18"/>
                <w:szCs w:val="18"/>
                <w:color w:val="auto"/>
              </w:rPr>
            </w:pPr>
          </w:p>
        </w:tc>
        <w:tc>
          <w:tcPr>
            <w:tcW w:w="2640" w:type="dxa"/>
            <w:vAlign w:val="bottom"/>
            <w:gridSpan w:val="4"/>
            <w:shd w:val="clear" w:color="auto" w:fill="CCFFCC"/>
          </w:tcPr>
          <w:p>
            <w:pPr>
              <w:ind w:left="180"/>
              <w:spacing w:after="0"/>
              <w:rPr>
                <w:sz w:val="20"/>
                <w:szCs w:val="20"/>
                <w:color w:val="auto"/>
              </w:rPr>
            </w:pPr>
            <w:r>
              <w:rPr>
                <w:rFonts w:ascii="Arial" w:cs="Arial" w:eastAsia="Arial" w:hAnsi="Arial"/>
                <w:sz w:val="16"/>
                <w:szCs w:val="16"/>
                <w:color w:val="auto"/>
              </w:rPr>
              <w:t>0.00% due 02/15/2015</w:t>
            </w:r>
          </w:p>
        </w:tc>
        <w:tc>
          <w:tcPr>
            <w:tcW w:w="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206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1,813,000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1,811,187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1,812,891</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0.63%</w:t>
            </w:r>
          </w:p>
        </w:tc>
      </w:tr>
      <w:tr>
        <w:trPr>
          <w:trHeight w:val="209"/>
        </w:trPr>
        <w:tc>
          <w:tcPr>
            <w:tcW w:w="20" w:type="dxa"/>
            <w:vAlign w:val="bottom"/>
          </w:tcPr>
          <w:p>
            <w:pPr>
              <w:spacing w:after="0"/>
              <w:rPr>
                <w:sz w:val="18"/>
                <w:szCs w:val="18"/>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0.00% due 08/15/2014</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20" w:type="dxa"/>
            <w:vAlign w:val="bottom"/>
            <w:shd w:val="clear" w:color="auto" w:fill="CCFFCC"/>
          </w:tcPr>
          <w:p>
            <w:pPr>
              <w:spacing w:after="0"/>
              <w:rPr>
                <w:sz w:val="17"/>
                <w:szCs w:val="17"/>
                <w:color w:val="auto"/>
              </w:rPr>
            </w:pPr>
          </w:p>
        </w:tc>
        <w:tc>
          <w:tcPr>
            <w:tcW w:w="2640" w:type="dxa"/>
            <w:vAlign w:val="bottom"/>
            <w:gridSpan w:val="4"/>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9,054,451</w:t>
            </w: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9,089,805</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3.15%</w:t>
            </w:r>
          </w:p>
        </w:tc>
      </w:tr>
      <w:tr>
        <w:trPr>
          <w:trHeight w:val="20"/>
        </w:trPr>
        <w:tc>
          <w:tcPr>
            <w:tcW w:w="2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2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66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87"/>
              </w:rPr>
              <w:t>384,492,701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89"/>
              </w:rPr>
              <w:t>457,113,521</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158.69%</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right="599" w:hanging="272"/>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93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39" w:hanging="272"/>
        <w:spacing w:after="0" w:line="308"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rFonts w:ascii="Arial" w:cs="Arial" w:eastAsia="Arial" w:hAnsi="Arial"/>
          <w:sz w:val="17"/>
          <w:szCs w:val="17"/>
          <w:color w:val="auto"/>
        </w:rPr>
      </w:pPr>
    </w:p>
    <w:p>
      <w:pPr>
        <w:ind w:left="300" w:right="103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300" w:right="75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300" w:right="699" w:hanging="272"/>
        <w:spacing w:after="0" w:line="286"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August 2, 2013, Control4 Corporation priced its initial public offering, selling 4,000,000 shares at a price of $16 per share. GSV Capital Corp.’s shares in Control4 are subject to a lock-up agreement which expired on January 29, 2014. At March 31, 2014, GSV Capital Corp. valued Control4 Corporation based on its March 31, 2014 closing price.</w:t>
      </w:r>
    </w:p>
    <w:p>
      <w:pPr>
        <w:spacing w:after="0" w:line="57" w:lineRule="exact"/>
        <w:rPr>
          <w:rFonts w:ascii="Arial" w:cs="Arial" w:eastAsia="Arial" w:hAnsi="Arial"/>
          <w:sz w:val="17"/>
          <w:szCs w:val="17"/>
          <w:color w:val="auto"/>
        </w:rPr>
      </w:pPr>
    </w:p>
    <w:p>
      <w:pPr>
        <w:ind w:left="300" w:right="639" w:hanging="272"/>
        <w:spacing w:after="0" w:line="286"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September 27, 2013, Violin Memory Inc. priced its initial public offering, selling 18,000,000 shares at a price of $9 per share. GSV Capital Corp.’s shares in Violin Memory Inc. are subject to a lock-up agreement which expired on March 26, 2014. At March 31, 2014, GSV Capital Corp. valued Violin Memory Inc., based on its March 31, 2014 closing price.</w:t>
      </w:r>
    </w:p>
    <w:p>
      <w:pPr>
        <w:spacing w:after="0" w:line="200" w:lineRule="exact"/>
        <w:rPr>
          <w:sz w:val="20"/>
          <w:szCs w:val="20"/>
          <w:color w:val="auto"/>
        </w:rPr>
      </w:pPr>
    </w:p>
    <w:p>
      <w:pPr>
        <w:spacing w:after="0" w:line="290"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320" w:right="559" w:hanging="310"/>
        <w:spacing w:after="0" w:line="255" w:lineRule="auto"/>
        <w:rPr>
          <w:sz w:val="20"/>
          <w:szCs w:val="20"/>
          <w:color w:val="auto"/>
        </w:rPr>
      </w:pPr>
      <w:r>
        <w:rPr>
          <w:rFonts w:ascii="Arial" w:cs="Arial" w:eastAsia="Arial" w:hAnsi="Arial"/>
          <w:sz w:val="18"/>
          <w:szCs w:val="18"/>
          <w:color w:val="auto"/>
        </w:rPr>
        <w:t>(10)On October 22, 2013, ePals, Inc. priced its initial public offering, selling 40,267,333 shares at a price of CAD $0.075 per share. GSV Capital Corp.’s shares in ePals, Inc. are subject to a lock-up agreement which expired on February 23, 2014. At March 31, 2014, GSV Capital Corp. valued ePals, Inc., based on its March 31, 2014 closing price less 8%. GSV Capital Corp.’s Chief Executive Officer, Michael Moe is a Board member of ePals, Inc., which subjects GSV Capital Corp. to insider trading restrictions under Canadian securities law. As such, the Company has applied an 8% discount to reflect the aforementioned trading restrictions.</w:t>
      </w:r>
    </w:p>
    <w:p>
      <w:pPr>
        <w:spacing w:after="0" w:line="85" w:lineRule="exact"/>
        <w:rPr>
          <w:sz w:val="20"/>
          <w:szCs w:val="20"/>
          <w:color w:val="auto"/>
        </w:rPr>
      </w:pPr>
    </w:p>
    <w:p>
      <w:pPr>
        <w:ind w:left="300" w:right="619" w:hanging="296"/>
        <w:spacing w:after="0" w:line="259" w:lineRule="auto"/>
        <w:rPr>
          <w:sz w:val="20"/>
          <w:szCs w:val="20"/>
          <w:color w:val="auto"/>
        </w:rPr>
      </w:pPr>
      <w:r>
        <w:rPr>
          <w:rFonts w:ascii="Arial" w:cs="Arial" w:eastAsia="Arial" w:hAnsi="Arial"/>
          <w:sz w:val="18"/>
          <w:szCs w:val="18"/>
          <w:color w:val="auto"/>
        </w:rPr>
        <w:t>(11)On November 6, 2013, Twitter, Inc. priced its initial public offering, selling 70,000,000 shares at a price of $26 per share. GSV Capital Corp.’s shares in Twitter, Inc. are subject to a lock-up agreement which expires on May 5, 2014. At March 31, 2014, GSV Capital Corp. valued Twitter, Inc., based on its March 31, 2014 closing price, adjusted for a discount due to lack of marketability of 9%.</w:t>
      </w:r>
    </w:p>
    <w:p>
      <w:pPr>
        <w:spacing w:after="0" w:line="79" w:lineRule="exact"/>
        <w:rPr>
          <w:sz w:val="20"/>
          <w:szCs w:val="20"/>
          <w:color w:val="auto"/>
        </w:rPr>
      </w:pPr>
    </w:p>
    <w:p>
      <w:pPr>
        <w:ind w:left="320" w:right="679" w:hanging="310"/>
        <w:spacing w:after="0" w:line="259" w:lineRule="auto"/>
        <w:rPr>
          <w:sz w:val="20"/>
          <w:szCs w:val="20"/>
          <w:color w:val="auto"/>
        </w:rPr>
      </w:pPr>
      <w:r>
        <w:rPr>
          <w:rFonts w:ascii="Arial" w:cs="Arial" w:eastAsia="Arial" w:hAnsi="Arial"/>
          <w:sz w:val="18"/>
          <w:szCs w:val="18"/>
          <w:color w:val="auto"/>
        </w:rPr>
        <w:t>(12)On November 12, 2013, Chegg, Inc. priced its initial public offering, selling 14,400,000 shares at a price of $12.50 per share. GSV Capital Corp.’s shares in Chegg, Inc. are subject to a lock-up agreement which expires on May 11, 2014. At March 31, 2014, GSV Capital Corp. valued Chegg, Inc., based on its March 31, 2014 closing price, adjusted for a discount due to lack of marketability of 8%.</w:t>
      </w:r>
    </w:p>
    <w:p>
      <w:pPr>
        <w:spacing w:after="0" w:line="79" w:lineRule="exact"/>
        <w:rPr>
          <w:sz w:val="20"/>
          <w:szCs w:val="20"/>
          <w:color w:val="auto"/>
        </w:rPr>
      </w:pPr>
    </w:p>
    <w:p>
      <w:pPr>
        <w:ind w:left="320" w:right="699" w:hanging="310"/>
        <w:spacing w:after="0" w:line="259" w:lineRule="auto"/>
        <w:rPr>
          <w:sz w:val="20"/>
          <w:szCs w:val="20"/>
          <w:color w:val="auto"/>
        </w:rPr>
      </w:pPr>
      <w:r>
        <w:rPr>
          <w:rFonts w:ascii="Arial" w:cs="Arial" w:eastAsia="Arial" w:hAnsi="Arial"/>
          <w:sz w:val="18"/>
          <w:szCs w:val="18"/>
          <w:color w:val="auto"/>
        </w:rPr>
        <w:t>(13)On March 28, 2014, 2U, Inc. (f/k/a 2tor, Inc.) priced its initial public offering, selling 9,175,000 shares at a price of $13 per share. GSV Capital Corp.’s shares in 2U, Inc. (f/k/a 2tor, Inc.) are subject to a lock-up agreement which expires on September 24, 2014. At March 31, 2014, GSV Capital Corp. valued 2U, Inc. (f/k/a 2tor, Inc.), based on its March 31, 2014 closing price, adjusted for a discount due to lack of marketability of 17.5%.</w:t>
      </w:r>
    </w:p>
    <w:p>
      <w:pPr>
        <w:spacing w:after="0" w:line="79" w:lineRule="exact"/>
        <w:rPr>
          <w:sz w:val="20"/>
          <w:szCs w:val="20"/>
          <w:color w:val="auto"/>
        </w:rPr>
      </w:pPr>
    </w:p>
    <w:p>
      <w:pPr>
        <w:ind w:left="320" w:right="619" w:hanging="312"/>
        <w:spacing w:after="0" w:line="276"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March 31, 2014. As of March 31, 2014, 1 US Treasury Strip with a cost of $1,790,785 matured and the proceeds were used by the trustee in accordance with the terms of the escrow agreement.</w:t>
      </w:r>
    </w:p>
    <w:p>
      <w:pPr>
        <w:spacing w:after="0" w:line="64" w:lineRule="exact"/>
        <w:rPr>
          <w:rFonts w:ascii="Arial" w:cs="Arial" w:eastAsia="Arial" w:hAnsi="Arial"/>
          <w:sz w:val="17"/>
          <w:szCs w:val="17"/>
          <w:color w:val="auto"/>
        </w:rPr>
      </w:pPr>
    </w:p>
    <w:p>
      <w:pPr>
        <w:jc w:val="both"/>
        <w:ind w:left="320" w:right="679" w:hanging="312"/>
        <w:spacing w:after="0" w:line="312"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200" w:lineRule="exact"/>
        <w:rPr>
          <w:sz w:val="20"/>
          <w:szCs w:val="20"/>
          <w:color w:val="auto"/>
        </w:rPr>
      </w:pPr>
    </w:p>
    <w:p>
      <w:pPr>
        <w:spacing w:after="0" w:line="27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8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17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Headquarters/Industry</w:t>
            </w:r>
          </w:p>
        </w:tc>
        <w:tc>
          <w:tcPr>
            <w:tcW w:w="8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2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880" w:type="dxa"/>
            <w:vAlign w:val="bottom"/>
            <w:gridSpan w:val="13"/>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Twitter, Inc.</w:t>
            </w:r>
            <w:r>
              <w:rPr>
                <w:rFonts w:ascii="Arial" w:cs="Arial" w:eastAsia="Arial" w:hAnsi="Arial"/>
                <w:sz w:val="22"/>
                <w:szCs w:val="22"/>
                <w:b w:val="1"/>
                <w:bCs w:val="1"/>
                <w:color w:val="auto"/>
                <w:vertAlign w:val="superscript"/>
              </w:rPr>
              <w:t>(11)**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1,900,600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8"/>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w w:val="98"/>
              </w:rPr>
              <w:t>$102,822,460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35.71</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32,119,877</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11.15</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1,718,953</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0.60</w:t>
            </w: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33,838,830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11.75</w:t>
            </w:r>
          </w:p>
        </w:tc>
      </w:tr>
      <w:tr>
        <w:trPr>
          <w:trHeight w:val="156"/>
        </w:trPr>
        <w:tc>
          <w:tcPr>
            <w:tcW w:w="288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88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9,181,012</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3.19</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6,674,185</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2.32</w:t>
            </w: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15,855,197</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5.51</w:t>
            </w:r>
          </w:p>
        </w:tc>
      </w:tr>
      <w:tr>
        <w:trPr>
          <w:trHeight w:val="156"/>
        </w:trPr>
        <w:tc>
          <w:tcPr>
            <w:tcW w:w="288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Coursera,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88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2,961,399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14,519,443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14,519,443</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5.04</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(8)**</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Salt Lake City, UT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782,789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7,010,762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13,300,129</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4.62</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Home Automation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1,151,802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8,758,193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9,875,206</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3.43</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1,435,503</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0.50</w:t>
            </w: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10,031,318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11,310,709</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3.93</w:t>
            </w:r>
          </w:p>
        </w:tc>
      </w:tr>
      <w:tr>
        <w:trPr>
          <w:trHeight w:val="156"/>
        </w:trPr>
        <w:tc>
          <w:tcPr>
            <w:tcW w:w="2880" w:type="dxa"/>
            <w:vAlign w:val="bottom"/>
            <w:gridSpan w:val="13"/>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88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5,034,324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11,017,561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11,286,628</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3.92</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w w:val="98"/>
              </w:rPr>
              <w:t>Preferred shares, Junior Preferred Stock</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10,150,484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3.48</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Globally Focused</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Private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Menlo Park,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2,839,861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10,000,003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10,000,003</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3.47</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3,914,535</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10,000,001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10,000,000</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3.47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3"/>
                <w:szCs w:val="23"/>
                <w:b w:val="1"/>
                <w:bCs w:val="1"/>
                <w:color w:val="auto"/>
                <w:vertAlign w:val="superscript"/>
              </w:rPr>
              <w:t>**</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Menlo Park,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175,000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5,236,147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9,563,750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3.32</w:t>
            </w: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Social Networking</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3"/>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1,899,799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6,799,272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7,219,236</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2.51</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Customer Relationship</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Manager</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880" w:type="dxa"/>
            <w:vAlign w:val="bottom"/>
            <w:gridSpan w:val="13"/>
            <w:shd w:val="clear" w:color="auto" w:fill="CCFFCC"/>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373,134</w:t>
            </w:r>
          </w:p>
        </w:tc>
        <w:tc>
          <w:tcPr>
            <w:tcW w:w="8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1,500,522</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2,160,437</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0.75</w:t>
            </w: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8,299,794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9,379,673</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3.26</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-5342255</wp:posOffset>
            </wp:positionV>
            <wp:extent cx="52139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-4681855</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-3223895</wp:posOffset>
            </wp:positionV>
            <wp:extent cx="52139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80" w:type="dxa"/>
            <w:vAlign w:val="bottom"/>
            <w:gridSpan w:val="16"/>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17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880" w:type="dxa"/>
            <w:vAlign w:val="bottom"/>
            <w:gridSpan w:val="1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2"/>
                <w:szCs w:val="22"/>
                <w:b w:val="1"/>
                <w:bCs w:val="1"/>
                <w:color w:val="auto"/>
                <w:vertAlign w:val="superscript"/>
              </w:rPr>
              <w:t>(12)**</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8"/>
              </w:rPr>
              <w:t>$14,022,863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8,551,589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2.97</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6"/>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3,926,702</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1.36</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Online Medical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Scheduling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111,866</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1,734,878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2,196,322</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76</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5,298,056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6,123,024</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2.</w:t>
            </w:r>
            <w:r>
              <w:rPr>
                <w:rFonts w:ascii="Arial" w:cs="Arial" w:eastAsia="Arial" w:hAnsi="Arial"/>
                <w:sz w:val="16"/>
                <w:szCs w:val="16"/>
                <w:u w:val="single" w:color="auto"/>
                <w:color w:val="auto"/>
              </w:rPr>
              <w:t>12</w:t>
            </w:r>
          </w:p>
        </w:tc>
      </w:tr>
      <w:tr>
        <w:trPr>
          <w:trHeight w:val="156"/>
        </w:trPr>
        <w:tc>
          <w:tcPr>
            <w:tcW w:w="288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6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0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375,985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1.74</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6"/>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36,720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1.74</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(1)(3)</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Globally-focused Private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1,531,734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1,500,000</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52</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4,531,734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56</w:t>
            </w:r>
          </w:p>
        </w:tc>
      </w:tr>
      <w:tr>
        <w:trPr>
          <w:trHeight w:val="196"/>
        </w:trPr>
        <w:tc>
          <w:tcPr>
            <w:tcW w:w="2880" w:type="dxa"/>
            <w:vAlign w:val="bottom"/>
            <w:gridSpan w:val="16"/>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2"/>
                <w:szCs w:val="22"/>
                <w:b w:val="1"/>
                <w:bCs w:val="1"/>
                <w:color w:val="auto"/>
                <w:vertAlign w:val="superscript"/>
              </w:rPr>
              <w:t>**</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4,443,409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1.54</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Music Streaming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Service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6"/>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w w:val="98"/>
              </w:rPr>
              <w:t>Global Education Learning (Holdings)</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2660" w:type="dxa"/>
            <w:vAlign w:val="bottom"/>
            <w:tcBorders>
              <w:top w:val="single" w:sz="8" w:color="auto"/>
            </w:tcBorders>
            <w:gridSpan w:val="14"/>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20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74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6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0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5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2,126,475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4,335,671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4,338,009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1.51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(1)(5)</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4,205,142</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1.46</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Violin Memory, Inc.</w:t>
            </w:r>
            <w:r>
              <w:rPr>
                <w:rFonts w:ascii="Arial" w:cs="Arial" w:eastAsia="Arial" w:hAnsi="Arial"/>
                <w:sz w:val="23"/>
                <w:szCs w:val="23"/>
                <w:b w:val="1"/>
                <w:bCs w:val="1"/>
                <w:color w:val="auto"/>
                <w:vertAlign w:val="superscript"/>
              </w:rPr>
              <w:t>(9)**</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1,247,498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14,819,618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4,204,068</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1.46</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Memory Flash</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6"/>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2,934,840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1.02</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6"/>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1,100,909</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1,099,997</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38</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3,164,265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4,034,837</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40</w:t>
            </w:r>
          </w:p>
        </w:tc>
      </w:tr>
      <w:tr>
        <w:trPr>
          <w:trHeight w:val="156"/>
        </w:trPr>
        <w:tc>
          <w:tcPr>
            <w:tcW w:w="2880" w:type="dxa"/>
            <w:vAlign w:val="bottom"/>
            <w:gridSpan w:val="1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6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0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4,024,389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1.40</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6"/>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3,200,512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4,000,862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4,000,640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1.39</w:t>
            </w: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E-Transcript Exchange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-5449570</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-3606165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-913130</wp:posOffset>
            </wp:positionV>
            <wp:extent cx="521398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80" w:type="dxa"/>
            <w:vAlign w:val="bottom"/>
            <w:gridSpan w:val="10"/>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19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Headquarters/Industry</w:t>
            </w:r>
          </w:p>
        </w:tc>
        <w:tc>
          <w:tcPr>
            <w:tcW w:w="7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880" w:type="dxa"/>
            <w:vAlign w:val="bottom"/>
            <w:gridSpan w:val="10"/>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Mountain View, CA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3,000,000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Daily News and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Information Site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shares, Series Seed</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865,000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30</w:t>
            </w: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3,865,000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34</w:t>
            </w:r>
          </w:p>
        </w:tc>
      </w:tr>
      <w:tr>
        <w:trPr>
          <w:trHeight w:val="196"/>
        </w:trPr>
        <w:tc>
          <w:tcPr>
            <w:tcW w:w="2880" w:type="dxa"/>
            <w:vAlign w:val="bottom"/>
            <w:gridSpan w:val="10"/>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7"/>
              </w:rPr>
              <w:t>Carrollton, TX</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11,307,348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2,840,391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576,675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rPr>
              <w:t>LED Lighting</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8,692,652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2,183,582</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2,173,163</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0.75</w:t>
            </w: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11.111,110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1,001,001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35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86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6,023,973</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3,750,839</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30</w:t>
            </w:r>
          </w:p>
        </w:tc>
      </w:tr>
      <w:tr>
        <w:trPr>
          <w:trHeight w:val="196"/>
        </w:trPr>
        <w:tc>
          <w:tcPr>
            <w:tcW w:w="2880" w:type="dxa"/>
            <w:vAlign w:val="bottom"/>
            <w:tcBorders>
              <w:top w:val="single" w:sz="8" w:color="CCFFCC"/>
            </w:tcBorders>
            <w:gridSpan w:val="10"/>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80" w:type="dxa"/>
            <w:vAlign w:val="bottom"/>
            <w:tcBorders>
              <w:top w:val="single" w:sz="8" w:color="CCFFCC"/>
            </w:tcBorders>
          </w:tcPr>
          <w:p>
            <w:pPr>
              <w:spacing w:after="0"/>
              <w:rPr>
                <w:sz w:val="17"/>
                <w:szCs w:val="17"/>
                <w:color w:val="auto"/>
              </w:rPr>
            </w:pPr>
          </w:p>
        </w:tc>
        <w:tc>
          <w:tcPr>
            <w:tcW w:w="17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7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6"/>
                <w:szCs w:val="16"/>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5"/>
              </w:rPr>
              <w:t>Cambridge, MA</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1,728,724</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3,193,444</w:t>
            </w:r>
          </w:p>
        </w:tc>
        <w:tc>
          <w:tcPr>
            <w:tcW w:w="14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3,114,120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1.08</w:t>
            </w:r>
          </w:p>
        </w:tc>
      </w:tr>
      <w:tr>
        <w:trPr>
          <w:trHeight w:val="212"/>
        </w:trPr>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gridSpan w:val="3"/>
            <w:shd w:val="clear" w:color="auto" w:fill="CCFFCC"/>
          </w:tcPr>
          <w:p>
            <w:pPr>
              <w:jc w:val="center"/>
              <w:ind w:right="120"/>
              <w:spacing w:after="0"/>
              <w:rPr>
                <w:sz w:val="20"/>
                <w:szCs w:val="20"/>
                <w:color w:val="auto"/>
              </w:rPr>
            </w:pPr>
            <w:r>
              <w:rPr>
                <w:rFonts w:ascii="Arial" w:cs="Arial" w:eastAsia="Arial" w:hAnsi="Arial"/>
                <w:sz w:val="16"/>
                <w:szCs w:val="16"/>
                <w:color w:val="auto"/>
                <w:w w:val="91"/>
              </w:rPr>
              <w:t>Business Education</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43"/>
        </w:trPr>
        <w:tc>
          <w:tcPr>
            <w:tcW w:w="2880" w:type="dxa"/>
            <w:vAlign w:val="bottom"/>
            <w:gridSpan w:val="10"/>
          </w:tcPr>
          <w:p>
            <w:pPr>
              <w:ind w:left="20"/>
              <w:spacing w:after="0" w:line="242" w:lineRule="exact"/>
              <w:rPr>
                <w:sz w:val="20"/>
                <w:szCs w:val="20"/>
                <w:color w:val="auto"/>
              </w:rPr>
            </w:pPr>
            <w:r>
              <w:rPr>
                <w:rFonts w:ascii="Arial" w:cs="Arial" w:eastAsia="Arial" w:hAnsi="Arial"/>
                <w:sz w:val="16"/>
                <w:szCs w:val="16"/>
                <w:color w:val="auto"/>
              </w:rPr>
              <w:t>Term Loan, 10%, 3/31/14</w:t>
            </w:r>
            <w:r>
              <w:rPr>
                <w:rFonts w:ascii="Arial" w:cs="Arial" w:eastAsia="Arial" w:hAnsi="Arial"/>
                <w:sz w:val="27"/>
                <w:szCs w:val="27"/>
                <w:color w:val="auto"/>
                <w:vertAlign w:val="superscript"/>
              </w:rPr>
              <w:t>***</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262,612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r>
      <w:tr>
        <w:trPr>
          <w:trHeight w:val="243"/>
        </w:trPr>
        <w:tc>
          <w:tcPr>
            <w:tcW w:w="2880" w:type="dxa"/>
            <w:vAlign w:val="bottom"/>
            <w:gridSpan w:val="10"/>
            <w:shd w:val="clear" w:color="auto" w:fill="CCFFCC"/>
          </w:tcPr>
          <w:p>
            <w:pPr>
              <w:ind w:left="20"/>
              <w:spacing w:after="0" w:line="242" w:lineRule="exact"/>
              <w:rPr>
                <w:sz w:val="20"/>
                <w:szCs w:val="20"/>
                <w:color w:val="auto"/>
              </w:rPr>
            </w:pPr>
            <w:r>
              <w:rPr>
                <w:rFonts w:ascii="Arial" w:cs="Arial" w:eastAsia="Arial" w:hAnsi="Arial"/>
                <w:sz w:val="16"/>
                <w:szCs w:val="16"/>
                <w:color w:val="auto"/>
              </w:rPr>
              <w:t>Term Loan, 10%, 3/31/14</w:t>
            </w:r>
            <w:r>
              <w:rPr>
                <w:rFonts w:ascii="Arial" w:cs="Arial" w:eastAsia="Arial" w:hAnsi="Arial"/>
                <w:sz w:val="27"/>
                <w:szCs w:val="27"/>
                <w:color w:val="auto"/>
                <w:vertAlign w:val="superscript"/>
              </w:rPr>
              <w:t>***</w:t>
            </w:r>
          </w:p>
        </w:tc>
        <w:tc>
          <w:tcPr>
            <w:tcW w:w="2000" w:type="dxa"/>
            <w:vAlign w:val="bottom"/>
            <w:gridSpan w:val="4"/>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241,239</w:t>
            </w:r>
          </w:p>
        </w:tc>
        <w:tc>
          <w:tcPr>
            <w:tcW w:w="140" w:type="dxa"/>
            <w:vAlign w:val="bottom"/>
            <w:tcBorders>
              <w:lef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0.09</w:t>
            </w: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186,170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126,362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0.04</w:t>
            </w: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expire 3/22/2020</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82,418</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7"/>
                <w:szCs w:val="17"/>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shd w:val="clear" w:color="auto" w:fill="CCFFCC"/>
          </w:tcPr>
          <w:p>
            <w:pPr>
              <w:spacing w:after="0"/>
              <w:rPr>
                <w:sz w:val="18"/>
                <w:szCs w:val="18"/>
                <w:color w:val="auto"/>
              </w:rPr>
            </w:pPr>
          </w:p>
        </w:tc>
        <w:tc>
          <w:tcPr>
            <w:tcW w:w="286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expire 10/09/2018</w:t>
            </w:r>
          </w:p>
        </w:tc>
        <w:tc>
          <w:tcPr>
            <w:tcW w:w="8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82,418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expire 12/10/2018</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20" w:type="dxa"/>
            <w:vAlign w:val="bottom"/>
            <w:shd w:val="clear" w:color="auto" w:fill="CCFFCC"/>
          </w:tcPr>
          <w:p>
            <w:pPr>
              <w:spacing w:after="0"/>
              <w:rPr>
                <w:sz w:val="17"/>
                <w:szCs w:val="17"/>
                <w:color w:val="auto"/>
              </w:rPr>
            </w:pPr>
          </w:p>
        </w:tc>
        <w:tc>
          <w:tcPr>
            <w:tcW w:w="286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3,784,016</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3,740,482</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30</w:t>
            </w:r>
          </w:p>
        </w:tc>
      </w:tr>
      <w:tr>
        <w:trPr>
          <w:trHeight w:val="156"/>
        </w:trPr>
        <w:tc>
          <w:tcPr>
            <w:tcW w:w="2880" w:type="dxa"/>
            <w:vAlign w:val="bottom"/>
            <w:tcBorders>
              <w:top w:val="single" w:sz="8" w:color="CCFFCC"/>
            </w:tcBorders>
            <w:gridSpan w:val="10"/>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80" w:type="dxa"/>
            <w:vAlign w:val="bottom"/>
            <w:tcBorders>
              <w:top w:val="single" w:sz="8" w:color="CCFFCC"/>
            </w:tcBorders>
          </w:tcPr>
          <w:p>
            <w:pPr>
              <w:spacing w:after="0"/>
              <w:rPr>
                <w:sz w:val="13"/>
                <w:szCs w:val="13"/>
                <w:color w:val="auto"/>
              </w:rPr>
            </w:pPr>
          </w:p>
        </w:tc>
        <w:tc>
          <w:tcPr>
            <w:tcW w:w="1740" w:type="dxa"/>
            <w:vAlign w:val="bottom"/>
            <w:tcBorders>
              <w:top w:val="single" w:sz="8" w:color="CCFFCC"/>
            </w:tcBorders>
          </w:tcPr>
          <w:p>
            <w:pPr>
              <w:spacing w:after="0"/>
              <w:rPr>
                <w:sz w:val="13"/>
                <w:szCs w:val="13"/>
                <w:color w:val="auto"/>
              </w:rPr>
            </w:pPr>
          </w:p>
        </w:tc>
        <w:tc>
          <w:tcPr>
            <w:tcW w:w="10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760" w:type="dxa"/>
            <w:vAlign w:val="bottom"/>
            <w:tcBorders>
              <w:top w:val="single" w:sz="8" w:color="CCFFCC"/>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6"/>
                <w:szCs w:val="16"/>
                <w:color w:val="auto"/>
              </w:rPr>
            </w:pPr>
          </w:p>
        </w:tc>
        <w:tc>
          <w:tcPr>
            <w:tcW w:w="1920" w:type="dxa"/>
            <w:vAlign w:val="bottom"/>
            <w:gridSpan w:val="3"/>
            <w:shd w:val="clear" w:color="auto" w:fill="CCFFCC"/>
          </w:tcPr>
          <w:p>
            <w:pPr>
              <w:jc w:val="center"/>
              <w:ind w:right="120"/>
              <w:spacing w:after="0"/>
              <w:rPr>
                <w:sz w:val="20"/>
                <w:szCs w:val="20"/>
                <w:color w:val="auto"/>
              </w:rPr>
            </w:pPr>
            <w:r>
              <w:rPr>
                <w:rFonts w:ascii="Arial" w:cs="Arial" w:eastAsia="Arial" w:hAnsi="Arial"/>
                <w:sz w:val="16"/>
                <w:szCs w:val="16"/>
                <w:color w:val="auto"/>
                <w:w w:val="94"/>
              </w:rPr>
              <w:t>Sunnyvale, CA</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201,589</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3,855,601</w:t>
            </w:r>
          </w:p>
        </w:tc>
        <w:tc>
          <w:tcPr>
            <w:tcW w:w="14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3,731,264</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1.30</w:t>
            </w:r>
          </w:p>
        </w:tc>
      </w:tr>
      <w:tr>
        <w:trPr>
          <w:trHeight w:val="212"/>
        </w:trPr>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2"/>
              </w:rPr>
              <w:t>Fuel Cell Energy</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3"/>
        </w:trPr>
        <w:tc>
          <w:tcPr>
            <w:tcW w:w="288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(1)(11)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6"/>
                <w:szCs w:val="16"/>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2,728,252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2,005,945</w:t>
            </w:r>
          </w:p>
        </w:tc>
        <w:tc>
          <w:tcPr>
            <w:tcW w:w="14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2,073,472</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0.72</w:t>
            </w:r>
          </w:p>
        </w:tc>
      </w:tr>
      <w:tr>
        <w:trPr>
          <w:trHeight w:val="203"/>
        </w:trPr>
        <w:tc>
          <w:tcPr>
            <w:tcW w:w="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3"/>
              </w:rPr>
              <w:t>Online Learning</w:t>
            </w: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gridSpan w:val="3"/>
            <w:shd w:val="clear" w:color="auto" w:fill="CCFFCC"/>
          </w:tcPr>
          <w:p>
            <w:pPr>
              <w:jc w:val="center"/>
              <w:ind w:right="120"/>
              <w:spacing w:after="0"/>
              <w:rPr>
                <w:sz w:val="20"/>
                <w:szCs w:val="20"/>
                <w:color w:val="auto"/>
              </w:rPr>
            </w:pPr>
            <w:r>
              <w:rPr>
                <w:rFonts w:ascii="Arial" w:cs="Arial" w:eastAsia="Arial" w:hAnsi="Arial"/>
                <w:sz w:val="16"/>
                <w:szCs w:val="16"/>
                <w:color w:val="auto"/>
                <w:w w:val="93"/>
              </w:rPr>
              <w:t>Platform</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1,731,501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1,503,670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1,499,999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52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86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3,509,615</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3,573,471</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24</w:t>
            </w:r>
          </w:p>
        </w:tc>
      </w:tr>
      <w:tr>
        <w:trPr>
          <w:trHeight w:val="196"/>
        </w:trPr>
        <w:tc>
          <w:tcPr>
            <w:tcW w:w="2880" w:type="dxa"/>
            <w:vAlign w:val="bottom"/>
            <w:tcBorders>
              <w:top w:val="single" w:sz="8" w:color="CCFFCC"/>
            </w:tcBorders>
            <w:gridSpan w:val="10"/>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80" w:type="dxa"/>
            <w:vAlign w:val="bottom"/>
            <w:tcBorders>
              <w:top w:val="single" w:sz="8" w:color="CCFFCC"/>
            </w:tcBorders>
          </w:tcPr>
          <w:p>
            <w:pPr>
              <w:spacing w:after="0"/>
              <w:rPr>
                <w:sz w:val="17"/>
                <w:szCs w:val="17"/>
                <w:color w:val="auto"/>
              </w:rPr>
            </w:pPr>
          </w:p>
        </w:tc>
        <w:tc>
          <w:tcPr>
            <w:tcW w:w="17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7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FFCC"/>
          </w:tcPr>
          <w:p>
            <w:pPr>
              <w:spacing w:after="0"/>
              <w:rPr>
                <w:sz w:val="16"/>
                <w:szCs w:val="16"/>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615,763</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2,006,077</w:t>
            </w:r>
          </w:p>
        </w:tc>
        <w:tc>
          <w:tcPr>
            <w:tcW w:w="14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2,229,678</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0.77</w:t>
            </w:r>
          </w:p>
        </w:tc>
      </w:tr>
      <w:tr>
        <w:trPr>
          <w:trHeight w:val="212"/>
        </w:trPr>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920" w:type="dxa"/>
            <w:vAlign w:val="bottom"/>
            <w:gridSpan w:val="3"/>
            <w:shd w:val="clear" w:color="auto" w:fill="CCFFCC"/>
          </w:tcPr>
          <w:p>
            <w:pPr>
              <w:jc w:val="center"/>
              <w:ind w:right="140"/>
              <w:spacing w:after="0"/>
              <w:rPr>
                <w:sz w:val="20"/>
                <w:szCs w:val="20"/>
                <w:color w:val="auto"/>
              </w:rPr>
            </w:pPr>
            <w:r>
              <w:rPr>
                <w:rFonts w:ascii="Arial" w:cs="Arial" w:eastAsia="Arial" w:hAnsi="Arial"/>
                <w:sz w:val="16"/>
                <w:szCs w:val="16"/>
                <w:color w:val="auto"/>
                <w:w w:val="91"/>
              </w:rPr>
              <w:t>Corporate Education</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 Series D</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169,033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697,041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0.24</w:t>
            </w:r>
          </w:p>
        </w:tc>
      </w:tr>
      <w:tr>
        <w:trPr>
          <w:trHeight w:val="19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warrants, $4.59 strike price,</w:t>
            </w:r>
          </w:p>
        </w:tc>
        <w:tc>
          <w:tcPr>
            <w:tcW w:w="80" w:type="dxa"/>
            <w:vAlign w:val="bottom"/>
            <w:shd w:val="clear" w:color="auto" w:fill="CCFFCC"/>
          </w:tcPr>
          <w:p>
            <w:pPr>
              <w:spacing w:after="0"/>
              <w:rPr>
                <w:sz w:val="16"/>
                <w:szCs w:val="16"/>
                <w:color w:val="auto"/>
              </w:rPr>
            </w:pPr>
          </w:p>
        </w:tc>
        <w:tc>
          <w:tcPr>
            <w:tcW w:w="1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tcBorders>
            <w:shd w:val="clear" w:color="auto" w:fill="CCFFCC"/>
          </w:tcPr>
          <w:p>
            <w:pPr>
              <w:spacing w:after="0"/>
              <w:rPr>
                <w:sz w:val="16"/>
                <w:szCs w:val="16"/>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860" w:type="dxa"/>
            <w:vAlign w:val="bottom"/>
            <w:tcBorders>
              <w:bottom w:val="single" w:sz="8" w:color="CCFFCC"/>
            </w:tcBorders>
            <w:gridSpan w:val="9"/>
            <w:shd w:val="clear" w:color="auto" w:fill="CCFFCC"/>
          </w:tcPr>
          <w:p>
            <w:pPr>
              <w:ind w:left="180"/>
              <w:spacing w:after="0"/>
              <w:rPr>
                <w:sz w:val="20"/>
                <w:szCs w:val="20"/>
                <w:color w:val="auto"/>
              </w:rPr>
            </w:pPr>
            <w:r>
              <w:rPr>
                <w:rFonts w:ascii="Arial" w:cs="Arial" w:eastAsia="Arial" w:hAnsi="Arial"/>
                <w:sz w:val="16"/>
                <w:szCs w:val="16"/>
                <w:color w:val="auto"/>
              </w:rPr>
              <w:t>expire 02/25/2018</w:t>
            </w:r>
          </w:p>
        </w:tc>
        <w:tc>
          <w:tcPr>
            <w:tcW w:w="8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2,784,684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2,926,719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01</w:t>
            </w:r>
          </w:p>
        </w:tc>
      </w:tr>
      <w:tr>
        <w:trPr>
          <w:trHeight w:val="196"/>
        </w:trPr>
        <w:tc>
          <w:tcPr>
            <w:tcW w:w="2880" w:type="dxa"/>
            <w:vAlign w:val="bottom"/>
            <w:gridSpan w:val="10"/>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2"/>
                <w:szCs w:val="22"/>
                <w:b w:val="1"/>
                <w:bCs w:val="1"/>
                <w:color w:val="auto"/>
                <w:vertAlign w:val="superscript"/>
              </w:rPr>
              <w:t>(6)</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San Bruno, CA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1,771,653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2,259,716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2,232,283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Online Marketplace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Finance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Common warrants, $0.13 strike price,</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115,640</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0.04</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860" w:type="dxa"/>
            <w:vAlign w:val="bottom"/>
            <w:tcBorders>
              <w:bottom w:val="single" w:sz="8" w:color="CCFFCC"/>
            </w:tcBorders>
            <w:gridSpan w:val="9"/>
            <w:shd w:val="clear" w:color="auto" w:fill="CCFFCC"/>
          </w:tcPr>
          <w:p>
            <w:pPr>
              <w:ind w:left="180"/>
              <w:spacing w:after="0"/>
              <w:rPr>
                <w:sz w:val="20"/>
                <w:szCs w:val="20"/>
                <w:color w:val="auto"/>
              </w:rPr>
            </w:pPr>
            <w:r>
              <w:rPr>
                <w:rFonts w:ascii="Arial" w:cs="Arial" w:eastAsia="Arial" w:hAnsi="Arial"/>
                <w:sz w:val="16"/>
                <w:szCs w:val="16"/>
                <w:color w:val="auto"/>
              </w:rPr>
              <w:t>expire 6/15/2018</w:t>
            </w:r>
          </w:p>
        </w:tc>
        <w:tc>
          <w:tcPr>
            <w:tcW w:w="8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2,282,844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2,347,923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82</w:t>
            </w:r>
          </w:p>
        </w:tc>
      </w:tr>
      <w:tr>
        <w:trPr>
          <w:trHeight w:val="156"/>
        </w:trPr>
        <w:tc>
          <w:tcPr>
            <w:tcW w:w="2880" w:type="dxa"/>
            <w:vAlign w:val="bottom"/>
            <w:gridSpan w:val="10"/>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8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74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Santa Monica, CA</w:t>
            </w:r>
          </w:p>
        </w:tc>
        <w:tc>
          <w:tcPr>
            <w:tcW w:w="760" w:type="dxa"/>
            <w:vAlign w:val="bottom"/>
          </w:tcPr>
          <w:p>
            <w:pPr>
              <w:jc w:val="right"/>
              <w:spacing w:after="0"/>
              <w:rPr>
                <w:sz w:val="20"/>
                <w:szCs w:val="20"/>
                <w:color w:val="auto"/>
              </w:rPr>
            </w:pPr>
            <w:r>
              <w:rPr>
                <w:rFonts w:ascii="Arial" w:cs="Arial" w:eastAsia="Arial" w:hAnsi="Arial"/>
                <w:sz w:val="16"/>
                <w:szCs w:val="16"/>
                <w:color w:val="auto"/>
              </w:rPr>
              <w:t>377,358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$ 2,014,863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2,299,997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0.80</w:t>
            </w: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Online Marketplace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5"/>
        </w:trPr>
        <w:tc>
          <w:tcPr>
            <w:tcW w:w="2880" w:type="dxa"/>
            <w:vAlign w:val="bottom"/>
            <w:gridSpan w:val="10"/>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Bellevue, WA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7,159,221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1,502,362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1,503,436</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0.52</w:t>
            </w: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3,579,610</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758,017</w:t>
            </w:r>
          </w:p>
        </w:tc>
        <w:tc>
          <w:tcPr>
            <w:tcW w:w="14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751,718</w:t>
            </w:r>
          </w:p>
        </w:tc>
        <w:tc>
          <w:tcPr>
            <w:tcW w:w="7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0.26</w:t>
            </w: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2,260,379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2,255,154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-6731635</wp:posOffset>
            </wp:positionV>
            <wp:extent cx="52139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-5779770</wp:posOffset>
            </wp:positionV>
            <wp:extent cx="521398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-4141470</wp:posOffset>
            </wp:positionV>
            <wp:extent cx="521398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-2940685</wp:posOffset>
            </wp:positionV>
            <wp:extent cx="521398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-2134870</wp:posOffset>
            </wp:positionV>
            <wp:extent cx="52139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-1191260</wp:posOffset>
            </wp:positionV>
            <wp:extent cx="521398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653"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80" w:type="dxa"/>
            <w:vAlign w:val="bottom"/>
            <w:gridSpan w:val="15"/>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1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7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4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88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tcPr>
          <w:p>
            <w:pPr>
              <w:jc w:val="right"/>
              <w:spacing w:after="0"/>
              <w:rPr>
                <w:sz w:val="20"/>
                <w:szCs w:val="20"/>
                <w:color w:val="auto"/>
              </w:rPr>
            </w:pPr>
            <w:r>
              <w:rPr>
                <w:rFonts w:ascii="Arial" w:cs="Arial" w:eastAsia="Arial" w:hAnsi="Arial"/>
                <w:sz w:val="16"/>
                <w:szCs w:val="16"/>
                <w:color w:val="auto"/>
              </w:rPr>
              <w:t>318,979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0.69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Knowledge Networks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249,505</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2,217,653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2,249,503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78</w:t>
            </w:r>
          </w:p>
        </w:tc>
      </w:tr>
      <w:tr>
        <w:trPr>
          <w:trHeight w:val="196"/>
        </w:trPr>
        <w:tc>
          <w:tcPr>
            <w:tcW w:w="288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Silver Spring Networks, Inc.</w:t>
            </w:r>
            <w:r>
              <w:rPr>
                <w:rFonts w:ascii="Arial" w:cs="Arial" w:eastAsia="Arial" w:hAnsi="Arial"/>
                <w:sz w:val="22"/>
                <w:szCs w:val="22"/>
                <w:b w:val="1"/>
                <w:bCs w:val="1"/>
                <w:color w:val="auto"/>
                <w:vertAlign w:val="superscript"/>
              </w:rPr>
              <w:t>**</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jc w:val="right"/>
              <w:spacing w:after="0"/>
              <w:rPr>
                <w:sz w:val="20"/>
                <w:szCs w:val="20"/>
                <w:color w:val="auto"/>
              </w:rPr>
            </w:pPr>
            <w:r>
              <w:rPr>
                <w:rFonts w:ascii="Arial" w:cs="Arial" w:eastAsia="Arial" w:hAnsi="Arial"/>
                <w:sz w:val="16"/>
                <w:szCs w:val="16"/>
                <w:color w:val="auto"/>
              </w:rPr>
              <w:t>102,028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2,142,588</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0.74</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Smart Grid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3"/>
                <w:szCs w:val="23"/>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1,188,137</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0.41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Incubator</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605,500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594,068</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21</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1,627,278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1,782,205</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62</w:t>
            </w:r>
          </w:p>
        </w:tc>
      </w:tr>
      <w:tr>
        <w:trPr>
          <w:trHeight w:val="196"/>
        </w:trPr>
        <w:tc>
          <w:tcPr>
            <w:tcW w:w="288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22"/>
                <w:szCs w:val="22"/>
                <w:b w:val="1"/>
                <w:bCs w:val="1"/>
                <w:color w:val="auto"/>
                <w:vertAlign w:val="subscript"/>
              </w:rPr>
              <w:t>ePals Inc.</w:t>
            </w:r>
            <w:r>
              <w:rPr>
                <w:rFonts w:ascii="Arial" w:cs="Arial" w:eastAsia="Arial" w:hAnsi="Arial"/>
                <w:sz w:val="11"/>
                <w:szCs w:val="11"/>
                <w:b w:val="1"/>
                <w:bCs w:val="1"/>
                <w:color w:val="auto"/>
              </w:rPr>
              <w:t>**(1)(10)</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Herndon, VA</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33,333,333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2,444,759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1,666,667</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0.58</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w w:val="93"/>
              </w:rPr>
              <w:t>Common warrants, 0.075 CAD strike price,</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11,111,111</w:t>
            </w: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33,333</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0.01</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860" w:type="dxa"/>
            <w:vAlign w:val="bottom"/>
            <w:tcBorders>
              <w:bottom w:val="single" w:sz="8" w:color="CCFFCC"/>
            </w:tcBorders>
            <w:gridSpan w:val="14"/>
            <w:shd w:val="clear" w:color="auto" w:fill="CCFFCC"/>
          </w:tcPr>
          <w:p>
            <w:pPr>
              <w:ind w:left="180"/>
              <w:spacing w:after="0"/>
              <w:rPr>
                <w:sz w:val="20"/>
                <w:szCs w:val="20"/>
                <w:color w:val="auto"/>
              </w:rPr>
            </w:pPr>
            <w:r>
              <w:rPr>
                <w:rFonts w:ascii="Arial" w:cs="Arial" w:eastAsia="Arial" w:hAnsi="Arial"/>
                <w:sz w:val="16"/>
                <w:szCs w:val="16"/>
                <w:color w:val="auto"/>
              </w:rPr>
              <w:t>expire 4/30/2014</w:t>
            </w:r>
          </w:p>
        </w:tc>
        <w:tc>
          <w:tcPr>
            <w:tcW w:w="8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2,444,759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0.59</w:t>
            </w:r>
          </w:p>
        </w:tc>
      </w:tr>
      <w:tr>
        <w:trPr>
          <w:trHeight w:val="156"/>
        </w:trPr>
        <w:tc>
          <w:tcPr>
            <w:tcW w:w="2880" w:type="dxa"/>
            <w:vAlign w:val="bottom"/>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Circle Media (f.k.a. S3 Digital Corp.</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4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0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2500" w:type="dxa"/>
            <w:vAlign w:val="bottom"/>
            <w:tcBorders>
              <w:top w:val="single" w:sz="8" w:color="auto"/>
            </w:tcBorders>
            <w:gridSpan w:val="13"/>
            <w:shd w:val="clear" w:color="auto" w:fill="CCFFCC"/>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3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74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4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900" w:type="dxa"/>
            <w:vAlign w:val="bottom"/>
            <w:tcBorders>
              <w:top w:val="single" w:sz="8" w:color="CCFFCC"/>
              <w:right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5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Class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1,168,847</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0.41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Sports Analytics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warrants, $1.00 strike price,</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150,000</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0.05</w:t>
            </w:r>
          </w:p>
        </w:tc>
      </w:tr>
      <w:tr>
        <w:trPr>
          <w:trHeight w:val="212"/>
        </w:trPr>
        <w:tc>
          <w:tcPr>
            <w:tcW w:w="20" w:type="dxa"/>
            <w:vAlign w:val="bottom"/>
            <w:shd w:val="clear" w:color="auto" w:fill="CCFFCC"/>
          </w:tcPr>
          <w:p>
            <w:pPr>
              <w:spacing w:after="0"/>
              <w:rPr>
                <w:sz w:val="18"/>
                <w:szCs w:val="18"/>
                <w:color w:val="auto"/>
              </w:rPr>
            </w:pPr>
          </w:p>
        </w:tc>
        <w:tc>
          <w:tcPr>
            <w:tcW w:w="286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expire 11/21/2017</w:t>
            </w:r>
          </w:p>
        </w:tc>
        <w:tc>
          <w:tcPr>
            <w:tcW w:w="8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43"/>
        </w:trPr>
        <w:tc>
          <w:tcPr>
            <w:tcW w:w="2880" w:type="dxa"/>
            <w:vAlign w:val="bottom"/>
            <w:gridSpan w:val="15"/>
          </w:tcPr>
          <w:p>
            <w:pPr>
              <w:ind w:left="20"/>
              <w:spacing w:after="0" w:line="242" w:lineRule="exact"/>
              <w:rPr>
                <w:sz w:val="20"/>
                <w:szCs w:val="20"/>
                <w:color w:val="auto"/>
              </w:rPr>
            </w:pPr>
            <w:r>
              <w:rPr>
                <w:rFonts w:ascii="Arial" w:cs="Arial" w:eastAsia="Arial" w:hAnsi="Arial"/>
                <w:sz w:val="16"/>
                <w:szCs w:val="16"/>
                <w:color w:val="auto"/>
              </w:rPr>
              <w:t>Term Loan, 12%, 09/30/15</w:t>
            </w:r>
            <w:r>
              <w:rPr>
                <w:rFonts w:ascii="Arial" w:cs="Arial" w:eastAsia="Arial" w:hAnsi="Arial"/>
                <w:sz w:val="27"/>
                <w:szCs w:val="27"/>
                <w:color w:val="auto"/>
                <w:vertAlign w:val="superscript"/>
              </w:rPr>
              <w:t>***</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261,030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r>
      <w:tr>
        <w:trPr>
          <w:trHeight w:val="193"/>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warrants, $1.166 strike price,</w:t>
            </w:r>
          </w:p>
        </w:tc>
        <w:tc>
          <w:tcPr>
            <w:tcW w:w="80" w:type="dxa"/>
            <w:vAlign w:val="bottom"/>
            <w:shd w:val="clear" w:color="auto" w:fill="CCFFCC"/>
          </w:tcPr>
          <w:p>
            <w:pPr>
              <w:spacing w:after="0"/>
              <w:rPr>
                <w:sz w:val="16"/>
                <w:szCs w:val="16"/>
                <w:color w:val="auto"/>
              </w:rPr>
            </w:pPr>
          </w:p>
        </w:tc>
        <w:tc>
          <w:tcPr>
            <w:tcW w:w="1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shd w:val="clear" w:color="auto" w:fill="CCFFCC"/>
          </w:tcPr>
          <w:p>
            <w:pPr>
              <w:spacing w:after="0"/>
              <w:rPr>
                <w:sz w:val="16"/>
                <w:szCs w:val="16"/>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64,322</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0.02</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860" w:type="dxa"/>
            <w:vAlign w:val="bottom"/>
            <w:tcBorders>
              <w:bottom w:val="single" w:sz="8" w:color="CCFFCC"/>
            </w:tcBorders>
            <w:gridSpan w:val="14"/>
            <w:shd w:val="clear" w:color="auto" w:fill="CCFFCC"/>
          </w:tcPr>
          <w:p>
            <w:pPr>
              <w:ind w:left="180"/>
              <w:spacing w:after="0"/>
              <w:rPr>
                <w:sz w:val="20"/>
                <w:szCs w:val="20"/>
                <w:color w:val="auto"/>
              </w:rPr>
            </w:pPr>
            <w:r>
              <w:rPr>
                <w:rFonts w:ascii="Arial" w:cs="Arial" w:eastAsia="Arial" w:hAnsi="Arial"/>
                <w:sz w:val="16"/>
                <w:szCs w:val="16"/>
                <w:color w:val="auto"/>
              </w:rPr>
              <w:t>expire 09/30/2020</w:t>
            </w:r>
          </w:p>
        </w:tc>
        <w:tc>
          <w:tcPr>
            <w:tcW w:w="8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1,281,442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1,633,169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57</w:t>
            </w:r>
          </w:p>
        </w:tc>
      </w:tr>
      <w:tr>
        <w:trPr>
          <w:trHeight w:val="196"/>
        </w:trPr>
        <w:tc>
          <w:tcPr>
            <w:tcW w:w="288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Boston, MA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1,878,129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2,430,950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1,211,393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0.42</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Social Advertising</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Sunnyvale, CA</w:t>
            </w:r>
          </w:p>
        </w:tc>
        <w:tc>
          <w:tcPr>
            <w:tcW w:w="760" w:type="dxa"/>
            <w:vAlign w:val="bottom"/>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1,046,830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0.36</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Software Development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3"/>
                <w:szCs w:val="23"/>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Scottsdale, AZ</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857,302</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0.30</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Higher Education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Learning Platform</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line="205"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Shanghai, China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503,235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577,293</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Chinese P2P Lending</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Class B</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2,333,108</w:t>
            </w: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250,491</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247,163</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09</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753,726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824,456</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29</w:t>
            </w:r>
          </w:p>
        </w:tc>
      </w:tr>
      <w:tr>
        <w:trPr>
          <w:trHeight w:val="196"/>
        </w:trPr>
        <w:tc>
          <w:tcPr>
            <w:tcW w:w="2880" w:type="dxa"/>
            <w:vAlign w:val="bottom"/>
            <w:gridSpan w:val="15"/>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2"/>
                <w:szCs w:val="22"/>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0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20" w:type="dxa"/>
            <w:vAlign w:val="bottom"/>
            <w:tcBorders>
              <w:top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Woodside, CA</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3,152,417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624,783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Social Media</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880" w:type="dxa"/>
            <w:vAlign w:val="bottom"/>
            <w:gridSpan w:val="15"/>
            <w:shd w:val="clear" w:color="auto" w:fill="CCFFCC"/>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1,066,626</w:t>
            </w: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1,027,391</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203,011</w:t>
            </w: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07</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1,652,174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803,011</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28</w:t>
            </w:r>
          </w:p>
        </w:tc>
      </w:tr>
      <w:tr>
        <w:trPr>
          <w:trHeight w:val="156"/>
        </w:trPr>
        <w:tc>
          <w:tcPr>
            <w:tcW w:w="2880" w:type="dxa"/>
            <w:vAlign w:val="bottom"/>
            <w:gridSpan w:val="15"/>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AliphCom, Inc. (d/b/a Jawbone)</w:t>
            </w:r>
          </w:p>
        </w:tc>
        <w:tc>
          <w:tcPr>
            <w:tcW w:w="80" w:type="dxa"/>
            <w:vAlign w:val="bottom"/>
            <w:shd w:val="clear" w:color="auto" w:fill="CCFFCC"/>
          </w:tcPr>
          <w:p>
            <w:pPr>
              <w:spacing w:after="0"/>
              <w:rPr>
                <w:sz w:val="13"/>
                <w:szCs w:val="13"/>
                <w:color w:val="auto"/>
              </w:rPr>
            </w:pPr>
          </w:p>
        </w:tc>
        <w:tc>
          <w:tcPr>
            <w:tcW w:w="17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4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90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tcBorders>
              <w:top w:val="single" w:sz="8" w:color="auto"/>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5"/>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tcPr>
          <w:p>
            <w:pPr>
              <w:jc w:val="right"/>
              <w:spacing w:after="0"/>
              <w:rPr>
                <w:sz w:val="20"/>
                <w:szCs w:val="20"/>
                <w:color w:val="auto"/>
              </w:rPr>
            </w:pPr>
            <w:r>
              <w:rPr>
                <w:rFonts w:ascii="Arial" w:cs="Arial" w:eastAsia="Arial" w:hAnsi="Arial"/>
                <w:sz w:val="16"/>
                <w:szCs w:val="16"/>
                <w:color w:val="auto"/>
              </w:rPr>
              <w:t>150,000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782,189</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0.27</w:t>
            </w: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Smart Device Company</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-6530340</wp:posOffset>
            </wp:positionV>
            <wp:extent cx="52139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-5432425</wp:posOffset>
            </wp:positionV>
            <wp:extent cx="521398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-4617720</wp:posOffset>
            </wp:positionV>
            <wp:extent cx="521398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-3262630</wp:posOffset>
            </wp:positionV>
            <wp:extent cx="52139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-1213485</wp:posOffset>
            </wp:positionV>
            <wp:extent cx="52139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-527050</wp:posOffset>
            </wp:positionV>
            <wp:extent cx="52139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80" w:type="dxa"/>
            <w:vAlign w:val="bottom"/>
            <w:gridSpan w:val="10"/>
          </w:tcPr>
          <w:p>
            <w:pPr>
              <w:ind w:left="20"/>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Headquarters/Industry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 of Net</w:t>
            </w:r>
          </w:p>
        </w:tc>
      </w:tr>
      <w:tr>
        <w:trPr>
          <w:trHeight w:val="171"/>
        </w:trPr>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r>
      <w:tr>
        <w:trPr>
          <w:trHeight w:val="196"/>
        </w:trPr>
        <w:tc>
          <w:tcPr>
            <w:tcW w:w="2880" w:type="dxa"/>
            <w:vAlign w:val="bottom"/>
            <w:gridSpan w:val="10"/>
            <w:shd w:val="clear" w:color="auto" w:fill="CCFFCC"/>
          </w:tcPr>
          <w:p>
            <w:pPr>
              <w:ind w:left="20"/>
              <w:spacing w:after="0" w:line="197" w:lineRule="exact"/>
              <w:rPr>
                <w:sz w:val="20"/>
                <w:szCs w:val="20"/>
                <w:color w:val="auto"/>
              </w:rPr>
            </w:pPr>
            <w:r>
              <w:rPr>
                <w:rFonts w:ascii="Arial" w:cs="Arial" w:eastAsia="Arial" w:hAnsi="Arial"/>
                <w:sz w:val="14"/>
                <w:szCs w:val="14"/>
                <w:b w:val="1"/>
                <w:bCs w:val="1"/>
                <w:color w:val="auto"/>
              </w:rPr>
              <w:t>NestGSV Silicon Valley, LLC</w:t>
            </w:r>
            <w:r>
              <w:rPr>
                <w:rFonts w:ascii="Arial" w:cs="Arial" w:eastAsia="Arial" w:hAnsi="Arial"/>
                <w:sz w:val="22"/>
                <w:szCs w:val="22"/>
                <w:b w:val="1"/>
                <w:bCs w:val="1"/>
                <w:color w:val="auto"/>
                <w:vertAlign w:val="superscript"/>
              </w:rPr>
              <w:t>(1)(4)</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membership interest</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557,084</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0.19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0"/>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60" w:type="dxa"/>
            <w:vAlign w:val="bottom"/>
            <w:shd w:val="clear" w:color="auto" w:fill="CCFFCC"/>
          </w:tcPr>
          <w:p>
            <w:pPr>
              <w:spacing w:after="0"/>
              <w:rPr>
                <w:sz w:val="14"/>
                <w:szCs w:val="14"/>
                <w:color w:val="auto"/>
              </w:rPr>
            </w:pPr>
          </w:p>
        </w:tc>
        <w:tc>
          <w:tcPr>
            <w:tcW w:w="1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1,250,000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308,660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0.11</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Retail Machines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0"/>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FFCC"/>
          </w:tcPr>
          <w:p>
            <w:pPr>
              <w:spacing w:after="0"/>
              <w:rPr>
                <w:sz w:val="14"/>
                <w:szCs w:val="14"/>
                <w:color w:val="auto"/>
              </w:rPr>
            </w:pPr>
          </w:p>
        </w:tc>
        <w:tc>
          <w:tcPr>
            <w:tcW w:w="1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AAI</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San Jose, CA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264,941</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0.09</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5"/>
        </w:trPr>
        <w:tc>
          <w:tcPr>
            <w:tcW w:w="2880" w:type="dxa"/>
            <w:vAlign w:val="bottom"/>
            <w:gridSpan w:val="10"/>
            <w:shd w:val="clear" w:color="auto" w:fill="CCFFCC"/>
          </w:tcPr>
          <w:p>
            <w:pPr>
              <w:ind w:left="20"/>
              <w:spacing w:after="0" w:line="165" w:lineRule="exact"/>
              <w:rPr>
                <w:sz w:val="20"/>
                <w:szCs w:val="20"/>
                <w:color w:val="auto"/>
              </w:rPr>
            </w:pPr>
            <w:r>
              <w:rPr>
                <w:rFonts w:ascii="Arial" w:cs="Arial" w:eastAsia="Arial" w:hAnsi="Arial"/>
                <w:sz w:val="16"/>
                <w:szCs w:val="16"/>
                <w:b w:val="1"/>
                <w:bCs w:val="1"/>
                <w:color w:val="auto"/>
              </w:rPr>
              <w:t>4C Insights (f.k.a The Echo Systems</w:t>
            </w:r>
          </w:p>
        </w:tc>
        <w:tc>
          <w:tcPr>
            <w:tcW w:w="60" w:type="dxa"/>
            <w:vAlign w:val="bottom"/>
            <w:shd w:val="clear" w:color="auto" w:fill="CCFFCC"/>
          </w:tcPr>
          <w:p>
            <w:pPr>
              <w:spacing w:after="0"/>
              <w:rPr>
                <w:sz w:val="14"/>
                <w:szCs w:val="14"/>
                <w:color w:val="auto"/>
              </w:rPr>
            </w:pPr>
          </w:p>
        </w:tc>
        <w:tc>
          <w:tcPr>
            <w:tcW w:w="1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r>
      <w:tr>
        <w:trPr>
          <w:trHeight w:val="183"/>
        </w:trPr>
        <w:tc>
          <w:tcPr>
            <w:tcW w:w="20" w:type="dxa"/>
            <w:vAlign w:val="bottom"/>
            <w:tcBorders>
              <w:top w:val="single" w:sz="8" w:color="CCFFCC"/>
            </w:tcBorders>
            <w:shd w:val="clear" w:color="auto" w:fill="CCFFCC"/>
          </w:tcPr>
          <w:p>
            <w:pPr>
              <w:spacing w:after="0"/>
              <w:rPr>
                <w:sz w:val="15"/>
                <w:szCs w:val="15"/>
                <w:color w:val="auto"/>
              </w:rPr>
            </w:pPr>
          </w:p>
        </w:tc>
        <w:tc>
          <w:tcPr>
            <w:tcW w:w="2480" w:type="dxa"/>
            <w:vAlign w:val="bottom"/>
            <w:tcBorders>
              <w:top w:val="single" w:sz="8" w:color="auto"/>
            </w:tcBorders>
            <w:gridSpan w:val="8"/>
            <w:shd w:val="clear" w:color="auto" w:fill="CCFFCC"/>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38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72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780" w:type="dxa"/>
            <w:vAlign w:val="bottom"/>
            <w:tcBorders>
              <w:top w:val="single" w:sz="8" w:color="CCFFCC"/>
              <w:righ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left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80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left w:val="single" w:sz="8" w:color="CCFFCC"/>
            </w:tcBorders>
            <w:shd w:val="clear" w:color="auto" w:fill="CCFFCC"/>
          </w:tcPr>
          <w:p>
            <w:pPr>
              <w:spacing w:after="0"/>
              <w:rPr>
                <w:sz w:val="15"/>
                <w:szCs w:val="15"/>
                <w:color w:val="auto"/>
              </w:rPr>
            </w:pPr>
          </w:p>
        </w:tc>
        <w:tc>
          <w:tcPr>
            <w:tcW w:w="5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Chicago, IL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512,365</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229,234</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Social Data Platform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rPr>
              <w:t>Preferred warrants, $0.20 strike price,</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68,359</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860" w:type="dxa"/>
            <w:vAlign w:val="bottom"/>
            <w:tcBorders>
              <w:bottom w:val="single" w:sz="8" w:color="CCFFCC"/>
            </w:tcBorders>
            <w:gridSpan w:val="9"/>
            <w:shd w:val="clear" w:color="auto" w:fill="CCFFCC"/>
          </w:tcPr>
          <w:p>
            <w:pPr>
              <w:ind w:left="180"/>
              <w:spacing w:after="0"/>
              <w:rPr>
                <w:sz w:val="20"/>
                <w:szCs w:val="20"/>
                <w:color w:val="auto"/>
              </w:rPr>
            </w:pPr>
            <w:r>
              <w:rPr>
                <w:rFonts w:ascii="Arial" w:cs="Arial" w:eastAsia="Arial" w:hAnsi="Arial"/>
                <w:sz w:val="16"/>
                <w:szCs w:val="16"/>
                <w:color w:val="auto"/>
              </w:rPr>
              <w:t>expire 11/14/2016</w:t>
            </w:r>
          </w:p>
        </w:tc>
        <w:tc>
          <w:tcPr>
            <w:tcW w:w="60" w:type="dxa"/>
            <w:vAlign w:val="bottom"/>
            <w:tcBorders>
              <w:bottom w:val="single" w:sz="8" w:color="CCFFCC"/>
            </w:tcBorders>
            <w:shd w:val="clear" w:color="auto" w:fill="CCFFCC"/>
          </w:tcPr>
          <w:p>
            <w:pPr>
              <w:spacing w:after="0"/>
              <w:rPr>
                <w:sz w:val="18"/>
                <w:szCs w:val="18"/>
                <w:color w:val="auto"/>
              </w:rPr>
            </w:pPr>
          </w:p>
        </w:tc>
        <w:tc>
          <w:tcPr>
            <w:tcW w:w="17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left w:val="single" w:sz="8" w:color="CCFFCC"/>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1,512,392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229,234</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r>
      <w:tr>
        <w:trPr>
          <w:trHeight w:val="156"/>
        </w:trPr>
        <w:tc>
          <w:tcPr>
            <w:tcW w:w="2880" w:type="dxa"/>
            <w:vAlign w:val="bottom"/>
            <w:gridSpan w:val="10"/>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Odesk Corporation</w:t>
            </w:r>
          </w:p>
        </w:tc>
        <w:tc>
          <w:tcPr>
            <w:tcW w:w="60" w:type="dxa"/>
            <w:vAlign w:val="bottom"/>
            <w:shd w:val="clear" w:color="auto" w:fill="CCFFCC"/>
          </w:tcPr>
          <w:p>
            <w:pPr>
              <w:spacing w:after="0"/>
              <w:rPr>
                <w:sz w:val="13"/>
                <w:szCs w:val="13"/>
                <w:color w:val="auto"/>
              </w:rPr>
            </w:pPr>
          </w:p>
        </w:tc>
        <w:tc>
          <w:tcPr>
            <w:tcW w:w="17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80" w:type="dxa"/>
            <w:vAlign w:val="bottom"/>
            <w:tcBorders>
              <w:righ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80" w:type="dxa"/>
            <w:vAlign w:val="bottom"/>
            <w:tcBorders>
              <w:top w:val="single" w:sz="8" w:color="auto"/>
            </w:tcBorders>
            <w:shd w:val="clear" w:color="auto" w:fill="CCFFCC"/>
          </w:tcPr>
          <w:p>
            <w:pPr>
              <w:spacing w:after="0"/>
              <w:rPr>
                <w:sz w:val="13"/>
                <w:szCs w:val="13"/>
                <w:color w:val="auto"/>
              </w:rPr>
            </w:pPr>
          </w:p>
        </w:tc>
        <w:tc>
          <w:tcPr>
            <w:tcW w:w="800" w:type="dxa"/>
            <w:vAlign w:val="bottom"/>
            <w:tcBorders>
              <w:top w:val="single" w:sz="8" w:color="auto"/>
            </w:tcBorders>
            <w:shd w:val="clear" w:color="auto" w:fill="CCFFCC"/>
          </w:tcPr>
          <w:p>
            <w:pPr>
              <w:spacing w:after="0"/>
              <w:rPr>
                <w:sz w:val="13"/>
                <w:szCs w:val="13"/>
                <w:color w:val="auto"/>
              </w:rPr>
            </w:pPr>
          </w:p>
        </w:tc>
        <w:tc>
          <w:tcPr>
            <w:tcW w:w="120" w:type="dxa"/>
            <w:vAlign w:val="bottom"/>
            <w:tcBorders>
              <w:left w:val="single" w:sz="8" w:color="CCFFCC"/>
            </w:tcBorders>
            <w:shd w:val="clear" w:color="auto" w:fill="CCFFCC"/>
          </w:tcPr>
          <w:p>
            <w:pPr>
              <w:spacing w:after="0"/>
              <w:rPr>
                <w:sz w:val="13"/>
                <w:szCs w:val="13"/>
                <w:color w:val="auto"/>
              </w:rPr>
            </w:pPr>
          </w:p>
        </w:tc>
        <w:tc>
          <w:tcPr>
            <w:tcW w:w="540" w:type="dxa"/>
            <w:vAlign w:val="bottom"/>
            <w:tcBorders>
              <w:top w:val="single" w:sz="8" w:color="auto"/>
            </w:tcBorders>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88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184,077</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0.06</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279,709,118</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355,383,653</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123.41</w:t>
            </w:r>
          </w:p>
        </w:tc>
      </w:tr>
      <w:tr>
        <w:trPr>
          <w:trHeight w:val="20"/>
        </w:trPr>
        <w:tc>
          <w:tcPr>
            <w:tcW w:w="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7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6"/>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02/15/2014</w:t>
            </w: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1,791,000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1,790,785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1,790,839</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0.62</w:t>
            </w:r>
          </w:p>
        </w:tc>
      </w:tr>
      <w:tr>
        <w:trPr>
          <w:trHeight w:val="20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w w:val="99"/>
              </w:rPr>
              <w:t>United States Treasury Strip 02/15/2015</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92"/>
              </w:rPr>
              <w:t>1,816,000</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1,810,625</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1,811,987</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0.63</w:t>
            </w: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02/15/2016</w:t>
            </w: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1,834,000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1,810,323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1,816,540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r>
      <w:tr>
        <w:trPr>
          <w:trHeight w:val="20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w w:val="99"/>
              </w:rPr>
              <w:t>United States Treasury Strip 08/15/2014</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92"/>
              </w:rPr>
              <w:t>1,813,000</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1,811,187</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1,812,094</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0.63</w:t>
            </w:r>
          </w:p>
        </w:tc>
      </w:tr>
      <w:tr>
        <w:trPr>
          <w:trHeight w:val="203"/>
        </w:trPr>
        <w:tc>
          <w:tcPr>
            <w:tcW w:w="2880" w:type="dxa"/>
            <w:vAlign w:val="bottom"/>
            <w:gridSpan w:val="10"/>
          </w:tcPr>
          <w:p>
            <w:pPr>
              <w:ind w:left="20"/>
              <w:spacing w:after="0"/>
              <w:rPr>
                <w:sz w:val="20"/>
                <w:szCs w:val="20"/>
                <w:color w:val="auto"/>
              </w:rPr>
            </w:pPr>
            <w:r>
              <w:rPr>
                <w:rFonts w:ascii="Arial" w:cs="Arial" w:eastAsia="Arial" w:hAnsi="Arial"/>
                <w:sz w:val="16"/>
                <w:szCs w:val="16"/>
                <w:color w:val="auto"/>
                <w:w w:val="99"/>
              </w:rPr>
              <w:t>United States Treasury Strip 08/15/2015</w:t>
            </w: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1,823,000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1,811,205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1,813,411</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r>
      <w:tr>
        <w:trPr>
          <w:trHeight w:val="203"/>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color w:val="auto"/>
                <w:w w:val="99"/>
              </w:rPr>
              <w:t>United States Treasury Strip 08/15/2016</w:t>
            </w:r>
          </w:p>
        </w:tc>
        <w:tc>
          <w:tcPr>
            <w:tcW w:w="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92"/>
              </w:rPr>
              <w:t>1,851,000</w:t>
            </w: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1,811,111</w:t>
            </w:r>
          </w:p>
        </w:tc>
        <w:tc>
          <w:tcPr>
            <w:tcW w:w="120" w:type="dxa"/>
            <w:vAlign w:val="bottom"/>
            <w:tcBorders>
              <w:lef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1,820,329</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0.63</w:t>
            </w:r>
          </w:p>
        </w:tc>
      </w:tr>
      <w:tr>
        <w:trPr>
          <w:trHeight w:val="203"/>
        </w:trPr>
        <w:tc>
          <w:tcPr>
            <w:tcW w:w="20" w:type="dxa"/>
            <w:vAlign w:val="bottom"/>
          </w:tcPr>
          <w:p>
            <w:pPr>
              <w:spacing w:after="0"/>
              <w:rPr>
                <w:sz w:val="17"/>
                <w:szCs w:val="17"/>
                <w:color w:val="auto"/>
              </w:rPr>
            </w:pPr>
          </w:p>
        </w:tc>
        <w:tc>
          <w:tcPr>
            <w:tcW w:w="286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9"/>
              </w:rPr>
              <w:t>10,845,236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10,865,200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3.77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880" w:type="dxa"/>
            <w:vAlign w:val="bottom"/>
            <w:gridSpan w:val="10"/>
            <w:shd w:val="clear" w:color="auto" w:fill="CCFFCC"/>
          </w:tcPr>
          <w:p>
            <w:pPr>
              <w:ind w:left="20"/>
              <w:spacing w:after="0"/>
              <w:rPr>
                <w:sz w:val="20"/>
                <w:szCs w:val="20"/>
                <w:color w:val="auto"/>
              </w:rPr>
            </w:pPr>
            <w:r>
              <w:rPr>
                <w:rFonts w:ascii="Arial" w:cs="Arial" w:eastAsia="Arial" w:hAnsi="Arial"/>
                <w:sz w:val="16"/>
                <w:szCs w:val="16"/>
                <w:b w:val="1"/>
                <w:bCs w:val="1"/>
                <w:color w:val="auto"/>
              </w:rPr>
              <w:t>Total Investments</w:t>
            </w:r>
          </w:p>
        </w:tc>
        <w:tc>
          <w:tcPr>
            <w:tcW w:w="60" w:type="dxa"/>
            <w:vAlign w:val="bottom"/>
            <w:shd w:val="clear" w:color="auto" w:fill="CCFFCC"/>
          </w:tcPr>
          <w:p>
            <w:pPr>
              <w:spacing w:after="0"/>
              <w:rPr>
                <w:sz w:val="20"/>
                <w:szCs w:val="20"/>
                <w:color w:val="auto"/>
              </w:rPr>
            </w:pPr>
          </w:p>
        </w:tc>
        <w:tc>
          <w:tcPr>
            <w:tcW w:w="17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tcBorders>
              <w:right w:val="single" w:sz="8" w:color="CCFFCC"/>
            </w:tcBorders>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290,554,354</w:t>
            </w:r>
          </w:p>
        </w:tc>
        <w:tc>
          <w:tcPr>
            <w:tcW w:w="2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7"/>
              </w:rPr>
              <w:t>366,248,853</w:t>
            </w:r>
          </w:p>
        </w:tc>
        <w:tc>
          <w:tcPr>
            <w:tcW w:w="7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127.18</w:t>
            </w:r>
          </w:p>
        </w:tc>
      </w:tr>
      <w:tr>
        <w:trPr>
          <w:trHeight w:val="264"/>
        </w:trPr>
        <w:tc>
          <w:tcPr>
            <w:tcW w:w="20" w:type="dxa"/>
            <w:vAlign w:val="bottom"/>
            <w:tcBorders>
              <w:top w:val="single" w:sz="8" w:color="CCFFCC"/>
            </w:tcBorders>
          </w:tcPr>
          <w:p>
            <w:pPr>
              <w:spacing w:after="0"/>
              <w:rPr>
                <w:sz w:val="22"/>
                <w:szCs w:val="22"/>
                <w:color w:val="auto"/>
              </w:rPr>
            </w:pPr>
          </w:p>
        </w:tc>
        <w:tc>
          <w:tcPr>
            <w:tcW w:w="180" w:type="dxa"/>
            <w:vAlign w:val="bottom"/>
            <w:tcBorders>
              <w:top w:val="single" w:sz="8" w:color="CCFFCC"/>
              <w:bottom w:val="single" w:sz="8" w:color="auto"/>
            </w:tcBorders>
          </w:tcPr>
          <w:p>
            <w:pPr>
              <w:spacing w:after="0"/>
              <w:rPr>
                <w:sz w:val="22"/>
                <w:szCs w:val="22"/>
                <w:color w:val="auto"/>
              </w:rPr>
            </w:pPr>
          </w:p>
        </w:tc>
        <w:tc>
          <w:tcPr>
            <w:tcW w:w="440" w:type="dxa"/>
            <w:vAlign w:val="bottom"/>
            <w:tcBorders>
              <w:top w:val="single" w:sz="8" w:color="CCFFCC"/>
              <w:bottom w:val="single" w:sz="8" w:color="auto"/>
            </w:tcBorders>
          </w:tcPr>
          <w:p>
            <w:pPr>
              <w:spacing w:after="0"/>
              <w:rPr>
                <w:sz w:val="22"/>
                <w:szCs w:val="22"/>
                <w:color w:val="auto"/>
              </w:rPr>
            </w:pPr>
          </w:p>
        </w:tc>
        <w:tc>
          <w:tcPr>
            <w:tcW w:w="360" w:type="dxa"/>
            <w:vAlign w:val="bottom"/>
            <w:tcBorders>
              <w:top w:val="single" w:sz="8" w:color="CCFFCC"/>
              <w:bottom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680" w:type="dxa"/>
            <w:vAlign w:val="bottom"/>
            <w:tcBorders>
              <w:top w:val="single" w:sz="8" w:color="CCFFCC"/>
            </w:tcBorders>
          </w:tcPr>
          <w:p>
            <w:pPr>
              <w:spacing w:after="0"/>
              <w:rPr>
                <w:sz w:val="22"/>
                <w:szCs w:val="22"/>
                <w:color w:val="auto"/>
              </w:rPr>
            </w:pPr>
          </w:p>
        </w:tc>
        <w:tc>
          <w:tcPr>
            <w:tcW w:w="460" w:type="dxa"/>
            <w:vAlign w:val="bottom"/>
            <w:tcBorders>
              <w:top w:val="single" w:sz="8" w:color="CCFFCC"/>
            </w:tcBorders>
          </w:tcPr>
          <w:p>
            <w:pPr>
              <w:spacing w:after="0"/>
              <w:rPr>
                <w:sz w:val="22"/>
                <w:szCs w:val="22"/>
                <w:color w:val="auto"/>
              </w:rPr>
            </w:pPr>
          </w:p>
        </w:tc>
        <w:tc>
          <w:tcPr>
            <w:tcW w:w="38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72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78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-2057400</wp:posOffset>
            </wp:positionV>
            <wp:extent cx="521398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right="599" w:hanging="272"/>
        <w:spacing w:after="0" w:line="264"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939" w:hanging="272"/>
        <w:spacing w:after="0" w:line="27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39" w:hanging="272"/>
        <w:spacing w:after="0" w:line="308" w:lineRule="auto"/>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rFonts w:ascii="Arial" w:cs="Arial" w:eastAsia="Arial" w:hAnsi="Arial"/>
          <w:sz w:val="17"/>
          <w:szCs w:val="17"/>
          <w:color w:val="auto"/>
        </w:rPr>
      </w:pPr>
    </w:p>
    <w:p>
      <w:pPr>
        <w:ind w:left="300" w:right="1039" w:hanging="272"/>
        <w:spacing w:after="0" w:line="27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200" w:lineRule="exact"/>
        <w:rPr>
          <w:sz w:val="20"/>
          <w:szCs w:val="20"/>
          <w:color w:val="auto"/>
        </w:rPr>
      </w:pPr>
    </w:p>
    <w:p>
      <w:pPr>
        <w:spacing w:after="0" w:line="361"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0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280" w:right="539" w:hanging="272"/>
        <w:spacing w:after="0" w:line="259"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2, 2013, Control4 Corporation priced its initial public offering, selling 4,000,000 shares at a price of $16 per share. GSV Capital Corp.’s shares in Control4 are subject to a lock-up agreement which expires on January 29, 2014. At December 31, 2013, GSV Capital Corp. valued Control4 Corporation based on its December 31, 2013 closing price, adjusted for a discount due to lack of marketability of 4%.</w:t>
      </w:r>
    </w:p>
    <w:p>
      <w:pPr>
        <w:spacing w:after="0" w:line="78" w:lineRule="exact"/>
        <w:rPr>
          <w:rFonts w:ascii="Arial" w:cs="Arial" w:eastAsia="Arial" w:hAnsi="Arial"/>
          <w:sz w:val="18"/>
          <w:szCs w:val="18"/>
          <w:color w:val="auto"/>
        </w:rPr>
      </w:pPr>
    </w:p>
    <w:p>
      <w:pPr>
        <w:ind w:left="280" w:right="639" w:hanging="272"/>
        <w:spacing w:after="0" w:line="259"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27, 2013, Violin Memory Inc. priced its initial public offering, selling 18,000,000 shares at a price of $9 per share. GSV Capital Corp.’s shares in Violin Memory Inc. are subject to a lock-up agreement which expires on March 26, 2014. At December 31, 2013, GSV Capital Corp. valued Violin Memory Inc., based on its December 31, 2013 closing price, adjusted for a discount due to lack of marketability of 15%.</w:t>
      </w:r>
    </w:p>
    <w:p>
      <w:pPr>
        <w:spacing w:after="0" w:line="79" w:lineRule="exact"/>
        <w:rPr>
          <w:sz w:val="20"/>
          <w:szCs w:val="20"/>
          <w:color w:val="auto"/>
        </w:rPr>
      </w:pPr>
    </w:p>
    <w:p>
      <w:pPr>
        <w:ind w:left="320" w:right="579" w:hanging="310"/>
        <w:spacing w:after="0" w:line="259" w:lineRule="auto"/>
        <w:rPr>
          <w:sz w:val="20"/>
          <w:szCs w:val="20"/>
          <w:color w:val="auto"/>
        </w:rPr>
      </w:pPr>
      <w:r>
        <w:rPr>
          <w:rFonts w:ascii="Arial" w:cs="Arial" w:eastAsia="Arial" w:hAnsi="Arial"/>
          <w:sz w:val="18"/>
          <w:szCs w:val="18"/>
          <w:color w:val="auto"/>
        </w:rPr>
        <w:t>(10)On October 22, 2013, ePals, Inc. priced its initial public offering, selling 40,267,333 shares at a price of CAD $0.075 per share. GSV Capital Corp.’s shares in ePals, Inc. are subject to a lock-up agreement which expires on February 23, 2014. At December 31, 2013, GSV Capital Corp. valued ePals, Inc., based on its December 31, 2013 closing price, adjusted for a discount due to lack of marketability of 8%.</w:t>
      </w:r>
    </w:p>
    <w:p>
      <w:pPr>
        <w:spacing w:after="0" w:line="79" w:lineRule="exact"/>
        <w:rPr>
          <w:sz w:val="20"/>
          <w:szCs w:val="20"/>
          <w:color w:val="auto"/>
        </w:rPr>
      </w:pPr>
    </w:p>
    <w:p>
      <w:pPr>
        <w:ind w:left="300" w:right="559" w:hanging="296"/>
        <w:spacing w:after="0" w:line="259" w:lineRule="auto"/>
        <w:rPr>
          <w:sz w:val="20"/>
          <w:szCs w:val="20"/>
          <w:color w:val="auto"/>
        </w:rPr>
      </w:pPr>
      <w:r>
        <w:rPr>
          <w:rFonts w:ascii="Arial" w:cs="Arial" w:eastAsia="Arial" w:hAnsi="Arial"/>
          <w:sz w:val="18"/>
          <w:szCs w:val="18"/>
          <w:color w:val="auto"/>
        </w:rPr>
        <w:t>(11)On November 6, 2013, Twitter, Inc. priced its initial public offering, selling 70,000,000 shares at a price of $26 per share. GSV Capital Corp.’s shares in Twitter, Inc. are subject to a lock-up agreement which expires on May 5, 2014. At December 31, 2013, GSV Capital Corp. valued Twitter, Inc., based on its December 31, 2013 closing price, adjusted for a discount due to lack of marketability of 15%.</w:t>
      </w:r>
    </w:p>
    <w:p>
      <w:pPr>
        <w:spacing w:after="0" w:line="79" w:lineRule="exact"/>
        <w:rPr>
          <w:sz w:val="20"/>
          <w:szCs w:val="20"/>
          <w:color w:val="auto"/>
        </w:rPr>
      </w:pPr>
    </w:p>
    <w:p>
      <w:pPr>
        <w:ind w:left="320" w:right="539" w:hanging="310"/>
        <w:spacing w:after="0" w:line="259" w:lineRule="auto"/>
        <w:rPr>
          <w:sz w:val="20"/>
          <w:szCs w:val="20"/>
          <w:color w:val="auto"/>
        </w:rPr>
      </w:pPr>
      <w:r>
        <w:rPr>
          <w:rFonts w:ascii="Arial" w:cs="Arial" w:eastAsia="Arial" w:hAnsi="Arial"/>
          <w:sz w:val="18"/>
          <w:szCs w:val="18"/>
          <w:color w:val="auto"/>
        </w:rPr>
        <w:t>(12)On November 12, 2013, Chegg, Inc. priced its initial public offering, selling 14,400,000 shares at a price of $12.50 per share. GSV Capital Corp.’s shares in Chegg, Inc. are subject to a lock-up agreement which expires on May 11, 2014. At December 31, 2013, GSV Capital Corp. valued Chegg, Inc., based on its December 31, 2013 closing price, adjusted for a discount due to lack of marketability of 15%.</w:t>
      </w:r>
    </w:p>
    <w:p>
      <w:pPr>
        <w:spacing w:after="0" w:line="79" w:lineRule="exact"/>
        <w:rPr>
          <w:sz w:val="20"/>
          <w:szCs w:val="20"/>
          <w:color w:val="auto"/>
        </w:rPr>
      </w:pPr>
    </w:p>
    <w:p>
      <w:pPr>
        <w:ind w:left="320" w:right="679" w:hanging="312"/>
        <w:spacing w:after="0" w:line="312"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December 31, 2013.</w:t>
      </w:r>
    </w:p>
    <w:p>
      <w:pPr>
        <w:spacing w:after="0" w:line="200" w:lineRule="exact"/>
        <w:rPr>
          <w:sz w:val="20"/>
          <w:szCs w:val="20"/>
          <w:color w:val="auto"/>
        </w:rPr>
      </w:pPr>
    </w:p>
    <w:p>
      <w:pPr>
        <w:spacing w:after="0" w:line="27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ind w:left="40" w:right="97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GCL received approval of the license from the California Department of Corporations effective August 14, 2013.</w:t>
      </w:r>
    </w:p>
    <w:p>
      <w:pPr>
        <w:spacing w:after="0" w:line="79"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On November 28, 2012, the Company formed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2014. The interim unaudited consolidated financial statements and notes hereto should be read in conjunction with the audited financial statements and notes thereto contained in the Company’s Annual Report on Form 10-K for the year ended December 31, 2013.</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(“the GSVC Holdings Entities”). Accordingly, our financial statements include our accounts and the accounts of the GSVC</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759"/>
        <w:spacing w:after="0" w:line="342" w:lineRule="auto"/>
        <w:rPr>
          <w:sz w:val="20"/>
          <w:szCs w:val="20"/>
          <w:color w:val="auto"/>
        </w:rPr>
      </w:pPr>
      <w:r>
        <w:rPr>
          <w:rFonts w:ascii="Arial" w:cs="Arial" w:eastAsia="Arial" w:hAnsi="Arial"/>
          <w:sz w:val="16"/>
          <w:szCs w:val="16"/>
          <w:color w:val="auto"/>
        </w:rPr>
        <w:t>Holdings Entities and GCL, our wholly-owned subsidiaries. All intercompany balances and transactions have been eliminated in consolidation. We began consolidating the GSVC Holdings Entities during the quarter ended September 30, 2012.</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ind w:left="40" w:right="65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699"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719" w:hanging="262"/>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779" w:hanging="262"/>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38" w:lineRule="exact"/>
        <w:rPr>
          <w:rFonts w:ascii="Arial" w:cs="Arial" w:eastAsia="Arial" w:hAnsi="Arial"/>
          <w:sz w:val="17"/>
          <w:szCs w:val="17"/>
          <w:color w:val="auto"/>
        </w:rPr>
      </w:pPr>
    </w:p>
    <w:p>
      <w:pPr>
        <w:ind w:left="540" w:right="559" w:hanging="262"/>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59"/>
        <w:spacing w:after="0" w:line="308" w:lineRule="auto"/>
        <w:rPr>
          <w:sz w:val="20"/>
          <w:szCs w:val="20"/>
          <w:color w:val="auto"/>
        </w:rPr>
      </w:pPr>
      <w:r>
        <w:rPr>
          <w:rFonts w:ascii="Arial" w:cs="Arial" w:eastAsia="Arial" w:hAnsi="Arial"/>
          <w:sz w:val="17"/>
          <w:szCs w:val="17"/>
          <w:color w:val="auto"/>
        </w:rPr>
        <w:t>statements and forecasts, and the markets in which the portfolio company does business, and other relevant factors. The Company assigns a weighting based upon the relevance of each factor to determine the fair value of each investment.</w:t>
      </w:r>
    </w:p>
    <w:p>
      <w:pPr>
        <w:spacing w:after="0" w:line="38"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65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ind w:left="40" w:right="69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00" w:hanging="18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40" w:right="759" w:firstLine="278"/>
        <w:spacing w:after="0" w:line="277" w:lineRule="auto"/>
        <w:tabs>
          <w:tab w:leader="none" w:pos="5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40" w:right="859" w:firstLine="278"/>
        <w:spacing w:after="0" w:line="27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40" w:right="699" w:firstLine="278"/>
        <w:spacing w:after="0" w:line="277" w:lineRule="auto"/>
        <w:tabs>
          <w:tab w:leader="none" w:pos="5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ind w:left="40" w:right="79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color w:val="auto"/>
        </w:rPr>
        <w:t>Reclassifications impacting Level 3 of the fair value hierarchy are reported as transfers in/out of the Level 3 category as of the beginning of the quarter in which the reclassifications occur.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ind w:left="40" w:right="839" w:firstLine="270"/>
        <w:spacing w:after="0" w:line="308" w:lineRule="auto"/>
        <w:rPr>
          <w:sz w:val="20"/>
          <w:szCs w:val="20"/>
          <w:color w:val="auto"/>
        </w:rPr>
      </w:pPr>
      <w:r>
        <w:rPr>
          <w:rFonts w:ascii="Arial" w:cs="Arial" w:eastAsia="Arial" w:hAnsi="Arial"/>
          <w:sz w:val="17"/>
          <w:szCs w:val="17"/>
          <w:color w:val="auto"/>
        </w:rPr>
        <w:t>The carrying amounts of our financial instruments, consisting of cash, receivables, accounts payable, and accrued expenses, approximate fair value due to their short-term nature. The embedded derivative liability is carried at fair value.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as of March 31, 2014 and December 31, 2013, respectively, for details regarding the nature and composition of the Company’s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Restricted Cash consists of excess funds remaining in escrow from the purchase of the government securities that will be used to make the scheduled interest payments on the Convertible Senior Notes. As of March 31, 2014, and December 31, 2013, respectively, the Company had Restricted Cash of $22,139 and $22,264 which is included on the Consolidated Statements of Assets and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Investment Transaction Costs and Escrow Deposits</w:t>
      </w:r>
    </w:p>
    <w:p>
      <w:pPr>
        <w:spacing w:after="0" w:line="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March 31, 2014, and December 31, 2013, the Company had $0 in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or that we will otherwise qualify as a RIC for our 2013 taxable year. If we are unable to qualify as a RIC, we will continue to be taxed as a C corporation under the Code for our 2013 taxable year.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 Until such time as it is able to be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taxed as a RIC, GSV will provide for income taxes, if any, as a C Corp. The Company intends to elect to be taxed as a RIC for its 2014 taxable year, if management determines that it is in the Company’s best interests to do so.</w:t>
      </w:r>
    </w:p>
    <w:p>
      <w:pPr>
        <w:spacing w:after="0" w:line="62"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On December 31, 2013, the Company entered into a Loan and Security Agreement (the “Loan Agreement”) with Silicon Valley Bank, pursuant to which Silicon Valley Bank would provide the Company with a new $18 million credit facility (the “Credit Facility”). The Company incurred $288,249 of legal costs and other fees in connection with opening the Credit Facility. As of March 31, 2014, of the total costs of $288,249 incurred, $244,306 remains to be amortized and is included within deferred credit facility fees on the Consolidated Statements of Assets and Liabilities.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Offering costs include legal fees and other costs pertaining to public offerings. In accordance with ASC 340-10, the Company deferred offering costs of $228,285 associated with the registration statement filed on September 23, 2013 on form N-2 with the Securities and Exchange Commission (the “SEC”) to register the Company’s common stock, preferred stock, subscription rights, debt securities, and warrants under the Securities Act of 1933, as amended. If the registration statement is declared effective by the SEC and the Company’s securities are offered pursuant to the registration statement, the Company will reclassify the deferred offering costs into additional paid-in capital for equity offerings and will amortize the offering costs related to any debt securities issued.</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outstanding plus any potentially dilutive shares outstanding during the period. The Company used the if-converted method to determine the number of potentially dilutive shares outstanding. Refer to footnote 5 for further detail.</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The Company entered into an investment advisory agreement with GSV Asset Management (the “Advisory Agreement”) in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connection with its initial public offering. Pursuant to the Advisory Agreement, GSV Asset Management will be paid a base annual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 2% of gross assets, and an annual incentive fee equal to the lesser of (i) 20% of the Company’s realized capital gains during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each calendar year, if any, calculated on an investment-by-investment basis, subject to a non-compounded preferred return, 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“hurdle,” and a “catch-up” feature, and (ii) 20% of the Company’s realized capital gains, if any, on a cumulative basis from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inception through the end of each calendar year, computed net of all realized capital losses and unrealized capital depreciation on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basis, less the aggregate amount of any previously paid incentive fees. For the period from the close of the initial public</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offering through and including December 31, 2011, the base management fee was payable monthly in arrears, and was calculated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based on the initial value of the Company’s assets upon the closing of the public offering. GSV Asset Management earned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$1,756,196 and $1,283,599 in base management fees and $0 in incentive fees for the three months ended March 31, 2014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31, 2013, respectively. For the three months ended March 31, 2014 and March 31, 2013, respectively, we accrued incentive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fees of $969,652, and $0, in accordance with the AICPA’s TPA (TIS 6910.2) which considers the hypothetical liquidation value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investment portfolio as of the measurement date.</w:t>
      </w:r>
    </w:p>
    <w:p>
      <w:pPr>
        <w:spacing w:after="0" w:line="103"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of March 31, 2014, we were owed $0 from GSV Asset Management. In addition as of March 31, 2014, we owed GSV Asset Management $603,199, which relates to the reimbursement of expenses paid for by GSV Asset Management that were the responsibility of the Company.</w:t>
      </w:r>
    </w:p>
    <w:p>
      <w:pPr>
        <w:spacing w:after="0" w:line="73" w:lineRule="exact"/>
        <w:rPr>
          <w:sz w:val="20"/>
          <w:szCs w:val="20"/>
          <w:color w:val="auto"/>
        </w:rPr>
      </w:pPr>
    </w:p>
    <w:p>
      <w:pPr>
        <w:jc w:val="both"/>
        <w:ind w:left="40" w:right="699" w:firstLine="270"/>
        <w:spacing w:after="0" w:line="259" w:lineRule="auto"/>
        <w:rPr>
          <w:sz w:val="20"/>
          <w:szCs w:val="20"/>
          <w:color w:val="auto"/>
        </w:rPr>
      </w:pPr>
      <w:r>
        <w:rPr>
          <w:rFonts w:ascii="Arial" w:cs="Arial" w:eastAsia="Arial" w:hAnsi="Arial"/>
          <w:sz w:val="18"/>
          <w:szCs w:val="18"/>
          <w:color w:val="auto"/>
        </w:rPr>
        <w:t>As of December 31, 2013, we were owed $3,039 from GSV Asset Management for reimbursement of expenses paid for by us that were the responsibility of GSV Asset Management. In addition as of December 31, 2013, we owed GSV Asset Management $563,978, which relates to the reimbursement of expenses paid for by GSV Asset Management that were the responsibility of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$908,532 and $887,984 in such costs incurred under the Administration Agreement for the three months ended March 31, 2014 and March 31, 2013, respectively.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ind w:left="60" w:right="860" w:firstLine="270"/>
        <w:spacing w:after="0" w:line="292" w:lineRule="auto"/>
        <w:rPr>
          <w:sz w:val="20"/>
          <w:szCs w:val="20"/>
          <w:color w:val="auto"/>
        </w:rPr>
      </w:pPr>
      <w:r>
        <w:rPr>
          <w:rFonts w:ascii="Arial" w:cs="Arial" w:eastAsia="Arial" w:hAnsi="Arial"/>
          <w:sz w:val="16"/>
          <w:szCs w:val="16"/>
          <w:color w:val="auto"/>
        </w:rPr>
        <w:t>At March 31, 2014, the Company had 85 positions in 52 portfolio companies. The total cost and fair value of the 85 positions at March 31, 2014 was $295,437,666 and $368,023,816, respectively. At December 31, 2013, the Company had 78 positions in 49 portfolio companies. The total cost and fair value of the 78 positions at December 31, 2013 was $279,709,118 and $355,383,653, respectively. The composition of our investments as of March 31, 2014 and December 31,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796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3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March 31, 2014 (Unaudited)</w:t>
            </w:r>
          </w:p>
        </w:tc>
        <w:tc>
          <w:tcPr>
            <w:tcW w:w="220" w:type="dxa"/>
            <w:vAlign w:val="bottom"/>
          </w:tcPr>
          <w:p>
            <w:pPr>
              <w:spacing w:after="0"/>
              <w:rPr>
                <w:sz w:val="16"/>
                <w:szCs w:val="16"/>
                <w:color w:val="auto"/>
              </w:rPr>
            </w:pPr>
          </w:p>
        </w:tc>
        <w:tc>
          <w:tcPr>
            <w:tcW w:w="25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Common Stock</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$ 150,149,732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215,021,792</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$ 152,075,148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223,661,412</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142,191,587</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149,541,923</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126,151,898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129,925,500</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Common Membership Interest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622,577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Term Loans</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2,379,156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2,363,904</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764,881</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217,191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473,620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217,191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489,657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Portfolio Investments</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295,437,666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368,023,816</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279,709,118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355,383,653</w:t>
            </w:r>
          </w:p>
        </w:tc>
        <w:tc>
          <w:tcPr>
            <w:tcW w:w="0" w:type="dxa"/>
            <w:vAlign w:val="bottom"/>
          </w:tcPr>
          <w:p>
            <w:pPr>
              <w:spacing w:after="0"/>
              <w:rPr>
                <w:sz w:val="1"/>
                <w:szCs w:val="1"/>
                <w:color w:val="auto"/>
              </w:rPr>
            </w:pPr>
          </w:p>
        </w:tc>
      </w:tr>
      <w:tr>
        <w:trPr>
          <w:trHeight w:val="20"/>
        </w:trPr>
        <w:tc>
          <w:tcPr>
            <w:tcW w:w="3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Non-Portfolio Investments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89,055,035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89,089,705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10,845,236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10,865,200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$ 384,492,701</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457,113,521</w:t>
            </w:r>
          </w:p>
        </w:tc>
        <w:tc>
          <w:tcPr>
            <w:tcW w:w="13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$ 290,554,354</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366,248,853</w:t>
            </w:r>
          </w:p>
        </w:tc>
        <w:tc>
          <w:tcPr>
            <w:tcW w:w="0" w:type="dxa"/>
            <w:vAlign w:val="bottom"/>
          </w:tcPr>
          <w:p>
            <w:pPr>
              <w:spacing w:after="0"/>
              <w:rPr>
                <w:sz w:val="1"/>
                <w:szCs w:val="1"/>
                <w:color w:val="auto"/>
              </w:rPr>
            </w:pPr>
          </w:p>
        </w:tc>
      </w:tr>
      <w:tr>
        <w:trPr>
          <w:trHeight w:val="20"/>
        </w:trPr>
        <w:tc>
          <w:tcPr>
            <w:tcW w:w="3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940" w:firstLine="270"/>
        <w:spacing w:after="0" w:line="269"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March 31, 2014 and December 31,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88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As of March 31, 2014 (Unaudited)</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2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340" w:type="dxa"/>
            <w:vAlign w:val="bottom"/>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 (Level 2)</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20,551,717</w:t>
            </w:r>
          </w:p>
        </w:tc>
        <w:tc>
          <w:tcPr>
            <w:tcW w:w="13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104,300,089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90,169,986</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215,021,792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U.S. Treasury Strip</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9,089,805</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9,089,805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United States Treasury Bill</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79,999,900</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79,999,900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149,541,923</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149,541,923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Term Loans</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2,363,904</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2,363,904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473,620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473,620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Common Membership Interests</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622,577</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622,577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19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109,641,422</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104,300,089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243,172,010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457,113,521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Embedded Derivative</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179,000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179,000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179,000</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179,000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194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17322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-642620</wp:posOffset>
            </wp:positionV>
            <wp:extent cx="17322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-668020</wp:posOffset>
            </wp:positionV>
            <wp:extent cx="1460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-642620</wp:posOffset>
            </wp:positionV>
            <wp:extent cx="1460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-668020</wp:posOffset>
            </wp:positionV>
            <wp:extent cx="1543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-642620</wp:posOffset>
            </wp:positionV>
            <wp:extent cx="1543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-668020</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-642620</wp:posOffset>
            </wp:positionV>
            <wp:extent cx="146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-668020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-642620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88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As of December 31, 2013</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340" w:type="dxa"/>
            <w:vAlign w:val="bottom"/>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Inputs (Level 2)</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11,706,338</w:t>
            </w:r>
          </w:p>
        </w:tc>
        <w:tc>
          <w:tcPr>
            <w:tcW w:w="14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130,544,913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81,410,161</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223,661,412</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U.S. Treasury Strip</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10,865,200</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10,865,200</w:t>
            </w:r>
          </w:p>
        </w:tc>
        <w:tc>
          <w:tcPr>
            <w:tcW w:w="0" w:type="dxa"/>
            <w:vAlign w:val="bottom"/>
          </w:tcPr>
          <w:p>
            <w:pPr>
              <w:spacing w:after="0"/>
              <w:rPr>
                <w:sz w:val="1"/>
                <w:szCs w:val="1"/>
                <w:color w:val="auto"/>
              </w:rPr>
            </w:pPr>
          </w:p>
        </w:tc>
      </w:tr>
      <w:tr>
        <w:trPr>
          <w:trHeight w:val="216"/>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129,925,500</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129,925,500</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489,657</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489,657</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Common Membership Interests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557,084</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22,571,538</w:t>
            </w:r>
          </w:p>
        </w:tc>
        <w:tc>
          <w:tcPr>
            <w:tcW w:w="14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130,544,913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213,132,402</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366,248,853</w:t>
            </w:r>
          </w:p>
        </w:tc>
        <w:tc>
          <w:tcPr>
            <w:tcW w:w="0" w:type="dxa"/>
            <w:vAlign w:val="bottom"/>
          </w:tcPr>
          <w:p>
            <w:pPr>
              <w:spacing w:after="0"/>
              <w:rPr>
                <w:sz w:val="1"/>
                <w:szCs w:val="1"/>
                <w:color w:val="auto"/>
              </w:rPr>
            </w:pPr>
          </w:p>
        </w:tc>
      </w:tr>
      <w:tr>
        <w:trPr>
          <w:trHeight w:val="210"/>
        </w:trPr>
        <w:tc>
          <w:tcPr>
            <w:tcW w:w="27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799,000</w:t>
            </w:r>
          </w:p>
        </w:tc>
        <w:tc>
          <w:tcPr>
            <w:tcW w:w="156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0"/>
        </w:trPr>
        <w:tc>
          <w:tcPr>
            <w:tcW w:w="27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799,000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-488315</wp:posOffset>
            </wp:positionV>
            <wp:extent cx="17322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32280" cy="17145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-488315</wp:posOffset>
            </wp:positionV>
            <wp:extent cx="1543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-462280</wp:posOffset>
            </wp:positionV>
            <wp:extent cx="1543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-488315</wp:posOffset>
            </wp:positionV>
            <wp:extent cx="1543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-462280</wp:posOffset>
            </wp:positionV>
            <wp:extent cx="154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-488315</wp:posOffset>
            </wp:positionV>
            <wp:extent cx="146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-462280</wp:posOffset>
            </wp:positionV>
            <wp:extent cx="146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-488315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-462280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759" w:firstLine="270"/>
        <w:spacing w:after="0" w:line="258"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and embedded derivative as of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Valuation Techniques</w:t>
            </w:r>
          </w:p>
        </w:tc>
        <w:tc>
          <w:tcPr>
            <w:tcW w:w="160" w:type="dxa"/>
            <w:vAlign w:val="bottom"/>
          </w:tcPr>
          <w:p>
            <w:pPr>
              <w:spacing w:after="0"/>
              <w:rPr>
                <w:sz w:val="15"/>
                <w:szCs w:val="15"/>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Unobservable inputs</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c>
          <w:tcPr>
            <w:tcW w:w="0" w:type="dxa"/>
            <w:vAlign w:val="bottom"/>
          </w:tcPr>
          <w:p>
            <w:pPr>
              <w:spacing w:after="0"/>
              <w:rPr>
                <w:sz w:val="1"/>
                <w:szCs w:val="1"/>
                <w:color w:val="auto"/>
              </w:rPr>
            </w:pPr>
          </w:p>
        </w:tc>
      </w:tr>
      <w:tr>
        <w:trPr>
          <w:trHeight w:val="186"/>
        </w:trPr>
        <w:tc>
          <w:tcPr>
            <w:tcW w:w="188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$90,169,986</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1.2x - 7.0x (3.7x)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9.80x - 71.1x (22.9x)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4"/>
              </w:rPr>
              <w:t>30% - 40% (36%)</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149,541,923</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1.2x - 7.0x (3.6x)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8.0x - 40.0x (21.8x)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4"/>
              </w:rPr>
              <w:t>35% - 50% (41%)</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1"/>
              </w:rPr>
              <w:t>Common membership</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622,577</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1"/>
              </w:rPr>
              <w:t>interest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2.1x - 2.3x (2.2x)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0.0x - 8.0x (7.95x)</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45% (45%)</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1"/>
              </w:rPr>
              <w:t>Term Loans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2,363,904</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473,620</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4"/>
              </w:rPr>
              <w:t>Option pricing model</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8"/>
              </w:rPr>
              <w:t>0.08 Years - 2.76 Years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8"/>
              </w:rPr>
              <w:t>(1.89 Years)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Stock price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0.07 - 1.55 (0.83)</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4"/>
              </w:rPr>
              <w:t>30% - 45% (42%)</w:t>
            </w: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rPr>
                <w:sz w:val="20"/>
                <w:szCs w:val="20"/>
                <w:color w:val="auto"/>
              </w:rPr>
            </w:pPr>
            <w:r>
              <w:rPr>
                <w:rFonts w:ascii="Arial" w:cs="Arial" w:eastAsia="Arial" w:hAnsi="Arial"/>
                <w:sz w:val="16"/>
                <w:szCs w:val="16"/>
                <w:color w:val="auto"/>
                <w:w w:val="92"/>
              </w:rPr>
              <w:t>Embedded Derivative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179,000</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7"/>
              </w:rPr>
              <w:t>Binomial Lattice</w:t>
            </w: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820" w:type="dxa"/>
            <w:vAlign w:val="bottom"/>
            <w:gridSpan w:val="2"/>
          </w:tcPr>
          <w:p>
            <w:pPr>
              <w:jc w:val="center"/>
              <w:ind w:left="99"/>
              <w:spacing w:after="0"/>
              <w:rPr>
                <w:sz w:val="20"/>
                <w:szCs w:val="20"/>
                <w:color w:val="auto"/>
              </w:rPr>
            </w:pPr>
            <w:r>
              <w:rPr>
                <w:rFonts w:ascii="Arial" w:cs="Arial" w:eastAsia="Arial" w:hAnsi="Arial"/>
                <w:sz w:val="16"/>
                <w:szCs w:val="16"/>
                <w:color w:val="auto"/>
                <w:w w:val="92"/>
              </w:rPr>
              <w:t>$16.26 ($16.26)</w:t>
            </w: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16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Volatility</w:t>
            </w:r>
          </w:p>
        </w:tc>
        <w:tc>
          <w:tcPr>
            <w:tcW w:w="182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2"/>
              </w:rPr>
              <w:t>50.00% (50.00%)</w:t>
            </w:r>
          </w:p>
        </w:tc>
        <w:tc>
          <w:tcPr>
            <w:tcW w:w="0" w:type="dxa"/>
            <w:vAlign w:val="bottom"/>
          </w:tcPr>
          <w:p>
            <w:pPr>
              <w:spacing w:after="0"/>
              <w:rPr>
                <w:sz w:val="1"/>
                <w:szCs w:val="1"/>
                <w:color w:val="auto"/>
              </w:rPr>
            </w:pPr>
          </w:p>
        </w:tc>
      </w:tr>
      <w:tr>
        <w:trPr>
          <w:trHeight w:val="199"/>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82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15.00% (15.00%)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fair values all else equal.</w:t>
      </w:r>
    </w:p>
    <w:p>
      <w:pPr>
        <w:spacing w:after="0" w:line="79" w:lineRule="exact"/>
        <w:rPr>
          <w:sz w:val="20"/>
          <w:szCs w:val="20"/>
          <w:color w:val="auto"/>
        </w:rPr>
      </w:pPr>
    </w:p>
    <w:p>
      <w:pPr>
        <w:ind w:left="60" w:right="65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70" w:lineRule="exact"/>
        <w:rPr>
          <w:sz w:val="20"/>
          <w:szCs w:val="20"/>
          <w:color w:val="auto"/>
        </w:rPr>
      </w:pPr>
    </w:p>
    <w:p>
      <w:pPr>
        <w:ind w:left="60" w:right="619" w:firstLine="270"/>
        <w:spacing w:after="0" w:line="215" w:lineRule="auto"/>
        <w:rPr>
          <w:sz w:val="20"/>
          <w:szCs w:val="20"/>
          <w:color w:val="auto"/>
        </w:rPr>
      </w:pPr>
      <w:r>
        <w:rPr>
          <w:rFonts w:ascii="Arial" w:cs="Arial" w:eastAsia="Arial" w:hAnsi="Arial"/>
          <w:sz w:val="18"/>
          <w:szCs w:val="18"/>
          <w:color w:val="auto"/>
        </w:rPr>
        <w:t>The aggregate values of Level 3 portfolio investments and embedded derivative changed during the three months ended March 31, 2014 and the year ended December 31, 2013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5188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jc w:val="center"/>
        <w:ind w:right="-40"/>
        <w:spacing w:after="0" w:line="233" w:lineRule="auto"/>
        <w:rPr>
          <w:sz w:val="20"/>
          <w:szCs w:val="20"/>
          <w:color w:val="auto"/>
        </w:rPr>
      </w:pPr>
      <w:r>
        <w:rPr>
          <w:rFonts w:ascii="Arial" w:cs="Arial" w:eastAsia="Arial" w:hAnsi="Arial"/>
          <w:sz w:val="14"/>
          <w:szCs w:val="14"/>
          <w:b w:val="1"/>
          <w:bCs w:val="1"/>
          <w:color w:val="auto"/>
        </w:rPr>
        <w:t>Three months ended March 31, 2014 (Unaudited)</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Term Loan</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Warrants</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Embedded</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Membership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96"/>
              </w:rPr>
              <w:t>81,410,161</w:t>
            </w:r>
          </w:p>
        </w:tc>
        <w:tc>
          <w:tcPr>
            <w:tcW w:w="14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w w:val="89"/>
              </w:rPr>
              <w:t>129,925,500</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557,084</w:t>
            </w:r>
          </w:p>
        </w:tc>
        <w:tc>
          <w:tcPr>
            <w:tcW w:w="240" w:type="dxa"/>
            <w:vAlign w:val="bottom"/>
            <w:tcBorders>
              <w:left w:val="single" w:sz="8" w:color="CCFFCC"/>
            </w:tcBorders>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489,657</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w w:val="92"/>
              </w:rPr>
              <w:t>213,132,402</w:t>
            </w: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2013</w:t>
            </w: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1,740,563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18,585,939</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1,614,275</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21,940,777</w:t>
            </w:r>
          </w:p>
        </w:tc>
        <w:tc>
          <w:tcPr>
            <w:tcW w:w="0" w:type="dxa"/>
            <w:vAlign w:val="bottom"/>
          </w:tcPr>
          <w:p>
            <w:pPr>
              <w:spacing w:after="0"/>
              <w:rPr>
                <w:sz w:val="1"/>
                <w:szCs w:val="1"/>
                <w:color w:val="auto"/>
              </w:rPr>
            </w:pPr>
          </w:p>
        </w:tc>
      </w:tr>
      <w:tr>
        <w:trPr>
          <w:trHeight w:val="140"/>
        </w:trPr>
        <w:tc>
          <w:tcPr>
            <w:tcW w:w="1920" w:type="dxa"/>
            <w:vAlign w:val="bottom"/>
            <w:gridSpan w:val="3"/>
            <w:shd w:val="clear" w:color="auto" w:fill="CCFFCC"/>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0" w:lineRule="exact"/>
              <w:rPr>
                <w:sz w:val="20"/>
                <w:szCs w:val="20"/>
                <w:color w:val="auto"/>
              </w:rPr>
            </w:pPr>
            <w:r>
              <w:rPr>
                <w:rFonts w:ascii="Arial" w:cs="Arial" w:eastAsia="Arial" w:hAnsi="Arial"/>
                <w:sz w:val="14"/>
                <w:szCs w:val="14"/>
                <w:color w:val="auto"/>
              </w:rPr>
              <w:t>1,273,125</w:t>
            </w:r>
          </w:p>
        </w:tc>
        <w:tc>
          <w:tcPr>
            <w:tcW w:w="14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60" w:type="dxa"/>
            <w:vAlign w:val="bottom"/>
            <w:tcBorders>
              <w:right w:val="single" w:sz="8" w:color="CCFFCC"/>
            </w:tcBorders>
            <w:gridSpan w:val="2"/>
            <w:shd w:val="clear" w:color="auto" w:fill="CCFFCC"/>
          </w:tcPr>
          <w:p>
            <w:pPr>
              <w:jc w:val="right"/>
              <w:ind w:right="14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0"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right w:val="single" w:sz="8" w:color="CCFFCC"/>
            </w:tcBorders>
            <w:gridSpan w:val="2"/>
            <w:shd w:val="clear" w:color="auto" w:fill="CCFFCC"/>
          </w:tcPr>
          <w:p>
            <w:pPr>
              <w:jc w:val="right"/>
              <w:ind w:right="16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780" w:type="dxa"/>
            <w:vAlign w:val="bottom"/>
            <w:tcBorders>
              <w:right w:val="single" w:sz="8" w:color="CCFFCC"/>
            </w:tcBorders>
            <w:gridSpan w:val="2"/>
            <w:shd w:val="clear" w:color="auto" w:fill="CCFFCC"/>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0" w:type="dxa"/>
            <w:vAlign w:val="bottom"/>
            <w:tcBorders>
              <w:right w:val="single" w:sz="8" w:color="CCFFCC"/>
            </w:tcBorders>
            <w:gridSpan w:val="2"/>
            <w:shd w:val="clear" w:color="auto" w:fill="CCFFCC"/>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80"/>
              <w:spacing w:after="0" w:line="140" w:lineRule="exact"/>
              <w:rPr>
                <w:sz w:val="20"/>
                <w:szCs w:val="20"/>
                <w:color w:val="auto"/>
              </w:rPr>
            </w:pPr>
            <w:r>
              <w:rPr>
                <w:rFonts w:ascii="Arial" w:cs="Arial" w:eastAsia="Arial" w:hAnsi="Arial"/>
                <w:sz w:val="14"/>
                <w:szCs w:val="14"/>
                <w:color w:val="auto"/>
              </w:rPr>
              <w:t>1,273,125</w:t>
            </w:r>
          </w:p>
        </w:tc>
        <w:tc>
          <w:tcPr>
            <w:tcW w:w="0" w:type="dxa"/>
            <w:vAlign w:val="bottom"/>
          </w:tcPr>
          <w:p>
            <w:pPr>
              <w:spacing w:after="0"/>
              <w:rPr>
                <w:sz w:val="1"/>
                <w:szCs w:val="1"/>
                <w:color w:val="auto"/>
              </w:rPr>
            </w:pPr>
          </w:p>
        </w:tc>
      </w:tr>
      <w:tr>
        <w:trPr>
          <w:trHeight w:val="198"/>
        </w:trPr>
        <w:tc>
          <w:tcPr>
            <w:tcW w:w="20" w:type="dxa"/>
            <w:vAlign w:val="bottom"/>
            <w:shd w:val="clear" w:color="auto" w:fill="CCFFCC"/>
          </w:tcPr>
          <w:p>
            <w:pPr>
              <w:spacing w:after="0"/>
              <w:rPr>
                <w:sz w:val="17"/>
                <w:szCs w:val="17"/>
                <w:color w:val="auto"/>
              </w:rPr>
            </w:pPr>
          </w:p>
        </w:tc>
        <w:tc>
          <w:tcPr>
            <w:tcW w:w="1900" w:type="dxa"/>
            <w:vAlign w:val="bottom"/>
            <w:gridSpan w:val="2"/>
            <w:shd w:val="clear" w:color="auto" w:fill="CCFFCC"/>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2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(1,273,125)</w:t>
            </w:r>
          </w:p>
        </w:tc>
        <w:tc>
          <w:tcPr>
            <w:tcW w:w="10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(1,273,125)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96"/>
              </w:rPr>
              <w:t>20,602,350</w:t>
            </w:r>
          </w:p>
        </w:tc>
        <w:tc>
          <w:tcPr>
            <w:tcW w:w="14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6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2,303,609</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65,493</w:t>
            </w:r>
          </w:p>
        </w:tc>
        <w:tc>
          <w:tcPr>
            <w:tcW w:w="120" w:type="dxa"/>
            <w:vAlign w:val="bottom"/>
            <w:tcBorders>
              <w:lef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60" w:type="dxa"/>
            <w:vAlign w:val="bottom"/>
            <w:tcBorders>
              <w:right w:val="single" w:sz="8" w:color="CCFFCC"/>
            </w:tcBorders>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(371)</w:t>
            </w:r>
          </w:p>
        </w:tc>
        <w:tc>
          <w:tcPr>
            <w:tcW w:w="100" w:type="dxa"/>
            <w:vAlign w:val="bottom"/>
            <w:shd w:val="clear" w:color="auto" w:fill="CCFFCC"/>
          </w:tcPr>
          <w:p>
            <w:pPr>
              <w:spacing w:after="0"/>
              <w:rPr>
                <w:sz w:val="11"/>
                <w:szCs w:val="11"/>
                <w:color w:val="auto"/>
              </w:rPr>
            </w:pPr>
          </w:p>
        </w:tc>
        <w:tc>
          <w:tcPr>
            <w:tcW w:w="78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(16,037)</w:t>
            </w: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22,955,044</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190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tcBorders>
              <w:lef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0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190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included in earnings</w:t>
            </w:r>
          </w:p>
        </w:tc>
        <w:tc>
          <w:tcPr>
            <w:tcW w:w="8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tcBorders>
              <w:lef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(14,856,213)</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(14,856,213)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w w:val="94"/>
              </w:rPr>
              <w:t>Fair Value as of March 31, 2014</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6"/>
              </w:rPr>
              <w:t>90,169,986</w:t>
            </w:r>
          </w:p>
        </w:tc>
        <w:tc>
          <w:tcPr>
            <w:tcW w:w="1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FFCC"/>
            </w:tcBorders>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w w:val="89"/>
              </w:rPr>
              <w:t>149,541,923</w:t>
            </w: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622,577</w:t>
            </w:r>
          </w:p>
        </w:tc>
        <w:tc>
          <w:tcPr>
            <w:tcW w:w="240" w:type="dxa"/>
            <w:vAlign w:val="bottom"/>
            <w:tcBorders>
              <w:left w:val="single" w:sz="8" w:color="CCFFCC"/>
            </w:tcBorders>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FFCC"/>
            </w:tcBorders>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color w:val="auto"/>
                <w:w w:val="93"/>
              </w:rPr>
              <w:t>2,363,904</w:t>
            </w:r>
          </w:p>
        </w:tc>
        <w:tc>
          <w:tcPr>
            <w:tcW w:w="1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FFCC"/>
            </w:tcBorders>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473,620</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FFCC"/>
            </w:tcBorders>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w w:val="92"/>
              </w:rPr>
              <w:t>243,172,010</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9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Change in unrealized</w:t>
            </w:r>
          </w:p>
        </w:tc>
        <w:tc>
          <w:tcPr>
            <w:tcW w:w="8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6"/>
              </w:rPr>
              <w:t>15,621,343</w:t>
            </w:r>
          </w:p>
        </w:tc>
        <w:tc>
          <w:tcPr>
            <w:tcW w:w="140" w:type="dxa"/>
            <w:vAlign w:val="bottom"/>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3,739,112</w:t>
            </w: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65,493</w:t>
            </w:r>
          </w:p>
        </w:tc>
        <w:tc>
          <w:tcPr>
            <w:tcW w:w="2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(371)</w:t>
            </w: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(16,037)</w:t>
            </w:r>
          </w:p>
        </w:tc>
        <w:tc>
          <w:tcPr>
            <w:tcW w:w="8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23" w:lineRule="exact"/>
              <w:rPr>
                <w:sz w:val="20"/>
                <w:szCs w:val="20"/>
                <w:color w:val="auto"/>
              </w:rPr>
            </w:pPr>
            <w:r>
              <w:rPr>
                <w:rFonts w:ascii="Arial" w:cs="Arial" w:eastAsia="Arial" w:hAnsi="Arial"/>
                <w:sz w:val="14"/>
                <w:szCs w:val="14"/>
                <w:color w:val="auto"/>
              </w:rPr>
              <w:t>19,409,540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on Level 3 investments still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color w:val="auto"/>
              </w:rPr>
              <w:t>held as of March 31, 2014</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92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tcBorders>
              <w:lef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0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tcBorders>
              <w:right w:val="single" w:sz="8" w:color="CCFFCC"/>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799,000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2013</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Gain on fair value adjustment</w:t>
            </w:r>
          </w:p>
        </w:tc>
        <w:tc>
          <w:tcPr>
            <w:tcW w:w="80" w:type="dxa"/>
            <w:vAlign w:val="bottom"/>
            <w:shd w:val="clear" w:color="auto" w:fill="CCFFCC"/>
          </w:tcPr>
          <w:p>
            <w:pPr>
              <w:spacing w:after="0"/>
              <w:rPr>
                <w:sz w:val="11"/>
                <w:szCs w:val="11"/>
                <w:color w:val="auto"/>
              </w:rPr>
            </w:pPr>
          </w:p>
        </w:tc>
        <w:tc>
          <w:tcPr>
            <w:tcW w:w="84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86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60" w:type="dxa"/>
            <w:vAlign w:val="bottom"/>
            <w:tcBorders>
              <w:right w:val="single" w:sz="8" w:color="CCFFCC"/>
            </w:tcBorders>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78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800" w:type="dxa"/>
            <w:vAlign w:val="bottom"/>
            <w:tcBorders>
              <w:right w:val="single" w:sz="8" w:color="CCFFCC"/>
            </w:tcBorders>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(620,000)</w:t>
            </w:r>
          </w:p>
        </w:tc>
        <w:tc>
          <w:tcPr>
            <w:tcW w:w="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(620,000)</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190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color w:val="auto"/>
              </w:rPr>
              <w:t>for embedded derivative</w:t>
            </w:r>
          </w:p>
        </w:tc>
        <w:tc>
          <w:tcPr>
            <w:tcW w:w="8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20" w:type="dxa"/>
            <w:vAlign w:val="bottom"/>
            <w:tcBorders>
              <w:left w:val="single" w:sz="8" w:color="CCFFCC"/>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spacing w:after="0"/>
              <w:rPr>
                <w:sz w:val="14"/>
                <w:szCs w:val="14"/>
                <w:color w:val="auto"/>
              </w:rPr>
            </w:pPr>
          </w:p>
        </w:tc>
        <w:tc>
          <w:tcPr>
            <w:tcW w:w="16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200" w:type="dxa"/>
            <w:vAlign w:val="bottom"/>
            <w:tcBorders>
              <w:bottom w:val="single" w:sz="8" w:color="CCFFCC"/>
              <w:right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80" w:type="dxa"/>
            <w:vAlign w:val="bottom"/>
            <w:tcBorders>
              <w:bottom w:val="single" w:sz="8" w:color="CCFFCC"/>
              <w:right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gridSpan w:val="3"/>
          </w:tcPr>
          <w:p>
            <w:pPr>
              <w:ind w:left="20"/>
              <w:spacing w:after="0" w:line="142" w:lineRule="exact"/>
              <w:rPr>
                <w:sz w:val="20"/>
                <w:szCs w:val="20"/>
                <w:color w:val="auto"/>
              </w:rPr>
            </w:pPr>
            <w:r>
              <w:rPr>
                <w:rFonts w:ascii="Arial" w:cs="Arial" w:eastAsia="Arial" w:hAnsi="Arial"/>
                <w:sz w:val="14"/>
                <w:szCs w:val="14"/>
                <w:color w:val="auto"/>
                <w:highlight w:val="white"/>
                <w:w w:val="94"/>
              </w:rPr>
              <w:t>Fair Value as of March 31, 2014</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179,000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179,000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-1242695</wp:posOffset>
            </wp:positionV>
            <wp:extent cx="5213985"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44577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-325120</wp:posOffset>
            </wp:positionV>
            <wp:extent cx="26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-325120</wp:posOffset>
            </wp:positionV>
            <wp:extent cx="94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-325120</wp:posOffset>
            </wp:positionV>
            <wp:extent cx="94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-325120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-325120</wp:posOffset>
            </wp:positionV>
            <wp:extent cx="102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-325120</wp:posOffset>
            </wp:positionV>
            <wp:extent cx="1200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-325120</wp:posOffset>
            </wp:positionV>
            <wp:extent cx="1117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-325120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March 31, 2014, the Company converted its preferred shares to common shares in 2U, Inc. (f/k/a 2tor, Inc.).</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1885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jc w:val="center"/>
        <w:ind w:right="-260"/>
        <w:spacing w:after="0" w:line="231" w:lineRule="auto"/>
        <w:rPr>
          <w:sz w:val="20"/>
          <w:szCs w:val="20"/>
          <w:color w:val="auto"/>
        </w:rPr>
      </w:pPr>
      <w:r>
        <w:rPr>
          <w:rFonts w:ascii="Arial" w:cs="Arial" w:eastAsia="Arial" w:hAnsi="Arial"/>
          <w:sz w:val="14"/>
          <w:szCs w:val="14"/>
          <w:b w:val="1"/>
          <w:bCs w:val="1"/>
          <w:color w:val="auto"/>
        </w:rPr>
        <w:t>Year ended December 31, 2013</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Term</w:t>
            </w: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Warrants</w:t>
            </w: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Embedded</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8"/>
              </w:rPr>
              <w:t>Derivative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w w:val="97"/>
              </w:rPr>
              <w:t>112,855,675</w:t>
            </w:r>
          </w:p>
        </w:tc>
        <w:tc>
          <w:tcPr>
            <w:tcW w:w="14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w w:val="89"/>
              </w:rPr>
              <w:t>100,853,882</w:t>
            </w:r>
          </w:p>
        </w:tc>
        <w:tc>
          <w:tcPr>
            <w:tcW w:w="14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500,000</w:t>
            </w:r>
          </w:p>
        </w:tc>
        <w:tc>
          <w:tcPr>
            <w:tcW w:w="16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223,062</w:t>
            </w: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w w:val="97"/>
              </w:rPr>
              <w:t>214,432,619</w:t>
            </w: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2012</w:t>
            </w:r>
          </w:p>
        </w:tc>
        <w:tc>
          <w:tcPr>
            <w:tcW w:w="1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8,248,157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59,273,379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1,242,325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68,783,561</w:t>
            </w:r>
          </w:p>
        </w:tc>
        <w:tc>
          <w:tcPr>
            <w:tcW w:w="0" w:type="dxa"/>
            <w:vAlign w:val="bottom"/>
          </w:tcPr>
          <w:p>
            <w:pPr>
              <w:spacing w:after="0"/>
              <w:rPr>
                <w:sz w:val="1"/>
                <w:szCs w:val="1"/>
                <w:color w:val="auto"/>
              </w:rPr>
            </w:pPr>
          </w:p>
        </w:tc>
      </w:tr>
      <w:tr>
        <w:trPr>
          <w:trHeight w:val="140"/>
        </w:trPr>
        <w:tc>
          <w:tcPr>
            <w:tcW w:w="2100" w:type="dxa"/>
            <w:vAlign w:val="bottom"/>
            <w:gridSpan w:val="3"/>
            <w:shd w:val="clear" w:color="auto" w:fill="CCFFCC"/>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0" w:lineRule="exact"/>
              <w:rPr>
                <w:sz w:val="20"/>
                <w:szCs w:val="20"/>
                <w:color w:val="auto"/>
              </w:rPr>
            </w:pPr>
            <w:r>
              <w:rPr>
                <w:rFonts w:ascii="Arial" w:cs="Arial" w:eastAsia="Arial" w:hAnsi="Arial"/>
                <w:sz w:val="14"/>
                <w:szCs w:val="14"/>
                <w:color w:val="auto"/>
              </w:rPr>
              <w:t>26,442,820</w:t>
            </w: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40"/>
              <w:spacing w:after="0" w:line="140" w:lineRule="exact"/>
              <w:rPr>
                <w:sz w:val="20"/>
                <w:szCs w:val="20"/>
                <w:color w:val="auto"/>
              </w:rPr>
            </w:pPr>
            <w:r>
              <w:rPr>
                <w:rFonts w:ascii="Arial" w:cs="Arial" w:eastAsia="Arial" w:hAnsi="Arial"/>
                <w:sz w:val="14"/>
                <w:szCs w:val="14"/>
                <w:color w:val="auto"/>
                <w:w w:val="95"/>
              </w:rPr>
              <w:t>(26,509,841)</w:t>
            </w: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0" w:lineRule="exact"/>
              <w:rPr>
                <w:sz w:val="20"/>
                <w:szCs w:val="20"/>
                <w:color w:val="auto"/>
              </w:rPr>
            </w:pPr>
            <w:r>
              <w:rPr>
                <w:rFonts w:ascii="Arial" w:cs="Arial" w:eastAsia="Arial" w:hAnsi="Arial"/>
                <w:sz w:val="14"/>
                <w:szCs w:val="14"/>
                <w:color w:val="auto"/>
              </w:rPr>
              <w:t>67,021</w:t>
            </w: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FFCC"/>
          </w:tcPr>
          <w:p>
            <w:pPr>
              <w:spacing w:after="0"/>
              <w:rPr>
                <w:sz w:val="17"/>
                <w:szCs w:val="17"/>
                <w:color w:val="auto"/>
              </w:rPr>
            </w:pPr>
          </w:p>
        </w:tc>
        <w:tc>
          <w:tcPr>
            <w:tcW w:w="2080" w:type="dxa"/>
            <w:vAlign w:val="bottom"/>
            <w:gridSpan w:val="2"/>
            <w:shd w:val="clear" w:color="auto" w:fill="CCFFCC"/>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10,091,058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(459,799)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9,631,259</w:t>
            </w: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Realized loss included in</w:t>
            </w: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(953,811)</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w w:val="95"/>
              </w:rPr>
              <w:t>(27,463,851)</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(15,488)</w:t>
            </w: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(28,433,150)</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20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62,256,476</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w w:val="99"/>
              </w:rPr>
              <w:t>19,839,371</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57,084</w:t>
            </w:r>
          </w:p>
        </w:tc>
        <w:tc>
          <w:tcPr>
            <w:tcW w:w="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(17,038)</w:t>
            </w: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179,874</w:t>
            </w:r>
          </w:p>
        </w:tc>
        <w:tc>
          <w:tcPr>
            <w:tcW w:w="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82,315,767</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208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(depreciation) included in</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20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(125,439,156)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(8,158,498)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(133,597,654)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100" w:type="dxa"/>
            <w:vAlign w:val="bottom"/>
            <w:gridSpan w:val="3"/>
            <w:shd w:val="clear" w:color="auto" w:fill="CCFFCC"/>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81,410,161</w:t>
            </w:r>
          </w:p>
        </w:tc>
        <w:tc>
          <w:tcPr>
            <w:tcW w:w="8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0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89"/>
              </w:rPr>
              <w:t>129,925,500</w:t>
            </w:r>
          </w:p>
        </w:tc>
        <w:tc>
          <w:tcPr>
            <w:tcW w:w="14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557,084</w:t>
            </w:r>
          </w:p>
        </w:tc>
        <w:tc>
          <w:tcPr>
            <w:tcW w:w="16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rPr>
              <w:t>750,000</w:t>
            </w:r>
          </w:p>
        </w:tc>
        <w:tc>
          <w:tcPr>
            <w:tcW w:w="1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489,657</w:t>
            </w:r>
          </w:p>
        </w:tc>
        <w:tc>
          <w:tcPr>
            <w:tcW w:w="18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w w:val="97"/>
              </w:rPr>
              <w:t>213,132,402</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100" w:type="dxa"/>
            <w:vAlign w:val="bottom"/>
            <w:gridSpan w:val="3"/>
          </w:tcPr>
          <w:p>
            <w:pPr>
              <w:ind w:left="20"/>
              <w:spacing w:after="0" w:line="123"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(75,011,491)</w:t>
            </w:r>
          </w:p>
        </w:tc>
        <w:tc>
          <w:tcPr>
            <w:tcW w:w="1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(2,524,084)</w:t>
            </w:r>
          </w:p>
        </w:tc>
        <w:tc>
          <w:tcPr>
            <w:tcW w:w="1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57,084</w:t>
            </w:r>
          </w:p>
        </w:tc>
        <w:tc>
          <w:tcPr>
            <w:tcW w:w="16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(3,371)</w:t>
            </w:r>
          </w:p>
        </w:tc>
        <w:tc>
          <w:tcPr>
            <w:tcW w:w="1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w w:val="93"/>
              </w:rPr>
              <w:t>(179,874)</w:t>
            </w:r>
          </w:p>
        </w:tc>
        <w:tc>
          <w:tcPr>
            <w:tcW w:w="1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(77,661,736)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(depreciation) on Level 3</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investments still held as of</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December 31, 2013</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0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2012</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Embedded derivative from</w:t>
            </w: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w w:val="98"/>
              </w:rPr>
              <w:t>700,000</w:t>
            </w: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208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issuance of convertible senior</w:t>
            </w:r>
          </w:p>
        </w:tc>
        <w:tc>
          <w:tcPr>
            <w:tcW w:w="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20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notes</w:t>
            </w:r>
          </w:p>
        </w:tc>
        <w:tc>
          <w:tcPr>
            <w:tcW w:w="8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Loss on fair value adjustment for</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99,000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99,000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embedded derivative</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100" w:type="dxa"/>
            <w:vAlign w:val="bottom"/>
            <w:gridSpan w:val="3"/>
            <w:shd w:val="clear" w:color="auto" w:fill="CCFFCC"/>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w w:val="98"/>
              </w:rPr>
              <w:t>799,000</w:t>
            </w:r>
          </w:p>
        </w:tc>
        <w:tc>
          <w:tcPr>
            <w:tcW w:w="120" w:type="dxa"/>
            <w:vAlign w:val="bottom"/>
            <w:gridSpan w:val="2"/>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-1620520</wp:posOffset>
            </wp:positionV>
            <wp:extent cx="5240020" cy="445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40020"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13290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3290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-222250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-196850</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-222250</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-196850</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-222250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-196850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-222250</wp:posOffset>
            </wp:positionV>
            <wp:extent cx="102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-196850</wp:posOffset>
            </wp:positionV>
            <wp:extent cx="1028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-222250</wp:posOffset>
            </wp:positionV>
            <wp:extent cx="946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-196850</wp:posOffset>
            </wp:positionV>
            <wp:extent cx="946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-222250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-196850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-222250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-196850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64"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period ended December 31, 2013, the Company converted its preferred shares to common shares in CUX Inc., Chegg, Inc., Twitter, Inc., and Violin Memory, Inc. The Company also converted its common shares to preferred shares in Totus Solutions Inc.</w:t>
      </w:r>
    </w:p>
    <w:p>
      <w:pPr>
        <w:spacing w:after="0" w:line="73"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ASC 820 defines level 1 assets and liabilities as financial assets and liabilities whose values are based on unadjusted quoted prices for identical assets or liabilities in an active market that the Company has the ability to access at the measurement date. Level 2 assets and liabilities are those assets or liabilities whose fair values are based upon quoted prices in markets that are not active. The portfolio companies in which the Company invests periodically offer their shares in initial public offerings, (“IPO’s”). The Company’s shares in the portfolio companies are initially subject to lock-up agreements for 180 days following the IPO. Upon the IPO date, the Company transfers its investment to level 2 due to the lock-up agreement and prices the investment at the closing price on a public exchange as of the measurement date subject to a discount for a lack of marketability, (“DLOM”). The Company determines the DLOM for each portfolio company investment based upon the market value of publicly traded put options with similar terms as the lock-up. Once the lock-up expires, the Company transfers its investment to 1 level and prices the investment based on the closing price on a public exchange as of the measurement date.</w:t>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60" w:right="959" w:firstLine="270"/>
        <w:spacing w:after="0" w:line="285" w:lineRule="auto"/>
        <w:rPr>
          <w:sz w:val="20"/>
          <w:szCs w:val="20"/>
          <w:color w:val="auto"/>
        </w:rPr>
      </w:pPr>
      <w:r>
        <w:rPr>
          <w:rFonts w:ascii="Arial" w:cs="Arial" w:eastAsia="Arial" w:hAnsi="Arial"/>
          <w:sz w:val="17"/>
          <w:szCs w:val="17"/>
          <w:color w:val="auto"/>
        </w:rPr>
        <w:t>During the three months ended March 31,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71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Corporate Action</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IPO/ Lock-up</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March 31, 2014</w:t>
            </w:r>
          </w:p>
        </w:tc>
      </w:tr>
      <w:tr>
        <w:trPr>
          <w:trHeight w:val="171"/>
        </w:trPr>
        <w:tc>
          <w:tcPr>
            <w:tcW w:w="1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r>
      <w:tr>
        <w:trPr>
          <w:trHeight w:val="195"/>
        </w:trPr>
        <w:tc>
          <w:tcPr>
            <w:tcW w:w="1960" w:type="dxa"/>
            <w:vAlign w:val="bottom"/>
          </w:tcPr>
          <w:p>
            <w:pPr>
              <w:ind w:left="20"/>
              <w:spacing w:after="0" w:line="195" w:lineRule="exact"/>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6"/>
                <w:szCs w:val="16"/>
                <w:color w:val="auto"/>
              </w:rPr>
            </w:pP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95"/>
              </w:rPr>
              <w:t>Lock-up Expiration</w:t>
            </w:r>
          </w:p>
        </w:tc>
        <w:tc>
          <w:tcPr>
            <w:tcW w:w="16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2"/>
              </w:rPr>
              <w:t>1/29/2014</w:t>
            </w:r>
          </w:p>
        </w:tc>
        <w:tc>
          <w:tcPr>
            <w:tcW w:w="160" w:type="dxa"/>
            <w:vAlign w:val="bottom"/>
          </w:tcPr>
          <w:p>
            <w:pPr>
              <w:spacing w:after="0"/>
              <w:rPr>
                <w:sz w:val="16"/>
                <w:szCs w:val="16"/>
                <w:color w:val="auto"/>
              </w:rPr>
            </w:pPr>
          </w:p>
        </w:tc>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3/26/2014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3/28/2014</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bl>
    <w:p>
      <w:pPr>
        <w:ind w:left="6680"/>
        <w:spacing w:after="0"/>
        <w:rPr>
          <w:sz w:val="20"/>
          <w:szCs w:val="20"/>
          <w:color w:val="auto"/>
        </w:rPr>
      </w:pPr>
      <w:r>
        <w:rPr>
          <w:rFonts w:ascii="Arial" w:cs="Arial" w:eastAsia="Arial" w:hAnsi="Arial"/>
          <w:sz w:val="18"/>
          <w:szCs w:val="18"/>
          <w:color w:val="auto"/>
        </w:rPr>
        <w:t>Price, 17.5% DLOM</w:t>
      </w:r>
    </w:p>
    <w:p>
      <w:pPr>
        <w:spacing w:after="0" w:line="103" w:lineRule="exact"/>
        <w:rPr>
          <w:sz w:val="20"/>
          <w:szCs w:val="20"/>
          <w:color w:val="auto"/>
        </w:rPr>
      </w:pPr>
    </w:p>
    <w:p>
      <w:pPr>
        <w:ind w:left="60" w:right="759" w:firstLine="270"/>
        <w:spacing w:after="0" w:line="269" w:lineRule="auto"/>
        <w:rPr>
          <w:sz w:val="20"/>
          <w:szCs w:val="20"/>
          <w:color w:val="auto"/>
        </w:rPr>
      </w:pPr>
      <w:r>
        <w:rPr>
          <w:rFonts w:ascii="Arial" w:cs="Arial" w:eastAsia="Arial" w:hAnsi="Arial"/>
          <w:sz w:val="18"/>
          <w:szCs w:val="18"/>
          <w:color w:val="auto"/>
        </w:rPr>
        <w:t>During the year ended December 31, 2013,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Corporate Action</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IPO/ Lock-up</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2013</w:t>
            </w:r>
          </w:p>
        </w:tc>
      </w:tr>
      <w:tr>
        <w:trPr>
          <w:trHeight w:val="171"/>
        </w:trPr>
        <w:tc>
          <w:tcPr>
            <w:tcW w:w="1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1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r>
      <w:tr>
        <w:trPr>
          <w:trHeight w:val="195"/>
        </w:trPr>
        <w:tc>
          <w:tcPr>
            <w:tcW w:w="1920" w:type="dxa"/>
            <w:vAlign w:val="bottom"/>
          </w:tcPr>
          <w:p>
            <w:pPr>
              <w:ind w:left="20"/>
              <w:spacing w:after="0" w:line="195" w:lineRule="exact"/>
              <w:rPr>
                <w:sz w:val="20"/>
                <w:szCs w:val="20"/>
                <w:color w:val="auto"/>
              </w:rPr>
            </w:pPr>
            <w:r>
              <w:rPr>
                <w:rFonts w:ascii="Arial" w:cs="Arial" w:eastAsia="Arial" w:hAnsi="Arial"/>
                <w:sz w:val="18"/>
                <w:szCs w:val="18"/>
                <w:color w:val="auto"/>
              </w:rPr>
              <w:t>Silver Spring Networks,</w:t>
            </w:r>
          </w:p>
        </w:tc>
        <w:tc>
          <w:tcPr>
            <w:tcW w:w="160" w:type="dxa"/>
            <w:vAlign w:val="bottom"/>
          </w:tcPr>
          <w:p>
            <w:pPr>
              <w:spacing w:after="0"/>
              <w:rPr>
                <w:sz w:val="16"/>
                <w:szCs w:val="16"/>
                <w:color w:val="auto"/>
              </w:rPr>
            </w:pP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0"/>
              </w:rPr>
              <w:t>IPO</w:t>
            </w:r>
          </w:p>
        </w:tc>
        <w:tc>
          <w:tcPr>
            <w:tcW w:w="16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9"/>
              </w:rPr>
              <w:t>3/12/2013</w:t>
            </w:r>
          </w:p>
        </w:tc>
        <w:tc>
          <w:tcPr>
            <w:tcW w:w="16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6"/>
                <w:szCs w:val="16"/>
                <w:color w:val="auto"/>
              </w:rPr>
            </w:pP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Silver Spring Networks,</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Lock-up</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9/8/2013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0% DLOM</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8/2/2013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Price, 4% DLOM</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9/27/2013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11/6/2013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11/12/2013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r>
      <w:tr>
        <w:trPr>
          <w:trHeight w:val="230"/>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r>
    </w:tbl>
    <w:p>
      <w:pPr>
        <w:spacing w:after="0" w:line="94"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During the year ended December 31, 2013, the Company wrote-off its investments in Top Hat 430, Inc., Serious Energy, Inc., AltEgo, LLC, and Starfish Holdings, Inc. and recorded realized losses.</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1039" w:firstLine="270"/>
        <w:spacing w:after="0" w:line="302" w:lineRule="auto"/>
        <w:rPr>
          <w:sz w:val="20"/>
          <w:szCs w:val="20"/>
          <w:color w:val="auto"/>
        </w:rPr>
      </w:pPr>
      <w:r>
        <w:rPr>
          <w:rFonts w:ascii="Arial" w:cs="Arial" w:eastAsia="Arial" w:hAnsi="Arial"/>
          <w:sz w:val="16"/>
          <w:szCs w:val="16"/>
          <w:color w:val="auto"/>
        </w:rPr>
        <w:t>The table below details the equity offerings and related expenses incurred by the Company since inception.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280" w:type="dxa"/>
            <w:vAlign w:val="bottom"/>
            <w:gridSpan w:val="3"/>
          </w:tcPr>
          <w:p>
            <w:pPr>
              <w:ind w:left="20"/>
              <w:spacing w:after="0" w:line="150" w:lineRule="exact"/>
              <w:rPr>
                <w:sz w:val="20"/>
                <w:szCs w:val="20"/>
                <w:color w:val="auto"/>
              </w:rPr>
            </w:pPr>
            <w:r>
              <w:rPr>
                <w:rFonts w:ascii="Arial" w:cs="Arial" w:eastAsia="Arial" w:hAnsi="Arial"/>
                <w:sz w:val="14"/>
                <w:szCs w:val="14"/>
                <w:b w:val="1"/>
                <w:bCs w:val="1"/>
                <w:color w:val="auto"/>
              </w:rPr>
              <w:t>Issuances of Common Stock</w:t>
            </w:r>
          </w:p>
        </w:tc>
        <w:tc>
          <w:tcPr>
            <w:tcW w:w="160" w:type="dxa"/>
            <w:vAlign w:val="bottom"/>
          </w:tcPr>
          <w:p>
            <w:pPr>
              <w:spacing w:after="0"/>
              <w:rPr>
                <w:sz w:val="13"/>
                <w:szCs w:val="13"/>
                <w:color w:val="auto"/>
              </w:rPr>
            </w:pPr>
          </w:p>
        </w:tc>
        <w:tc>
          <w:tcPr>
            <w:tcW w:w="1020" w:type="dxa"/>
            <w:vAlign w:val="bottom"/>
          </w:tcPr>
          <w:p>
            <w:pPr>
              <w:jc w:val="right"/>
              <w:ind w:right="88"/>
              <w:spacing w:after="0" w:line="15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75"/>
              <w:spacing w:after="0" w:line="150" w:lineRule="exact"/>
              <w:rPr>
                <w:sz w:val="20"/>
                <w:szCs w:val="20"/>
                <w:color w:val="auto"/>
              </w:rPr>
            </w:pPr>
            <w:r>
              <w:rPr>
                <w:rFonts w:ascii="Arial" w:cs="Arial" w:eastAsia="Arial" w:hAnsi="Arial"/>
                <w:sz w:val="14"/>
                <w:szCs w:val="14"/>
                <w:b w:val="1"/>
                <w:bCs w:val="1"/>
                <w:color w:val="auto"/>
                <w:w w:val="87"/>
              </w:rPr>
              <w:t>Gross Proceeds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Underwriting</w:t>
            </w:r>
          </w:p>
        </w:tc>
        <w:tc>
          <w:tcPr>
            <w:tcW w:w="900" w:type="dxa"/>
            <w:vAlign w:val="bottom"/>
          </w:tcPr>
          <w:p>
            <w:pPr>
              <w:jc w:val="right"/>
              <w:ind w:right="176"/>
              <w:spacing w:after="0" w:line="150" w:lineRule="exact"/>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3"/>
                <w:szCs w:val="13"/>
                <w:color w:val="auto"/>
              </w:rPr>
            </w:pPr>
          </w:p>
        </w:tc>
        <w:tc>
          <w:tcPr>
            <w:tcW w:w="760" w:type="dxa"/>
            <w:vAlign w:val="bottom"/>
          </w:tcPr>
          <w:p>
            <w:pPr>
              <w:jc w:val="right"/>
              <w:ind w:right="28"/>
              <w:spacing w:after="0" w:line="150" w:lineRule="exact"/>
              <w:rPr>
                <w:sz w:val="20"/>
                <w:szCs w:val="20"/>
                <w:color w:val="auto"/>
              </w:rPr>
            </w:pPr>
            <w:r>
              <w:rPr>
                <w:rFonts w:ascii="Arial" w:cs="Arial" w:eastAsia="Arial" w:hAnsi="Arial"/>
                <w:sz w:val="14"/>
                <w:szCs w:val="14"/>
                <w:b w:val="1"/>
                <w:bCs w:val="1"/>
                <w:color w:val="auto"/>
              </w:rPr>
              <w:t>Offering</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Raised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Expenses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Price</w:t>
            </w:r>
          </w:p>
        </w:tc>
      </w:tr>
      <w:tr>
        <w:trPr>
          <w:trHeight w:val="210"/>
        </w:trPr>
        <w:tc>
          <w:tcPr>
            <w:tcW w:w="22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February 28, 2011</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ind w:left="7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FFCC"/>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15.00</w:t>
            </w:r>
          </w:p>
        </w:tc>
      </w:tr>
      <w:tr>
        <w:trPr>
          <w:trHeight w:val="257"/>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3,501,750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6"/>
              <w:spacing w:after="0" w:line="256" w:lineRule="exact"/>
              <w:rPr>
                <w:sz w:val="20"/>
                <w:szCs w:val="20"/>
                <w:color w:val="auto"/>
              </w:rPr>
            </w:pPr>
            <w:r>
              <w:rPr>
                <w:rFonts w:ascii="Arial" w:cs="Arial" w:eastAsia="Arial" w:hAnsi="Arial"/>
                <w:sz w:val="18"/>
                <w:szCs w:val="18"/>
                <w:color w:val="auto"/>
                <w:w w:val="87"/>
              </w:rPr>
              <w:t>527,166</w:t>
            </w:r>
            <w:r>
              <w:rPr>
                <w:rFonts w:ascii="Arial" w:cs="Arial" w:eastAsia="Arial" w:hAnsi="Arial"/>
                <w:sz w:val="29"/>
                <w:szCs w:val="29"/>
                <w:color w:val="auto"/>
                <w:w w:val="87"/>
                <w:vertAlign w:val="superscript"/>
              </w:rPr>
              <w:t>(1)</w:t>
            </w: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r>
      <w:tr>
        <w:trPr>
          <w:trHeight w:val="257"/>
        </w:trPr>
        <w:tc>
          <w:tcPr>
            <w:tcW w:w="22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September 27, 2011</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1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30,917,750</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1,267,300</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7"/>
              </w:rPr>
              <w:t>531,122</w:t>
            </w:r>
            <w:r>
              <w:rPr>
                <w:rFonts w:ascii="Arial" w:cs="Arial" w:eastAsia="Arial" w:hAnsi="Arial"/>
                <w:sz w:val="29"/>
                <w:szCs w:val="29"/>
                <w:color w:val="auto"/>
                <w:w w:val="87"/>
                <w:vertAlign w:val="superscript"/>
              </w:rPr>
              <w:t>(2)</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14.15</w:t>
            </w: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w w:val="92"/>
              </w:rPr>
              <w:t>326,077</w:t>
            </w: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r>
      <w:tr>
        <w:trPr>
          <w:trHeight w:val="257"/>
        </w:trPr>
        <w:tc>
          <w:tcPr>
            <w:tcW w:w="22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May 11, 2012</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112,125,000</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6,727,500</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0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7"/>
              </w:rPr>
              <w:t>412,620</w:t>
            </w:r>
            <w:r>
              <w:rPr>
                <w:rFonts w:ascii="Arial" w:cs="Arial" w:eastAsia="Arial" w:hAnsi="Arial"/>
                <w:sz w:val="29"/>
                <w:szCs w:val="29"/>
                <w:color w:val="auto"/>
                <w:w w:val="87"/>
                <w:vertAlign w:val="superscript"/>
              </w:rPr>
              <w:t>(3)</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16.25</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56" w:lineRule="exact"/>
        <w:rPr>
          <w:sz w:val="20"/>
          <w:szCs w:val="20"/>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 — BASIC AND DILUTED</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Company considered the potential dilutive effects of the convertible senior notes on earnings per share in accordance with the requirement of ASC 260-10, using the if-converted method. The effect of the assumed conversion of the convertible senior notes would have been to increase earnings per share. As such, the Company has excluded the effects of the assumed conversion of the convertible senior notes from the diluted EPS calculation. The following information sets forth the computation of basic and diluted net increase (decrease) in net assets resulting from operations per common share for the three months ended March 31, 2014 and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52057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Three months</w:t>
            </w:r>
          </w:p>
        </w:tc>
      </w:tr>
      <w:tr>
        <w:trPr>
          <w:trHeight w:val="149"/>
        </w:trPr>
        <w:tc>
          <w:tcPr>
            <w:tcW w:w="56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ended March 31,</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ended March 31,</w:t>
            </w:r>
          </w:p>
        </w:tc>
      </w:tr>
      <w:tr>
        <w:trPr>
          <w:trHeight w:val="149"/>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2"/>
                <w:szCs w:val="12"/>
                <w:color w:val="auto"/>
              </w:rPr>
            </w:pPr>
          </w:p>
        </w:tc>
      </w:tr>
      <w:tr>
        <w:trPr>
          <w:trHeight w:val="171"/>
        </w:trPr>
        <w:tc>
          <w:tcPr>
            <w:tcW w:w="5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0"/>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increase (decrease) in net assets resulting from operations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79,704</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(7,491,255)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19,320,100</w:t>
            </w: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2"/>
              </w:rPr>
              <w:t>Net increase (decrease) in net assets per common share – Basic and diluted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(0.38)</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968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Three months</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w:t>
            </w: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16"/>
              <w:spacing w:after="0" w:line="149"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15"/>
              <w:spacing w:after="0" w:line="149"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2180" w:type="dxa"/>
            <w:vAlign w:val="bottom"/>
          </w:tcPr>
          <w:p>
            <w:pPr>
              <w:spacing w:after="0"/>
              <w:rPr>
                <w:sz w:val="14"/>
                <w:szCs w:val="14"/>
                <w:color w:val="auto"/>
              </w:rPr>
            </w:pPr>
          </w:p>
        </w:tc>
      </w:tr>
      <w:tr>
        <w:trPr>
          <w:trHeight w:val="210"/>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13.07</w:t>
            </w:r>
          </w:p>
        </w:tc>
        <w:tc>
          <w:tcPr>
            <w:tcW w:w="2180" w:type="dxa"/>
            <w:vAlign w:val="bottom"/>
          </w:tcPr>
          <w:p>
            <w:pPr>
              <w:spacing w:after="0"/>
              <w:rPr>
                <w:sz w:val="18"/>
                <w:szCs w:val="18"/>
                <w:color w:val="auto"/>
              </w:rPr>
            </w:pPr>
          </w:p>
        </w:tc>
      </w:tr>
      <w:tr>
        <w:trPr>
          <w:trHeight w:val="257"/>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(0.14)</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9"/>
                <w:szCs w:val="29"/>
                <w:color w:val="auto"/>
                <w:vertAlign w:val="superscript"/>
              </w:rPr>
              <w:t>(1)</w:t>
            </w:r>
          </w:p>
        </w:tc>
        <w:tc>
          <w:tcPr>
            <w:tcW w:w="2180" w:type="dxa"/>
            <w:vAlign w:val="bottom"/>
          </w:tcPr>
          <w:p>
            <w:pPr>
              <w:spacing w:after="0"/>
              <w:rPr>
                <w:sz w:val="22"/>
                <w:szCs w:val="22"/>
                <w:color w:val="auto"/>
              </w:rPr>
            </w:pPr>
          </w:p>
        </w:tc>
      </w:tr>
      <w:tr>
        <w:trPr>
          <w:trHeight w:val="257"/>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Net realized gain (loss)</w:t>
            </w:r>
          </w:p>
        </w:tc>
        <w:tc>
          <w:tcPr>
            <w:tcW w:w="100" w:type="dxa"/>
            <w:vAlign w:val="bottom"/>
          </w:tcPr>
          <w:p>
            <w:pPr>
              <w:spacing w:after="0"/>
              <w:rPr>
                <w:sz w:val="22"/>
                <w:szCs w:val="22"/>
                <w:color w:val="auto"/>
              </w:rPr>
            </w:pPr>
          </w:p>
        </w:tc>
        <w:tc>
          <w:tcPr>
            <w:tcW w:w="120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0.41</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2180" w:type="dxa"/>
            <w:vAlign w:val="bottom"/>
          </w:tcPr>
          <w:p>
            <w:pPr>
              <w:spacing w:after="0"/>
              <w:rPr>
                <w:sz w:val="22"/>
                <w:szCs w:val="22"/>
                <w:color w:val="auto"/>
              </w:rPr>
            </w:pPr>
          </w:p>
        </w:tc>
      </w:tr>
      <w:tr>
        <w:trPr>
          <w:trHeight w:val="257"/>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w w:val="97"/>
              </w:rPr>
              <w:t>Benefit/(Provision) for taxes on Net Realized Capital Gains/(Losses)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(0.17)</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Net change in unrealized appreciation (depreciation)</w:t>
            </w:r>
          </w:p>
        </w:tc>
        <w:tc>
          <w:tcPr>
            <w:tcW w:w="100" w:type="dxa"/>
            <w:vAlign w:val="bottom"/>
          </w:tcPr>
          <w:p>
            <w:pPr>
              <w:spacing w:after="0"/>
              <w:rPr>
                <w:sz w:val="22"/>
                <w:szCs w:val="22"/>
                <w:color w:val="auto"/>
              </w:rPr>
            </w:pPr>
          </w:p>
        </w:tc>
        <w:tc>
          <w:tcPr>
            <w:tcW w:w="12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(0.08)</w:t>
            </w:r>
            <w:r>
              <w:rPr>
                <w:rFonts w:ascii="Arial" w:cs="Arial" w:eastAsia="Arial" w:hAnsi="Arial"/>
                <w:sz w:val="29"/>
                <w:szCs w:val="29"/>
                <w:color w:val="auto"/>
                <w:vertAlign w:val="superscript"/>
              </w:rPr>
              <w:t>(1)</w:t>
            </w:r>
          </w:p>
        </w:tc>
        <w:tc>
          <w:tcPr>
            <w:tcW w:w="2180" w:type="dxa"/>
            <w:vAlign w:val="bottom"/>
          </w:tcPr>
          <w:p>
            <w:pPr>
              <w:spacing w:after="0"/>
              <w:rPr>
                <w:sz w:val="22"/>
                <w:szCs w:val="22"/>
                <w:color w:val="auto"/>
              </w:rPr>
            </w:pPr>
          </w:p>
        </w:tc>
      </w:tr>
      <w:tr>
        <w:trPr>
          <w:trHeight w:val="257"/>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Benefit for taxes on Unrealized Depreciation of investments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0.06</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12.69</w:t>
            </w:r>
          </w:p>
        </w:tc>
        <w:tc>
          <w:tcPr>
            <w:tcW w:w="218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10.14</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8.26</w:t>
            </w:r>
          </w:p>
        </w:tc>
        <w:tc>
          <w:tcPr>
            <w:tcW w:w="2180" w:type="dxa"/>
            <w:vAlign w:val="bottom"/>
          </w:tcPr>
          <w:p>
            <w:pPr>
              <w:spacing w:after="0"/>
              <w:rPr>
                <w:sz w:val="18"/>
                <w:szCs w:val="18"/>
                <w:color w:val="auto"/>
              </w:rPr>
            </w:pPr>
          </w:p>
        </w:tc>
      </w:tr>
      <w:tr>
        <w:trPr>
          <w:trHeight w:val="257"/>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1200" w:type="dxa"/>
            <w:vAlign w:val="bottom"/>
            <w:gridSpan w:val="2"/>
          </w:tcPr>
          <w:p>
            <w:pPr>
              <w:jc w:val="right"/>
              <w:ind w:right="280"/>
              <w:spacing w:after="0" w:line="256" w:lineRule="exact"/>
              <w:rPr>
                <w:sz w:val="20"/>
                <w:szCs w:val="20"/>
                <w:color w:val="auto"/>
              </w:rPr>
            </w:pPr>
            <w:r>
              <w:rPr>
                <w:rFonts w:ascii="Arial" w:cs="Arial" w:eastAsia="Arial" w:hAnsi="Arial"/>
                <w:sz w:val="18"/>
                <w:szCs w:val="18"/>
                <w:color w:val="auto"/>
                <w:w w:val="93"/>
              </w:rPr>
              <w:t>(16.13)</w:t>
            </w:r>
            <w:r>
              <w:rPr>
                <w:rFonts w:ascii="Arial" w:cs="Arial" w:eastAsia="Arial" w:hAnsi="Arial"/>
                <w:sz w:val="29"/>
                <w:szCs w:val="29"/>
                <w:color w:val="auto"/>
                <w:w w:val="93"/>
                <w:vertAlign w:val="superscript"/>
              </w:rPr>
              <w:t>(6)</w:t>
            </w:r>
            <w:r>
              <w:rPr>
                <w:rFonts w:ascii="Arial" w:cs="Arial" w:eastAsia="Arial" w:hAnsi="Arial"/>
                <w:sz w:val="18"/>
                <w:szCs w:val="18"/>
                <w:color w:val="auto"/>
                <w:w w:val="93"/>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rPr>
              <w:t>(2.02)</w:t>
            </w:r>
            <w:r>
              <w:rPr>
                <w:rFonts w:ascii="Arial" w:cs="Arial" w:eastAsia="Arial" w:hAnsi="Arial"/>
                <w:sz w:val="29"/>
                <w:szCs w:val="29"/>
                <w:color w:val="auto"/>
                <w:vertAlign w:val="superscript"/>
              </w:rPr>
              <w:t>(6)</w:t>
            </w: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2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(6)</w:t>
            </w:r>
            <w:r>
              <w:rPr>
                <w:rFonts w:ascii="Arial" w:cs="Arial" w:eastAsia="Arial" w:hAnsi="Arial"/>
                <w:sz w:val="29"/>
                <w:szCs w:val="29"/>
                <w:color w:val="auto"/>
                <w:vertAlign w:val="subscript"/>
              </w:rPr>
              <w:t>%</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(2.91)</w:t>
            </w:r>
            <w:r>
              <w:rPr>
                <w:rFonts w:ascii="Arial" w:cs="Arial" w:eastAsia="Arial" w:hAnsi="Arial"/>
                <w:sz w:val="29"/>
                <w:szCs w:val="29"/>
                <w:color w:val="auto"/>
                <w:vertAlign w:val="superscript"/>
              </w:rPr>
              <w:t>(6)</w:t>
            </w: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19,320,100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19,320,100</w:t>
            </w:r>
          </w:p>
        </w:tc>
        <w:tc>
          <w:tcPr>
            <w:tcW w:w="2180" w:type="dxa"/>
            <w:vAlign w:val="bottom"/>
          </w:tcPr>
          <w:p>
            <w:pPr>
              <w:spacing w:after="0"/>
              <w:rPr>
                <w:sz w:val="18"/>
                <w:szCs w:val="18"/>
                <w:color w:val="auto"/>
              </w:rPr>
            </w:pPr>
          </w:p>
        </w:tc>
      </w:tr>
      <w:tr>
        <w:trPr>
          <w:trHeight w:val="216"/>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288,046,148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245,091,546</w:t>
            </w:r>
          </w:p>
        </w:tc>
        <w:tc>
          <w:tcPr>
            <w:tcW w:w="2180" w:type="dxa"/>
            <w:vAlign w:val="bottom"/>
          </w:tcPr>
          <w:p>
            <w:pPr>
              <w:spacing w:after="0"/>
              <w:rPr>
                <w:sz w:val="18"/>
                <w:szCs w:val="18"/>
                <w:color w:val="auto"/>
              </w:rPr>
            </w:pPr>
          </w:p>
        </w:tc>
      </w:tr>
      <w:tr>
        <w:trPr>
          <w:trHeight w:val="216"/>
        </w:trPr>
        <w:tc>
          <w:tcPr>
            <w:tcW w:w="53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89"/>
              </w:rPr>
              <w:t>287,546,332</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91"/>
              </w:rPr>
              <w:t>252,834,028</w:t>
            </w:r>
          </w:p>
        </w:tc>
        <w:tc>
          <w:tcPr>
            <w:tcW w:w="2180" w:type="dxa"/>
            <w:vAlign w:val="bottom"/>
          </w:tcPr>
          <w:p>
            <w:pPr>
              <w:spacing w:after="0"/>
              <w:rPr>
                <w:sz w:val="18"/>
                <w:szCs w:val="18"/>
                <w:color w:val="auto"/>
              </w:rPr>
            </w:pPr>
          </w:p>
        </w:tc>
      </w:tr>
      <w:tr>
        <w:trPr>
          <w:trHeight w:val="257"/>
        </w:trPr>
        <w:tc>
          <w:tcPr>
            <w:tcW w:w="5320" w:type="dxa"/>
            <w:vAlign w:val="bottom"/>
            <w:gridSpan w:val="2"/>
          </w:tcPr>
          <w:p>
            <w:pPr>
              <w:ind w:left="20"/>
              <w:spacing w:after="0" w:line="256" w:lineRule="exact"/>
              <w:rPr>
                <w:sz w:val="20"/>
                <w:szCs w:val="20"/>
                <w:color w:val="auto"/>
              </w:rPr>
            </w:pPr>
            <w:r>
              <w:rPr>
                <w:rFonts w:ascii="Arial" w:cs="Arial" w:eastAsia="Arial" w:hAnsi="Arial"/>
                <w:sz w:val="18"/>
                <w:szCs w:val="18"/>
                <w:color w:val="auto"/>
                <w:w w:val="94"/>
              </w:rPr>
              <w:t>Annualized ratio of gross operating expenses to average net assets</w:t>
            </w:r>
            <w:r>
              <w:rPr>
                <w:rFonts w:ascii="Arial" w:cs="Arial" w:eastAsia="Arial" w:hAnsi="Arial"/>
                <w:sz w:val="29"/>
                <w:szCs w:val="29"/>
                <w:color w:val="auto"/>
                <w:w w:val="94"/>
                <w:vertAlign w:val="superscript"/>
              </w:rPr>
              <w:t>(8)</w:t>
            </w:r>
          </w:p>
        </w:tc>
        <w:tc>
          <w:tcPr>
            <w:tcW w:w="10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180" w:type="dxa"/>
            <w:vAlign w:val="bottom"/>
          </w:tcPr>
          <w:p>
            <w:pPr>
              <w:spacing w:after="0"/>
              <w:rPr>
                <w:sz w:val="22"/>
                <w:szCs w:val="22"/>
                <w:color w:val="auto"/>
              </w:rPr>
            </w:pPr>
          </w:p>
        </w:tc>
      </w:tr>
      <w:tr>
        <w:trPr>
          <w:trHeight w:val="257"/>
        </w:trPr>
        <w:tc>
          <w:tcPr>
            <w:tcW w:w="532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w w:val="97"/>
              </w:rPr>
              <w:t>Annualized ratio of net operating expenses to average net assets</w:t>
            </w:r>
            <w:r>
              <w:rPr>
                <w:rFonts w:ascii="Arial" w:cs="Arial" w:eastAsia="Arial" w:hAnsi="Arial"/>
                <w:sz w:val="29"/>
                <w:szCs w:val="29"/>
                <w:color w:val="auto"/>
                <w:w w:val="97"/>
                <w:vertAlign w:val="superscript"/>
              </w:rPr>
              <w:t>(8)</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w:t>
            </w:r>
          </w:p>
        </w:tc>
        <w:tc>
          <w:tcPr>
            <w:tcW w:w="2180" w:type="dxa"/>
            <w:vAlign w:val="bottom"/>
          </w:tcPr>
          <w:p>
            <w:pPr>
              <w:spacing w:after="0"/>
              <w:rPr>
                <w:sz w:val="22"/>
                <w:szCs w:val="22"/>
                <w:color w:val="auto"/>
              </w:rPr>
            </w:pPr>
          </w:p>
        </w:tc>
      </w:tr>
      <w:tr>
        <w:trPr>
          <w:trHeight w:val="390"/>
        </w:trPr>
        <w:tc>
          <w:tcPr>
            <w:tcW w:w="5320" w:type="dxa"/>
            <w:vAlign w:val="bottom"/>
            <w:gridSpan w:val="2"/>
          </w:tcPr>
          <w:p>
            <w:pPr>
              <w:ind w:left="20"/>
              <w:spacing w:after="0"/>
              <w:rPr>
                <w:sz w:val="20"/>
                <w:szCs w:val="20"/>
                <w:color w:val="auto"/>
              </w:rPr>
            </w:pPr>
            <w:r>
              <w:rPr>
                <w:rFonts w:ascii="Arial" w:cs="Arial" w:eastAsia="Arial" w:hAnsi="Arial"/>
                <w:sz w:val="18"/>
                <w:szCs w:val="18"/>
                <w:color w:val="auto"/>
                <w:w w:val="98"/>
              </w:rPr>
              <w:t>Annualized ratio of net investment income to average net assets</w:t>
            </w:r>
            <w:r>
              <w:rPr>
                <w:rFonts w:ascii="Arial" w:cs="Arial" w:eastAsia="Arial" w:hAnsi="Arial"/>
                <w:sz w:val="30"/>
                <w:szCs w:val="30"/>
                <w:color w:val="auto"/>
                <w:w w:val="98"/>
                <w:vertAlign w:val="superscript"/>
              </w:rPr>
              <w:t>(8)</w:t>
            </w:r>
          </w:p>
        </w:tc>
        <w:tc>
          <w:tcPr>
            <w:tcW w:w="1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180" w:type="dxa"/>
            <w:vAlign w:val="bottom"/>
          </w:tcPr>
          <w:p>
            <w:pPr>
              <w:spacing w:after="0"/>
              <w:rPr>
                <w:sz w:val="24"/>
                <w:szCs w:val="24"/>
                <w:color w:val="auto"/>
              </w:rPr>
            </w:pPr>
          </w:p>
        </w:tc>
      </w:tr>
      <w:tr>
        <w:trPr>
          <w:trHeight w:val="650"/>
        </w:trPr>
        <w:tc>
          <w:tcPr>
            <w:tcW w:w="5320" w:type="dxa"/>
            <w:vAlign w:val="bottom"/>
            <w:gridSpan w:val="2"/>
          </w:tcPr>
          <w:p>
            <w:pPr>
              <w:ind w:left="45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45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45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-2314575</wp:posOffset>
            </wp:positionV>
            <wp:extent cx="521398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77470</wp:posOffset>
            </wp:positionV>
            <wp:extent cx="52139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For the period from</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January 6, 2011</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 of inception)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 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Borders>
              <w:bottom w:val="single" w:sz="8" w:color="auto"/>
            </w:tcBorders>
          </w:tcPr>
          <w:p>
            <w:pPr>
              <w:spacing w:after="0"/>
              <w:rPr>
                <w:sz w:val="14"/>
                <w:szCs w:val="14"/>
                <w:color w:val="auto"/>
              </w:rPr>
            </w:pPr>
          </w:p>
        </w:tc>
      </w:tr>
      <w:tr>
        <w:trPr>
          <w:trHeight w:val="21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year/period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6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(4)</w:t>
            </w:r>
          </w:p>
        </w:tc>
      </w:tr>
      <w:tr>
        <w:trPr>
          <w:trHeight w:val="257"/>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Underwriters’ discount</w:t>
            </w:r>
          </w:p>
        </w:tc>
        <w:tc>
          <w:tcPr>
            <w:tcW w:w="100" w:type="dxa"/>
            <w:vAlign w:val="bottom"/>
          </w:tcPr>
          <w:p>
            <w:pPr>
              <w:spacing w:after="0"/>
              <w:rPr>
                <w:sz w:val="22"/>
                <w:szCs w:val="22"/>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r>
      <w:tr>
        <w:trPr>
          <w:trHeight w:val="25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r>
      <w:tr>
        <w:trPr>
          <w:trHeight w:val="257"/>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22"/>
                <w:szCs w:val="22"/>
                <w:color w:val="auto"/>
              </w:rPr>
            </w:pPr>
          </w:p>
        </w:tc>
        <w:tc>
          <w:tcPr>
            <w:tcW w:w="12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r>
      <w:tr>
        <w:trPr>
          <w:trHeight w:val="25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(1.12)</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Benefit for taxes on net realized capital losses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w w:val="99"/>
              </w:rPr>
              <w:t>Change in unrealized appreciation (depreciation)</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120"/>
              <w:spacing w:after="0" w:line="256" w:lineRule="exact"/>
              <w:rPr>
                <w:sz w:val="20"/>
                <w:szCs w:val="20"/>
                <w:color w:val="auto"/>
              </w:rPr>
            </w:pPr>
            <w:r>
              <w:rPr>
                <w:rFonts w:ascii="Arial" w:cs="Arial" w:eastAsia="Arial" w:hAnsi="Arial"/>
                <w:sz w:val="18"/>
                <w:szCs w:val="18"/>
                <w:color w:val="auto"/>
              </w:rPr>
              <w:t>4.53</w:t>
            </w:r>
            <w:r>
              <w:rPr>
                <w:rFonts w:ascii="Arial" w:cs="Arial" w:eastAsia="Arial" w:hAnsi="Arial"/>
                <w:sz w:val="29"/>
                <w:szCs w:val="29"/>
                <w:color w:val="auto"/>
                <w:vertAlign w:val="superscript"/>
              </w:rPr>
              <w:t>(1)</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60"/>
              <w:spacing w:after="0" w:line="256"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(5)</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00"/>
              <w:spacing w:after="0" w:line="256"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(2)</w:t>
            </w:r>
          </w:p>
        </w:tc>
      </w:tr>
      <w:tr>
        <w:trPr>
          <w:trHeight w:val="202"/>
        </w:trPr>
        <w:tc>
          <w:tcPr>
            <w:tcW w:w="39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14.91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13.07</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12.95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29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r>
      <w:tr>
        <w:trPr>
          <w:trHeight w:val="210"/>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year/period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r>
      <w:tr>
        <w:trPr>
          <w:trHeight w:val="25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300"/>
              <w:spacing w:after="0" w:line="256" w:lineRule="exact"/>
              <w:rPr>
                <w:sz w:val="20"/>
                <w:szCs w:val="20"/>
                <w:color w:val="auto"/>
              </w:rPr>
            </w:pPr>
            <w:r>
              <w:rPr>
                <w:rFonts w:ascii="Arial" w:cs="Arial" w:eastAsia="Arial" w:hAnsi="Arial"/>
                <w:sz w:val="18"/>
                <w:szCs w:val="18"/>
                <w:color w:val="auto"/>
              </w:rPr>
              <w:t>43.42</w:t>
            </w:r>
            <w:r>
              <w:rPr>
                <w:rFonts w:ascii="Arial" w:cs="Arial" w:eastAsia="Arial" w:hAnsi="Arial"/>
                <w:sz w:val="29"/>
                <w:szCs w:val="29"/>
                <w:color w:val="auto"/>
                <w:vertAlign w:val="superscript"/>
              </w:rPr>
              <w:t>(6)</w:t>
            </w: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300"/>
              <w:spacing w:after="0" w:line="256" w:lineRule="exact"/>
              <w:rPr>
                <w:sz w:val="20"/>
                <w:szCs w:val="20"/>
                <w:color w:val="auto"/>
              </w:rPr>
            </w:pPr>
            <w:r>
              <w:rPr>
                <w:rFonts w:ascii="Arial" w:cs="Arial" w:eastAsia="Arial" w:hAnsi="Arial"/>
                <w:sz w:val="18"/>
                <w:szCs w:val="18"/>
                <w:color w:val="auto"/>
                <w:w w:val="90"/>
              </w:rPr>
              <w:t>(39.57)</w:t>
            </w:r>
            <w:r>
              <w:rPr>
                <w:rFonts w:ascii="Arial" w:cs="Arial" w:eastAsia="Arial" w:hAnsi="Arial"/>
                <w:sz w:val="29"/>
                <w:szCs w:val="29"/>
                <w:color w:val="auto"/>
                <w:w w:val="90"/>
                <w:vertAlign w:val="superscript"/>
              </w:rPr>
              <w:t>(6)</w:t>
            </w:r>
            <w:r>
              <w:rPr>
                <w:rFonts w:ascii="Arial" w:cs="Arial" w:eastAsia="Arial" w:hAnsi="Arial"/>
                <w:sz w:val="18"/>
                <w:szCs w:val="18"/>
                <w:color w:val="auto"/>
                <w:w w:val="90"/>
              </w:rPr>
              <w:t>%</w:t>
            </w:r>
          </w:p>
        </w:tc>
        <w:tc>
          <w:tcPr>
            <w:tcW w:w="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r>
              <w:rPr>
                <w:rFonts w:ascii="Arial" w:cs="Arial" w:eastAsia="Arial" w:hAnsi="Arial"/>
                <w:sz w:val="18"/>
                <w:szCs w:val="18"/>
                <w:color w:val="auto"/>
              </w:rPr>
              <w:t>%</w:t>
            </w:r>
          </w:p>
        </w:tc>
      </w:tr>
      <w:tr>
        <w:trPr>
          <w:trHeight w:val="257"/>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tcPr>
          <w:p>
            <w:pPr>
              <w:spacing w:after="0"/>
              <w:rPr>
                <w:sz w:val="22"/>
                <w:szCs w:val="22"/>
                <w:color w:val="auto"/>
              </w:rPr>
            </w:pPr>
          </w:p>
        </w:tc>
        <w:tc>
          <w:tcPr>
            <w:tcW w:w="120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14.08</w:t>
            </w:r>
            <w:r>
              <w:rPr>
                <w:rFonts w:ascii="Arial" w:cs="Arial" w:eastAsia="Arial" w:hAnsi="Arial"/>
                <w:sz w:val="29"/>
                <w:szCs w:val="29"/>
                <w:color w:val="auto"/>
                <w:vertAlign w:val="superscript"/>
              </w:rPr>
              <w:t>(6)</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340"/>
              <w:spacing w:after="0" w:line="256" w:lineRule="exact"/>
              <w:rPr>
                <w:sz w:val="20"/>
                <w:szCs w:val="20"/>
                <w:color w:val="auto"/>
              </w:rPr>
            </w:pPr>
            <w:r>
              <w:rPr>
                <w:rFonts w:ascii="Arial" w:cs="Arial" w:eastAsia="Arial" w:hAnsi="Arial"/>
                <w:sz w:val="18"/>
                <w:szCs w:val="18"/>
                <w:color w:val="auto"/>
                <w:w w:val="97"/>
              </w:rPr>
              <w:t>(13.67)</w:t>
            </w:r>
            <w:r>
              <w:rPr>
                <w:rFonts w:ascii="Arial" w:cs="Arial" w:eastAsia="Arial" w:hAnsi="Arial"/>
                <w:sz w:val="29"/>
                <w:szCs w:val="29"/>
                <w:color w:val="auto"/>
                <w:w w:val="97"/>
                <w:vertAlign w:val="superscript"/>
              </w:rPr>
              <w:t>(7)</w:t>
            </w:r>
            <w:r>
              <w:rPr>
                <w:rFonts w:ascii="Arial" w:cs="Arial" w:eastAsia="Arial" w:hAnsi="Arial"/>
                <w:sz w:val="18"/>
                <w:szCs w:val="18"/>
                <w:color w:val="auto"/>
                <w:w w:val="97"/>
              </w:rPr>
              <w:t>%</w:t>
            </w: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w w:val="97"/>
              </w:rPr>
              <w:t>19,320,100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w w:val="97"/>
              </w:rPr>
              <w:t>19,320,100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5,520,100</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assets at end of year/period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w w:val="87"/>
              </w:rPr>
              <w:t>287,966,444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w w:val="87"/>
              </w:rPr>
              <w:t>252,582,801</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71,503,248</w:t>
            </w:r>
          </w:p>
        </w:tc>
      </w:tr>
      <w:tr>
        <w:trPr>
          <w:trHeight w:val="216"/>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250,121,052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208,050,344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44,532,523</w:t>
            </w:r>
          </w:p>
        </w:tc>
      </w:tr>
      <w:tr>
        <w:trPr>
          <w:trHeight w:val="205"/>
        </w:trPr>
        <w:tc>
          <w:tcPr>
            <w:tcW w:w="390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w:t>
            </w:r>
          </w:p>
        </w:tc>
        <w:tc>
          <w:tcPr>
            <w:tcW w:w="100" w:type="dxa"/>
            <w:vAlign w:val="bottom"/>
            <w:shd w:val="clear" w:color="auto" w:fill="CCFFCC"/>
          </w:tcPr>
          <w:p>
            <w:pPr>
              <w:spacing w:after="0"/>
              <w:rPr>
                <w:sz w:val="17"/>
                <w:szCs w:val="17"/>
                <w:color w:val="auto"/>
              </w:rPr>
            </w:pPr>
          </w:p>
        </w:tc>
        <w:tc>
          <w:tcPr>
            <w:tcW w:w="1200" w:type="dxa"/>
            <w:vAlign w:val="bottom"/>
            <w:gridSpan w:val="2"/>
            <w:shd w:val="clear" w:color="auto" w:fill="CCFFCC"/>
          </w:tcPr>
          <w:p>
            <w:pPr>
              <w:jc w:val="right"/>
              <w:ind w:right="140"/>
              <w:spacing w:after="0" w:line="206" w:lineRule="exact"/>
              <w:rPr>
                <w:sz w:val="20"/>
                <w:szCs w:val="20"/>
                <w:color w:val="auto"/>
              </w:rPr>
            </w:pPr>
            <w:r>
              <w:rPr>
                <w:rFonts w:ascii="Arial" w:cs="Arial" w:eastAsia="Arial" w:hAnsi="Arial"/>
                <w:sz w:val="18"/>
                <w:szCs w:val="18"/>
                <w:color w:val="auto"/>
              </w:rPr>
              <w:t>8.83%</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gridSpan w:val="2"/>
            <w:shd w:val="clear" w:color="auto" w:fill="CCFFCC"/>
          </w:tcPr>
          <w:p>
            <w:pPr>
              <w:jc w:val="right"/>
              <w:ind w:right="140"/>
              <w:spacing w:after="0" w:line="206"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8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20" w:type="dxa"/>
            <w:vAlign w:val="bottom"/>
            <w:shd w:val="clear" w:color="auto" w:fill="CCFFCC"/>
          </w:tcPr>
          <w:p>
            <w:pPr>
              <w:spacing w:after="0"/>
              <w:rPr>
                <w:sz w:val="23"/>
                <w:szCs w:val="23"/>
                <w:color w:val="auto"/>
              </w:rPr>
            </w:pPr>
          </w:p>
        </w:tc>
        <w:tc>
          <w:tcPr>
            <w:tcW w:w="388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r>
      <w:tr>
        <w:trPr>
          <w:trHeight w:val="205"/>
        </w:trPr>
        <w:tc>
          <w:tcPr>
            <w:tcW w:w="390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8.83%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4.10%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5.01%</w:t>
            </w:r>
          </w:p>
        </w:tc>
      </w:tr>
      <w:tr>
        <w:trPr>
          <w:trHeight w:val="267"/>
        </w:trPr>
        <w:tc>
          <w:tcPr>
            <w:tcW w:w="20" w:type="dxa"/>
            <w:vAlign w:val="bottom"/>
          </w:tcPr>
          <w:p>
            <w:pPr>
              <w:spacing w:after="0"/>
              <w:rPr>
                <w:sz w:val="23"/>
                <w:szCs w:val="23"/>
                <w:color w:val="auto"/>
              </w:rPr>
            </w:pPr>
          </w:p>
        </w:tc>
        <w:tc>
          <w:tcPr>
            <w:tcW w:w="388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05"/>
        </w:trPr>
        <w:tc>
          <w:tcPr>
            <w:tcW w:w="390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w w:val="96"/>
              </w:rPr>
              <w:t>Annualized ratio of net investment loss to average</w:t>
            </w:r>
          </w:p>
        </w:tc>
        <w:tc>
          <w:tcPr>
            <w:tcW w:w="100" w:type="dxa"/>
            <w:vAlign w:val="bottom"/>
            <w:shd w:val="clear" w:color="auto" w:fill="CCFFCC"/>
          </w:tcPr>
          <w:p>
            <w:pPr>
              <w:spacing w:after="0"/>
              <w:rPr>
                <w:sz w:val="17"/>
                <w:szCs w:val="17"/>
                <w:color w:val="auto"/>
              </w:rPr>
            </w:pPr>
          </w:p>
        </w:tc>
        <w:tc>
          <w:tcPr>
            <w:tcW w:w="1200" w:type="dxa"/>
            <w:vAlign w:val="bottom"/>
            <w:gridSpan w:val="2"/>
            <w:shd w:val="clear" w:color="auto" w:fill="CCFFCC"/>
          </w:tcPr>
          <w:p>
            <w:pPr>
              <w:jc w:val="right"/>
              <w:ind w:right="80"/>
              <w:spacing w:after="0" w:line="206"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gridSpan w:val="2"/>
            <w:shd w:val="clear" w:color="auto" w:fill="CCFFCC"/>
          </w:tcPr>
          <w:p>
            <w:pPr>
              <w:jc w:val="right"/>
              <w:ind w:right="80"/>
              <w:spacing w:after="0" w:line="206" w:lineRule="exact"/>
              <w:rPr>
                <w:sz w:val="20"/>
                <w:szCs w:val="20"/>
                <w:color w:val="auto"/>
              </w:rPr>
            </w:pPr>
            <w:r>
              <w:rPr>
                <w:rFonts w:ascii="Arial" w:cs="Arial" w:eastAsia="Arial" w:hAnsi="Arial"/>
                <w:sz w:val="18"/>
                <w:szCs w:val="18"/>
                <w:color w:val="auto"/>
              </w:rPr>
              <w:t>(3.98)%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20"/>
              <w:spacing w:after="0" w:line="206" w:lineRule="exact"/>
              <w:rPr>
                <w:sz w:val="20"/>
                <w:szCs w:val="20"/>
                <w:color w:val="auto"/>
              </w:rPr>
            </w:pPr>
            <w:r>
              <w:rPr>
                <w:rFonts w:ascii="Arial" w:cs="Arial" w:eastAsia="Arial" w:hAnsi="Arial"/>
                <w:sz w:val="18"/>
                <w:szCs w:val="18"/>
                <w:color w:val="auto"/>
              </w:rPr>
              <w:t>(4.64)%</w:t>
            </w:r>
          </w:p>
        </w:tc>
      </w:tr>
      <w:tr>
        <w:trPr>
          <w:trHeight w:val="267"/>
        </w:trPr>
        <w:tc>
          <w:tcPr>
            <w:tcW w:w="20" w:type="dxa"/>
            <w:vAlign w:val="bottom"/>
            <w:shd w:val="clear" w:color="auto" w:fill="CCFFCC"/>
          </w:tcPr>
          <w:p>
            <w:pPr>
              <w:spacing w:after="0"/>
              <w:rPr>
                <w:sz w:val="23"/>
                <w:szCs w:val="23"/>
                <w:color w:val="auto"/>
              </w:rPr>
            </w:pPr>
          </w:p>
        </w:tc>
        <w:tc>
          <w:tcPr>
            <w:tcW w:w="388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net assets</w:t>
            </w:r>
            <w:r>
              <w:rPr>
                <w:rFonts w:ascii="Arial" w:cs="Arial" w:eastAsia="Arial" w:hAnsi="Arial"/>
                <w:sz w:val="30"/>
                <w:szCs w:val="30"/>
                <w:color w:val="auto"/>
                <w:vertAlign w:val="superscript"/>
              </w:rPr>
              <w:t>(8)</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-2134870</wp:posOffset>
            </wp:positionV>
            <wp:extent cx="521398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year/period.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63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109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ind w:left="300" w:right="559" w:hanging="272"/>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ind w:left="300" w:right="619" w:hanging="272"/>
        <w:spacing w:after="0" w:line="293"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ind w:left="300" w:right="61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964"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121" w:lineRule="exact"/>
        <w:rPr>
          <w:sz w:val="20"/>
          <w:szCs w:val="20"/>
          <w:color w:val="auto"/>
        </w:rPr>
      </w:pPr>
    </w:p>
    <w:p>
      <w:pPr>
        <w:ind w:left="280" w:right="539"/>
        <w:spacing w:after="0" w:line="277" w:lineRule="auto"/>
        <w:rPr>
          <w:sz w:val="20"/>
          <w:szCs w:val="20"/>
          <w:color w:val="auto"/>
        </w:rPr>
      </w:pPr>
      <w:r>
        <w:rPr>
          <w:rFonts w:ascii="Arial" w:cs="Arial" w:eastAsia="Arial" w:hAnsi="Arial"/>
          <w:sz w:val="18"/>
          <w:szCs w:val="18"/>
          <w:color w:val="auto"/>
        </w:rPr>
        <w:t>based upon the change in net asset value per share between the opening and ending net asset values per share and the issuance of common shares in the period. The total returns are not annualized.</w:t>
      </w:r>
    </w:p>
    <w:p>
      <w:pPr>
        <w:spacing w:after="0" w:line="62" w:lineRule="exact"/>
        <w:rPr>
          <w:sz w:val="20"/>
          <w:szCs w:val="20"/>
          <w:color w:val="auto"/>
        </w:rPr>
      </w:pPr>
    </w:p>
    <w:p>
      <w:pPr>
        <w:ind w:left="280" w:right="539" w:hanging="272"/>
        <w:spacing w:after="0" w:line="272" w:lineRule="auto"/>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2013,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1039" w:firstLine="270"/>
        <w:spacing w:after="0" w:line="264" w:lineRule="auto"/>
        <w:rPr>
          <w:sz w:val="20"/>
          <w:szCs w:val="20"/>
          <w:color w:val="auto"/>
        </w:rPr>
      </w:pPr>
      <w:r>
        <w:rPr>
          <w:rFonts w:ascii="Arial" w:cs="Arial" w:eastAsia="Arial" w:hAnsi="Arial"/>
          <w:sz w:val="18"/>
          <w:szCs w:val="18"/>
          <w:color w:val="auto"/>
        </w:rPr>
        <w:t>The Company and its wholly-owned subsidiaries are currently taxable as C Corporations and subject to federal and state corporate income taxes. These subsidiaries hold certain pass-through companies in connection with the Company’s proposed qualification as a RIC beginning with its 2013 taxable year.</w:t>
      </w:r>
    </w:p>
    <w:p>
      <w:pPr>
        <w:spacing w:after="0" w:line="73"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For the three months ended March 31, 2014, neither the Company nor its subsidiaries recorded a current income tax expense or benefit since they had net operating loss and capital loss carryforwards from prior years and a net operating loss for the current period. For the three months ended March 31, 2013, the Company did not recognize a current income tax expense or benefit for the same reasons.</w:t>
      </w:r>
    </w:p>
    <w:p>
      <w:pPr>
        <w:spacing w:after="0" w:line="7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Company and its wholly-owned subsidiaries recorded deferred income tax benefits and expenses for the three months ended March 31, 2014, which consisted primarily of temporary differences related to certain expenses, net operating losses, capital losses and temporary differences arising from differences between the tax basis and financial reporting basis in underlying investments. For the three months ended March 31, 2014, the Company recognized a net deferred income tax provision of $29,366, which is shown as a benefit for taxes on net investment loss of $2,012,914, a provision for taxes on net realized gains of (3,238,531) and a benefit for taxes on unrealized depreciation of $1,254,983 on the Consolidated Statements of Operations. The Company recorded no deferred income tax expense or benefit for the three months ended March 31, 2013 since it provided a full valuation allowance for deferred tax assets, which consisted primarily of net operating losses and temporary differences based on realized losses and unrealized depreciation of investments for financial statement purposes.</w:t>
      </w:r>
    </w:p>
    <w:p>
      <w:pPr>
        <w:spacing w:after="0" w:line="74"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In the first quarter of 2014, the Company revised its estimated annual effective tax rate for net investment loss to reflect a change in valuation allowance from 40.83% to 41.86%, effective January 1, 2014. The change is due to a true-up adjustment in its effective tax rate.</w:t>
      </w:r>
    </w:p>
    <w:p>
      <w:pPr>
        <w:spacing w:after="0" w:line="73" w:lineRule="exact"/>
        <w:rPr>
          <w:sz w:val="20"/>
          <w:szCs w:val="20"/>
          <w:color w:val="auto"/>
        </w:rPr>
      </w:pPr>
    </w:p>
    <w:p>
      <w:pPr>
        <w:ind w:left="40" w:right="799" w:firstLine="270"/>
        <w:spacing w:after="0" w:line="279" w:lineRule="auto"/>
        <w:rPr>
          <w:sz w:val="20"/>
          <w:szCs w:val="20"/>
          <w:color w:val="auto"/>
        </w:rPr>
      </w:pPr>
      <w:r>
        <w:rPr>
          <w:rFonts w:ascii="Arial" w:cs="Arial" w:eastAsia="Arial" w:hAnsi="Arial"/>
          <w:sz w:val="17"/>
          <w:szCs w:val="17"/>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63"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The Company may elect to file an election to be treated for federal income tax purposes as a RIC effective for the 2013 tax year. The Company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(an “SEC Certification”) for the 2013 taxable year. On December 4, 2013, the Company filed an application with the SEC for an SEC</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Certification for the 2013 taxable year, but no assurance can be given that it will receive an SEC Certification. In the event that it does not receive such SEC Certification, the Company will be taxed as a C Corporation.</w:t>
      </w:r>
    </w:p>
    <w:p>
      <w:pPr>
        <w:spacing w:after="0" w:line="62"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 In the event that the Company qualifies as a RIC, the Company itself will no longer be required to recognize deferred tax assets or liabilities.</w:t>
      </w:r>
    </w:p>
    <w:p>
      <w:pPr>
        <w:spacing w:after="0" w:line="64" w:lineRule="exact"/>
        <w:rPr>
          <w:sz w:val="20"/>
          <w:szCs w:val="20"/>
          <w:color w:val="auto"/>
        </w:rPr>
      </w:pPr>
    </w:p>
    <w:p>
      <w:pPr>
        <w:ind w:left="40" w:right="71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Company did not have any unrecognized tax benefits as of the period presented herein. The Company identified its major tax jurisdictions as U.S. federal and California. For the three months ended March 31, 2014, no income tax expenses or related liabilities for uncertain tax positions were recognized for the Company’s open tax years from inception through 2014. The Company is not aware of any tax positions for which it is reasonably possible that the total amount of unrecognized tax benefits will change significantly in the next 12 months.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the Company’s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74"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These funds were used to purchase $10,845,236 of government securities. As of March 31, 2014, 1 US Treasury Strip with a cost of $1,790,785 matured and the proceeds were used by the trustee in accordance with the terms of the escrow agreement. These government securities are shown on the consolidated schedule of investments. The excess funds of $22,139 remaining from the purchase of</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40" w:right="679"/>
        <w:spacing w:after="0" w:line="276" w:lineRule="auto"/>
        <w:rPr>
          <w:sz w:val="20"/>
          <w:szCs w:val="20"/>
          <w:color w:val="auto"/>
        </w:rPr>
      </w:pPr>
      <w:r>
        <w:rPr>
          <w:rFonts w:ascii="Arial" w:cs="Arial" w:eastAsia="Arial" w:hAnsi="Arial"/>
          <w:sz w:val="17"/>
          <w:szCs w:val="17"/>
          <w:color w:val="auto"/>
        </w:rPr>
        <w:t xml:space="preserve">government securities held in escrow will be used to secure the payment of the notes and is included on the Consolidated Statements of Assets and Liabilities. Proceeds from the issuance of the Convertible Senior Notes were offset by offering costs of approximately $3,585,929 that are being amortized over the term of the notes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March 31, 2014, of the total offering costs of $3,585,929 incurred, $3,201,159 remains to be amortized and is included within deferred debt issuance costs on the Consolidated Statements of Assets and Liabilities.</w:t>
      </w:r>
    </w:p>
    <w:p>
      <w:pPr>
        <w:spacing w:after="0" w:line="64"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color w:val="auto"/>
        </w:rPr>
        <w:t>As of March 31,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March 31, 2014 is $179,000 as shown on the Consolidated Statement of Assets and Liabilities. The $620,000 decrease in the estimated fair value of the embedded derivative between December 31, 2013 and March 31, 2014 represents a gain from change in the fair value of embedded derivative as shown on the Consolidated Statement of Operations and Consolidated Statement of Cash Flows.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the new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the Company has made certain customary representations and warranties and the Company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60" w:right="920" w:firstLine="270"/>
        <w:spacing w:after="0" w:line="259" w:lineRule="auto"/>
        <w:rPr>
          <w:sz w:val="20"/>
          <w:szCs w:val="20"/>
          <w:color w:val="auto"/>
        </w:rPr>
      </w:pPr>
      <w:r>
        <w:rPr>
          <w:rFonts w:ascii="Arial" w:cs="Arial" w:eastAsia="Arial" w:hAnsi="Arial"/>
          <w:sz w:val="18"/>
          <w:szCs w:val="18"/>
          <w:color w:val="auto"/>
        </w:rPr>
        <w:t>The Credit Facility is secured by all of the Company’s property and assets, except for its assets pledged to secure certain obligations in connection with the issuance, in September 2013, of the Convertible Senior Notes and, as provided for in the Loan Agreement, as may be pledged in connection with any future issuance by the Company of convertible senior notes on substantially similar terms.</w:t>
      </w:r>
    </w:p>
    <w:p>
      <w:pPr>
        <w:spacing w:after="0" w:line="79" w:lineRule="exact"/>
        <w:rPr>
          <w:sz w:val="20"/>
          <w:szCs w:val="20"/>
          <w:color w:val="auto"/>
        </w:rPr>
      </w:pPr>
    </w:p>
    <w:p>
      <w:pPr>
        <w:ind w:left="60" w:right="880" w:firstLine="270"/>
        <w:spacing w:after="0" w:line="312" w:lineRule="auto"/>
        <w:rPr>
          <w:sz w:val="20"/>
          <w:szCs w:val="20"/>
          <w:color w:val="auto"/>
        </w:rPr>
      </w:pPr>
      <w:r>
        <w:rPr>
          <w:rFonts w:ascii="Arial" w:cs="Arial" w:eastAsia="Arial" w:hAnsi="Arial"/>
          <w:sz w:val="16"/>
          <w:szCs w:val="16"/>
          <w:color w:val="auto"/>
        </w:rPr>
        <w:t>Borrowing under the Credit Facility is subject to the leverage restrictions contained in the Investment Company Act of 1940, as amended. In addition, under the Loan Agreement, and as provided for therein, the Company has agreed not to incur certain additional permitted indebtedness in an aggregate amount exceeding 50% of the Company’s then-applicable net asset value.</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60" w:right="1500" w:firstLine="270"/>
        <w:spacing w:after="0" w:line="269" w:lineRule="auto"/>
        <w:rPr>
          <w:sz w:val="20"/>
          <w:szCs w:val="20"/>
          <w:color w:val="auto"/>
        </w:rPr>
      </w:pPr>
      <w:r>
        <w:rPr>
          <w:rFonts w:ascii="Arial" w:cs="Arial" w:eastAsia="Arial" w:hAnsi="Arial"/>
          <w:sz w:val="18"/>
          <w:szCs w:val="18"/>
          <w:color w:val="auto"/>
        </w:rPr>
        <w:t>Subsequent to March 31, 2014, the Company closed on investments for $11,833,884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42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Industry</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Gross</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Payments</w:t>
            </w:r>
          </w:p>
        </w:tc>
      </w:tr>
      <w:tr>
        <w:trPr>
          <w:trHeight w:val="210"/>
        </w:trPr>
        <w:tc>
          <w:tcPr>
            <w:tcW w:w="2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LED Lighting</w:t>
            </w:r>
          </w:p>
        </w:tc>
        <w:tc>
          <w:tcPr>
            <w:tcW w:w="1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4/1/2014</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FFCC"/>
          </w:tcPr>
          <w:p>
            <w:pPr>
              <w:spacing w:after="0"/>
              <w:rPr>
                <w:sz w:val="18"/>
                <w:szCs w:val="18"/>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Business Education</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4/3/2014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749,040</w:t>
            </w:r>
          </w:p>
        </w:tc>
        <w:tc>
          <w:tcPr>
            <w:tcW w:w="80" w:type="dxa"/>
            <w:vAlign w:val="bottom"/>
          </w:tcPr>
          <w:p>
            <w:pPr>
              <w:spacing w:after="0"/>
              <w:rPr>
                <w:sz w:val="18"/>
                <w:szCs w:val="18"/>
                <w:color w:val="auto"/>
              </w:rPr>
            </w:pPr>
          </w:p>
        </w:tc>
      </w:tr>
      <w:tr>
        <w:trPr>
          <w:trHeight w:val="216"/>
        </w:trPr>
        <w:tc>
          <w:tcPr>
            <w:tcW w:w="2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Incubator</w:t>
            </w:r>
          </w:p>
        </w:tc>
        <w:tc>
          <w:tcPr>
            <w:tcW w:w="1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4/4/2014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238,077</w:t>
            </w:r>
          </w:p>
        </w:tc>
        <w:tc>
          <w:tcPr>
            <w:tcW w:w="80" w:type="dxa"/>
            <w:vAlign w:val="bottom"/>
            <w:shd w:val="clear" w:color="auto" w:fill="CCFFCC"/>
          </w:tcPr>
          <w:p>
            <w:pPr>
              <w:spacing w:after="0"/>
              <w:rPr>
                <w:sz w:val="18"/>
                <w:szCs w:val="18"/>
                <w:color w:val="auto"/>
              </w:rPr>
            </w:pPr>
          </w:p>
        </w:tc>
      </w:tr>
      <w:tr>
        <w:trPr>
          <w:trHeight w:val="257"/>
        </w:trPr>
        <w:tc>
          <w:tcPr>
            <w:tcW w:w="2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GSV Sustainability Partners</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Clean Technology</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4/15/2014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225,250</w:t>
            </w:r>
          </w:p>
        </w:tc>
        <w:tc>
          <w:tcPr>
            <w:tcW w:w="80" w:type="dxa"/>
            <w:vAlign w:val="bottom"/>
          </w:tcPr>
          <w:p>
            <w:pPr>
              <w:spacing w:after="0"/>
              <w:rPr>
                <w:sz w:val="22"/>
                <w:szCs w:val="22"/>
                <w:color w:val="auto"/>
              </w:rPr>
            </w:pPr>
          </w:p>
        </w:tc>
      </w:tr>
      <w:tr>
        <w:trPr>
          <w:trHeight w:val="216"/>
        </w:trPr>
        <w:tc>
          <w:tcPr>
            <w:tcW w:w="2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FFCC"/>
          </w:tcPr>
          <w:p>
            <w:pPr>
              <w:spacing w:after="0"/>
              <w:rPr>
                <w:sz w:val="18"/>
                <w:szCs w:val="18"/>
                <w:color w:val="auto"/>
              </w:rPr>
            </w:pPr>
          </w:p>
        </w:tc>
        <w:tc>
          <w:tcPr>
            <w:tcW w:w="2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Incubator</w:t>
            </w:r>
          </w:p>
        </w:tc>
        <w:tc>
          <w:tcPr>
            <w:tcW w:w="1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9"/>
              </w:rPr>
              <w:t>4/17/2014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348,039</w:t>
            </w:r>
          </w:p>
        </w:tc>
        <w:tc>
          <w:tcPr>
            <w:tcW w:w="80" w:type="dxa"/>
            <w:vAlign w:val="bottom"/>
            <w:shd w:val="clear" w:color="auto" w:fill="CCFFCC"/>
          </w:tcPr>
          <w:p>
            <w:pPr>
              <w:spacing w:after="0"/>
              <w:rPr>
                <w:sz w:val="18"/>
                <w:szCs w:val="18"/>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Declara, Inc.</w:t>
            </w:r>
          </w:p>
        </w:tc>
        <w:tc>
          <w:tcPr>
            <w:tcW w:w="1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Social Cognitive Learning</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4/17/2014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9,973,479</w:t>
            </w:r>
          </w:p>
        </w:tc>
        <w:tc>
          <w:tcPr>
            <w:tcW w:w="80" w:type="dxa"/>
            <w:vAlign w:val="bottom"/>
          </w:tcPr>
          <w:p>
            <w:pPr>
              <w:spacing w:after="0"/>
              <w:rPr>
                <w:sz w:val="18"/>
                <w:szCs w:val="18"/>
                <w:color w:val="auto"/>
              </w:rPr>
            </w:pPr>
          </w:p>
        </w:tc>
      </w:tr>
      <w:tr>
        <w:trPr>
          <w:trHeight w:val="216"/>
        </w:trPr>
        <w:tc>
          <w:tcPr>
            <w:tcW w:w="284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Earlyshares.com</w:t>
            </w:r>
          </w:p>
        </w:tc>
        <w:tc>
          <w:tcPr>
            <w:tcW w:w="160" w:type="dxa"/>
            <w:vAlign w:val="bottom"/>
            <w:tcBorders>
              <w:bottom w:val="single" w:sz="8" w:color="CCFFCC"/>
            </w:tcBorders>
            <w:shd w:val="clear" w:color="auto" w:fill="CCFFCC"/>
          </w:tcPr>
          <w:p>
            <w:pPr>
              <w:spacing w:after="0"/>
              <w:rPr>
                <w:sz w:val="18"/>
                <w:szCs w:val="18"/>
                <w:color w:val="auto"/>
              </w:rPr>
            </w:pPr>
          </w:p>
        </w:tc>
        <w:tc>
          <w:tcPr>
            <w:tcW w:w="21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Equity Crowd Funding</w:t>
            </w:r>
          </w:p>
        </w:tc>
        <w:tc>
          <w:tcPr>
            <w:tcW w:w="1180" w:type="dxa"/>
            <w:vAlign w:val="bottom"/>
            <w:tcBorders>
              <w:bottom w:val="single" w:sz="8" w:color="CCFFCC"/>
            </w:tcBorders>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5/1/2014</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224,999</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11,833,884</w:t>
            </w:r>
          </w:p>
        </w:tc>
        <w:tc>
          <w:tcPr>
            <w:tcW w:w="8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475107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GSV Sustainability Partners is a related party managed by GSV Asset Management.</w:t>
      </w:r>
    </w:p>
    <w:p>
      <w:pPr>
        <w:spacing w:after="0" w:line="117" w:lineRule="exact"/>
        <w:rPr>
          <w:sz w:val="20"/>
          <w:szCs w:val="20"/>
          <w:color w:val="auto"/>
        </w:rPr>
      </w:pPr>
    </w:p>
    <w:p>
      <w:pPr>
        <w:ind w:left="60" w:right="1100" w:firstLine="270"/>
        <w:spacing w:after="0" w:line="269" w:lineRule="auto"/>
        <w:rPr>
          <w:sz w:val="20"/>
          <w:szCs w:val="20"/>
          <w:color w:val="auto"/>
        </w:rPr>
      </w:pPr>
      <w:r>
        <w:rPr>
          <w:rFonts w:ascii="Arial" w:cs="Arial" w:eastAsia="Arial" w:hAnsi="Arial"/>
          <w:sz w:val="18"/>
          <w:szCs w:val="18"/>
          <w:color w:val="auto"/>
        </w:rPr>
        <w:t>Subsequent to March 31, 2014, the Company sold investments for $8,444,133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Share Price</w:t>
            </w: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Net Proceeds</w:t>
            </w:r>
          </w:p>
        </w:tc>
        <w:tc>
          <w:tcPr>
            <w:tcW w:w="2180" w:type="dxa"/>
            <w:vAlign w:val="bottom"/>
          </w:tcPr>
          <w:p>
            <w:pPr>
              <w:spacing w:after="0"/>
              <w:rPr>
                <w:sz w:val="12"/>
                <w:szCs w:val="12"/>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4/11/2014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19.58</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195,831</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4/11/2014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201,439</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4/15/2014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205,938</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4/17/2014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198,151</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4/23/2014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186,200</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4/23/2014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186,965</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4/24/2014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192,854</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4/28/2014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194,690</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4/29/2014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192,508</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4/29/2014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189,353</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Violin Memory, Inc.</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4/11/2014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58,862</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235,966</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Violin Memory, Inc.</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4/11/2014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1,188,636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4,719,254</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Silver Spring Networks, Inc.</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4/15/2014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438,084</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Silver Spring Networks, Inc.</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4/17/2014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610,902</w:t>
            </w:r>
          </w:p>
        </w:tc>
        <w:tc>
          <w:tcPr>
            <w:tcW w:w="2180" w:type="dxa"/>
            <w:vAlign w:val="bottom"/>
          </w:tcPr>
          <w:p>
            <w:pPr>
              <w:spacing w:after="0"/>
              <w:rPr>
                <w:sz w:val="18"/>
                <w:szCs w:val="18"/>
                <w:color w:val="auto"/>
              </w:rPr>
            </w:pPr>
          </w:p>
        </w:tc>
      </w:tr>
      <w:tr>
        <w:trPr>
          <w:trHeight w:val="216"/>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Silver Spring Networks, Inc.</w:t>
            </w:r>
          </w:p>
        </w:tc>
        <w:tc>
          <w:tcPr>
            <w:tcW w:w="122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4/17/2014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15,400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231,281</w:t>
            </w:r>
          </w:p>
        </w:tc>
        <w:tc>
          <w:tcPr>
            <w:tcW w:w="2180" w:type="dxa"/>
            <w:vAlign w:val="bottom"/>
          </w:tcPr>
          <w:p>
            <w:pPr>
              <w:spacing w:after="0"/>
              <w:rPr>
                <w:sz w:val="18"/>
                <w:szCs w:val="18"/>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Silver Spring Networks, Inc.</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4/23/2014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129,958</w:t>
            </w:r>
          </w:p>
        </w:tc>
        <w:tc>
          <w:tcPr>
            <w:tcW w:w="2180" w:type="dxa"/>
            <w:vAlign w:val="bottom"/>
          </w:tcPr>
          <w:p>
            <w:pPr>
              <w:spacing w:after="0"/>
              <w:rPr>
                <w:sz w:val="18"/>
                <w:szCs w:val="18"/>
                <w:color w:val="auto"/>
              </w:rPr>
            </w:pPr>
          </w:p>
        </w:tc>
      </w:tr>
      <w:tr>
        <w:trPr>
          <w:trHeight w:val="216"/>
        </w:trPr>
        <w:tc>
          <w:tcPr>
            <w:tcW w:w="38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Silver Spring Networks, Inc.</w:t>
            </w:r>
          </w:p>
        </w:tc>
        <w:tc>
          <w:tcPr>
            <w:tcW w:w="1220" w:type="dxa"/>
            <w:vAlign w:val="bottom"/>
            <w:tcBorders>
              <w:bottom w:val="single" w:sz="8" w:color="CCFFCC"/>
            </w:tcBorders>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4/23/2014</w:t>
            </w:r>
          </w:p>
        </w:tc>
        <w:tc>
          <w:tcPr>
            <w:tcW w:w="10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9,028</w:t>
            </w:r>
          </w:p>
        </w:tc>
        <w:tc>
          <w:tcPr>
            <w:tcW w:w="1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14.93</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134,759</w:t>
            </w:r>
          </w:p>
        </w:tc>
        <w:tc>
          <w:tcPr>
            <w:tcW w:w="2180" w:type="dxa"/>
            <w:vAlign w:val="bottom"/>
          </w:tcPr>
          <w:p>
            <w:pPr>
              <w:spacing w:after="0"/>
              <w:rPr>
                <w:sz w:val="18"/>
                <w:szCs w:val="18"/>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Total Net Proceeds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8,444,133</w:t>
            </w:r>
          </w:p>
        </w:tc>
        <w:tc>
          <w:tcPr>
            <w:tcW w:w="2180" w:type="dxa"/>
            <w:vAlign w:val="bottom"/>
          </w:tcPr>
          <w:p>
            <w:pPr>
              <w:spacing w:after="0"/>
              <w:rPr>
                <w:sz w:val="18"/>
                <w:szCs w:val="18"/>
                <w:color w:val="auto"/>
              </w:rPr>
            </w:pPr>
          </w:p>
        </w:tc>
      </w:tr>
      <w:tr>
        <w:trPr>
          <w:trHeight w:val="777"/>
        </w:trPr>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GSV Capital’s Board of Directors has authorized a share repurchase program of GSVC stock of up to $10 million over the next</w:t>
      </w:r>
    </w:p>
    <w:p>
      <w:pPr>
        <w:spacing w:after="0" w:line="46" w:lineRule="exact"/>
        <w:rPr>
          <w:sz w:val="20"/>
          <w:szCs w:val="20"/>
          <w:color w:val="auto"/>
        </w:rPr>
      </w:pPr>
    </w:p>
    <w:p>
      <w:pPr>
        <w:ind w:left="40" w:right="899"/>
        <w:spacing w:after="0" w:line="255" w:lineRule="auto"/>
        <w:rPr>
          <w:sz w:val="20"/>
          <w:szCs w:val="20"/>
          <w:color w:val="auto"/>
        </w:rPr>
      </w:pPr>
      <w:r>
        <w:rPr>
          <w:rFonts w:ascii="Arial" w:cs="Arial" w:eastAsia="Arial" w:hAnsi="Arial"/>
          <w:sz w:val="18"/>
          <w:szCs w:val="18"/>
          <w:color w:val="auto"/>
        </w:rPr>
        <w:t>12 months. Under the repurchase program, the Company may repurchase its outstanding common stock in the open market provided that the Company complies with the prohibitions under its Insider Trading policies and procedures and the guidelines specified in Rule 10-B-18 of the Securities Exchange Act of 1934.</w:t>
      </w:r>
    </w:p>
    <w:p>
      <w:pPr>
        <w:spacing w:after="0" w:line="82"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March 31, 2014, the Company has not made any such escrow deposits.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1220" w:firstLine="270"/>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quarterly report on Form 10-Q.</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0" w:right="840"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ind w:left="60" w:right="1080"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ind w:left="60" w:right="860" w:firstLine="270"/>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60" w:right="960" w:firstLine="270"/>
        <w:spacing w:after="0" w:line="262"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following table summarizes the investments we made during the 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Gross Payments</w:t>
            </w:r>
          </w:p>
        </w:tc>
        <w:tc>
          <w:tcPr>
            <w:tcW w:w="2180" w:type="dxa"/>
            <w:vAlign w:val="bottom"/>
          </w:tcPr>
          <w:p>
            <w:pPr>
              <w:spacing w:after="0"/>
              <w:rPr>
                <w:sz w:val="16"/>
                <w:szCs w:val="16"/>
                <w:color w:val="auto"/>
              </w:rPr>
            </w:pPr>
          </w:p>
        </w:tc>
      </w:tr>
      <w:tr>
        <w:trPr>
          <w:trHeight w:val="210"/>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7-Jan-14</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2,984,530</w:t>
            </w:r>
          </w:p>
        </w:tc>
        <w:tc>
          <w:tcPr>
            <w:tcW w:w="218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StormWind, LLC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25-Feb-14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107,725</w:t>
            </w:r>
          </w:p>
        </w:tc>
        <w:tc>
          <w:tcPr>
            <w:tcW w:w="2180" w:type="dxa"/>
            <w:vAlign w:val="bottom"/>
          </w:tcPr>
          <w:p>
            <w:pPr>
              <w:spacing w:after="0"/>
              <w:rPr>
                <w:sz w:val="18"/>
                <w:szCs w:val="18"/>
                <w:color w:val="auto"/>
              </w:rPr>
            </w:pPr>
          </w:p>
        </w:tc>
      </w:tr>
      <w:tr>
        <w:trPr>
          <w:trHeight w:val="216"/>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Incubator</w:t>
            </w: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29-Jan-14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198,000</w:t>
            </w:r>
          </w:p>
        </w:tc>
        <w:tc>
          <w:tcPr>
            <w:tcW w:w="218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Incubator</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4-Mar-14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99,000</w:t>
            </w:r>
          </w:p>
        </w:tc>
        <w:tc>
          <w:tcPr>
            <w:tcW w:w="2180" w:type="dxa"/>
            <w:vAlign w:val="bottom"/>
          </w:tcPr>
          <w:p>
            <w:pPr>
              <w:spacing w:after="0"/>
              <w:rPr>
                <w:sz w:val="18"/>
                <w:szCs w:val="18"/>
                <w:color w:val="auto"/>
              </w:rPr>
            </w:pPr>
          </w:p>
        </w:tc>
      </w:tr>
      <w:tr>
        <w:trPr>
          <w:trHeight w:val="216"/>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Dailybreak, Inc.</w:t>
            </w:r>
          </w:p>
        </w:tc>
        <w:tc>
          <w:tcPr>
            <w:tcW w:w="16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Social Advertising</w:t>
            </w: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11-Feb-14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430,000</w:t>
            </w:r>
          </w:p>
        </w:tc>
        <w:tc>
          <w:tcPr>
            <w:tcW w:w="218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AlwaysOn,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Social Media</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14-Feb-14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232,104</w:t>
            </w:r>
          </w:p>
        </w:tc>
        <w:tc>
          <w:tcPr>
            <w:tcW w:w="2180" w:type="dxa"/>
            <w:vAlign w:val="bottom"/>
          </w:tcPr>
          <w:p>
            <w:pPr>
              <w:spacing w:after="0"/>
              <w:rPr>
                <w:sz w:val="18"/>
                <w:szCs w:val="18"/>
                <w:color w:val="auto"/>
              </w:rPr>
            </w:pPr>
          </w:p>
        </w:tc>
      </w:tr>
      <w:tr>
        <w:trPr>
          <w:trHeight w:val="202"/>
        </w:trPr>
        <w:tc>
          <w:tcPr>
            <w:tcW w:w="296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EdSurge, Inc.</w:t>
            </w: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2"/>
              </w:rPr>
              <w:t>Education Media</w:t>
            </w:r>
          </w:p>
        </w:tc>
        <w:tc>
          <w:tcPr>
            <w:tcW w:w="160" w:type="dxa"/>
            <w:vAlign w:val="bottom"/>
            <w:shd w:val="clear" w:color="auto" w:fill="CCFFCC"/>
          </w:tcPr>
          <w:p>
            <w:pPr>
              <w:spacing w:after="0"/>
              <w:rPr>
                <w:sz w:val="17"/>
                <w:szCs w:val="17"/>
                <w:color w:val="auto"/>
              </w:rPr>
            </w:pPr>
          </w:p>
        </w:tc>
        <w:tc>
          <w:tcPr>
            <w:tcW w:w="15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18-Feb-14</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482,146</w:t>
            </w:r>
          </w:p>
        </w:tc>
        <w:tc>
          <w:tcPr>
            <w:tcW w:w="2180" w:type="dxa"/>
            <w:vAlign w:val="bottom"/>
          </w:tcPr>
          <w:p>
            <w:pPr>
              <w:spacing w:after="0"/>
              <w:rPr>
                <w:sz w:val="17"/>
                <w:szCs w:val="17"/>
                <w:color w:val="auto"/>
              </w:rPr>
            </w:pPr>
          </w:p>
        </w:tc>
      </w:tr>
      <w:tr>
        <w:trPr>
          <w:trHeight w:val="230"/>
        </w:trPr>
        <w:tc>
          <w:tcPr>
            <w:tcW w:w="800" w:type="dxa"/>
            <w:vAlign w:val="bottom"/>
            <w:shd w:val="clear" w:color="auto" w:fill="CCFFCC"/>
          </w:tcPr>
          <w:p>
            <w:pPr>
              <w:spacing w:after="0"/>
              <w:rPr>
                <w:sz w:val="20"/>
                <w:szCs w:val="20"/>
                <w:color w:val="auto"/>
              </w:rPr>
            </w:pPr>
          </w:p>
        </w:tc>
        <w:tc>
          <w:tcPr>
            <w:tcW w:w="2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Platform</w:t>
            </w:r>
          </w:p>
        </w:tc>
        <w:tc>
          <w:tcPr>
            <w:tcW w:w="160" w:type="dxa"/>
            <w:vAlign w:val="bottom"/>
            <w:shd w:val="clear" w:color="auto" w:fill="CCFFCC"/>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19-Feb-14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1,280,000</w:t>
            </w:r>
          </w:p>
        </w:tc>
        <w:tc>
          <w:tcPr>
            <w:tcW w:w="2180" w:type="dxa"/>
            <w:vAlign w:val="bottom"/>
          </w:tcPr>
          <w:p>
            <w:pPr>
              <w:spacing w:after="0"/>
              <w:rPr>
                <w:sz w:val="18"/>
                <w:szCs w:val="18"/>
                <w:color w:val="auto"/>
              </w:rPr>
            </w:pPr>
          </w:p>
        </w:tc>
      </w:tr>
      <w:tr>
        <w:trPr>
          <w:trHeight w:val="202"/>
        </w:trPr>
        <w:tc>
          <w:tcPr>
            <w:tcW w:w="296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JAMF Holdings, Inc.</w:t>
            </w: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5"/>
              </w:rPr>
              <w:t>Mobile Device</w:t>
            </w:r>
          </w:p>
        </w:tc>
        <w:tc>
          <w:tcPr>
            <w:tcW w:w="160" w:type="dxa"/>
            <w:vAlign w:val="bottom"/>
            <w:shd w:val="clear" w:color="auto" w:fill="CCFFCC"/>
          </w:tcPr>
          <w:p>
            <w:pPr>
              <w:spacing w:after="0"/>
              <w:rPr>
                <w:sz w:val="17"/>
                <w:szCs w:val="17"/>
                <w:color w:val="auto"/>
              </w:rPr>
            </w:pPr>
          </w:p>
        </w:tc>
        <w:tc>
          <w:tcPr>
            <w:tcW w:w="15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28-Feb-14</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4,996,044</w:t>
            </w:r>
          </w:p>
        </w:tc>
        <w:tc>
          <w:tcPr>
            <w:tcW w:w="2180" w:type="dxa"/>
            <w:vAlign w:val="bottom"/>
          </w:tcPr>
          <w:p>
            <w:pPr>
              <w:spacing w:after="0"/>
              <w:rPr>
                <w:sz w:val="17"/>
                <w:szCs w:val="17"/>
                <w:color w:val="auto"/>
              </w:rPr>
            </w:pPr>
          </w:p>
        </w:tc>
      </w:tr>
      <w:tr>
        <w:trPr>
          <w:trHeight w:val="230"/>
        </w:trPr>
        <w:tc>
          <w:tcPr>
            <w:tcW w:w="800" w:type="dxa"/>
            <w:vAlign w:val="bottom"/>
            <w:shd w:val="clear" w:color="auto" w:fill="CCFFCC"/>
          </w:tcPr>
          <w:p>
            <w:pPr>
              <w:spacing w:after="0"/>
              <w:rPr>
                <w:sz w:val="20"/>
                <w:szCs w:val="20"/>
                <w:color w:val="auto"/>
              </w:rPr>
            </w:pPr>
          </w:p>
        </w:tc>
        <w:tc>
          <w:tcPr>
            <w:tcW w:w="2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Management</w:t>
            </w:r>
          </w:p>
        </w:tc>
        <w:tc>
          <w:tcPr>
            <w:tcW w:w="160" w:type="dxa"/>
            <w:vAlign w:val="bottom"/>
            <w:shd w:val="clear" w:color="auto" w:fill="CCFFCC"/>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General Assembly Space, Inc.</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6-Mar-14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2,995,658</w:t>
            </w:r>
          </w:p>
        </w:tc>
        <w:tc>
          <w:tcPr>
            <w:tcW w:w="2180" w:type="dxa"/>
            <w:vAlign w:val="bottom"/>
          </w:tcPr>
          <w:p>
            <w:pPr>
              <w:spacing w:after="0"/>
              <w:rPr>
                <w:sz w:val="18"/>
                <w:szCs w:val="18"/>
                <w:color w:val="auto"/>
              </w:rPr>
            </w:pPr>
          </w:p>
        </w:tc>
      </w:tr>
      <w:tr>
        <w:trPr>
          <w:trHeight w:val="216"/>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Assembly Space, Inc.</w:t>
            </w:r>
          </w:p>
        </w:tc>
        <w:tc>
          <w:tcPr>
            <w:tcW w:w="16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21-Mar-14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2,995,983</w:t>
            </w:r>
          </w:p>
        </w:tc>
        <w:tc>
          <w:tcPr>
            <w:tcW w:w="2180" w:type="dxa"/>
            <w:vAlign w:val="bottom"/>
          </w:tcPr>
          <w:p>
            <w:pPr>
              <w:spacing w:after="0"/>
              <w:rPr>
                <w:sz w:val="18"/>
                <w:szCs w:val="18"/>
                <w:color w:val="auto"/>
              </w:rPr>
            </w:pPr>
          </w:p>
        </w:tc>
      </w:tr>
      <w:tr>
        <w:trPr>
          <w:trHeight w:val="202"/>
        </w:trPr>
        <w:tc>
          <w:tcPr>
            <w:tcW w:w="2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7"/>
                <w:szCs w:val="17"/>
                <w:color w:val="auto"/>
              </w:rPr>
            </w:pP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7"/>
              </w:rPr>
              <w:t>Peer to Peer</w:t>
            </w:r>
          </w:p>
        </w:tc>
        <w:tc>
          <w:tcPr>
            <w:tcW w:w="16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93"/>
              </w:rPr>
              <w:t>21-Mar-14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4,999,991</w:t>
            </w:r>
          </w:p>
        </w:tc>
        <w:tc>
          <w:tcPr>
            <w:tcW w:w="218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Ridesharing</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0"/>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21,801,181</w:t>
            </w:r>
          </w:p>
        </w:tc>
        <w:tc>
          <w:tcPr>
            <w:tcW w:w="2180" w:type="dxa"/>
            <w:vAlign w:val="bottom"/>
          </w:tcPr>
          <w:p>
            <w:pPr>
              <w:spacing w:after="0"/>
              <w:rPr>
                <w:sz w:val="18"/>
                <w:szCs w:val="18"/>
                <w:color w:val="auto"/>
              </w:rPr>
            </w:pPr>
          </w:p>
        </w:tc>
      </w:tr>
      <w:tr>
        <w:trPr>
          <w:trHeight w:val="763"/>
        </w:trPr>
        <w:tc>
          <w:tcPr>
            <w:tcW w:w="800" w:type="dxa"/>
            <w:vAlign w:val="bottom"/>
            <w:tcBorders>
              <w:top w:val="single" w:sz="8" w:color="CCFFCC"/>
            </w:tcBorders>
          </w:tcPr>
          <w:p>
            <w:pPr>
              <w:spacing w:after="0"/>
              <w:rPr>
                <w:sz w:val="24"/>
                <w:szCs w:val="24"/>
                <w:color w:val="auto"/>
              </w:rPr>
            </w:pPr>
          </w:p>
        </w:tc>
        <w:tc>
          <w:tcPr>
            <w:tcW w:w="2160" w:type="dxa"/>
            <w:vAlign w:val="bottom"/>
            <w:tcBorders>
              <w:top w:val="single" w:sz="8" w:color="CCFFCC"/>
            </w:tcBorders>
          </w:tcPr>
          <w:p>
            <w:pPr>
              <w:spacing w:after="0"/>
              <w:rPr>
                <w:sz w:val="24"/>
                <w:szCs w:val="24"/>
                <w:color w:val="auto"/>
              </w:rPr>
            </w:pPr>
          </w:p>
        </w:tc>
        <w:tc>
          <w:tcPr>
            <w:tcW w:w="180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FFCC"/>
            </w:tcBorders>
          </w:tcPr>
          <w:p>
            <w:pPr>
              <w:spacing w:after="0"/>
              <w:rPr>
                <w:sz w:val="24"/>
                <w:szCs w:val="24"/>
                <w:color w:val="auto"/>
              </w:rPr>
            </w:pPr>
          </w:p>
        </w:tc>
        <w:tc>
          <w:tcPr>
            <w:tcW w:w="15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-633730</wp:posOffset>
            </wp:positionV>
            <wp:extent cx="52139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investments we disposed of during the 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968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Share Price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3"/>
              </w:rPr>
              <w:t>Net Proceeds</w:t>
            </w:r>
          </w:p>
        </w:tc>
      </w:tr>
      <w:tr>
        <w:trPr>
          <w:trHeight w:val="210"/>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5-Feb-14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6,000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21.11</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126,655</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6-Feb-14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83,991</w:t>
            </w: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7-Feb-14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646,432</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10-Feb-14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210,008</w:t>
            </w:r>
          </w:p>
        </w:tc>
        <w:tc>
          <w:tcPr>
            <w:tcW w:w="80" w:type="dxa"/>
            <w:vAlign w:val="bottom"/>
          </w:tcPr>
          <w:p>
            <w:pPr>
              <w:spacing w:after="0"/>
              <w:rPr>
                <w:sz w:val="18"/>
                <w:szCs w:val="18"/>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12-Feb-14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1,157,940</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12-Feb-14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1,205,224</w:t>
            </w:r>
          </w:p>
        </w:tc>
        <w:tc>
          <w:tcPr>
            <w:tcW w:w="80" w:type="dxa"/>
            <w:vAlign w:val="bottom"/>
          </w:tcPr>
          <w:p>
            <w:pPr>
              <w:spacing w:after="0"/>
              <w:rPr>
                <w:sz w:val="18"/>
                <w:szCs w:val="18"/>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13-Mar-14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228,000</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18-Mar-14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229,989</w:t>
            </w:r>
          </w:p>
        </w:tc>
        <w:tc>
          <w:tcPr>
            <w:tcW w:w="80" w:type="dxa"/>
            <w:vAlign w:val="bottom"/>
          </w:tcPr>
          <w:p>
            <w:pPr>
              <w:spacing w:after="0"/>
              <w:rPr>
                <w:sz w:val="18"/>
                <w:szCs w:val="18"/>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19-Mar-14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222,144</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20-Mar-14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223,290</w:t>
            </w:r>
          </w:p>
        </w:tc>
        <w:tc>
          <w:tcPr>
            <w:tcW w:w="80" w:type="dxa"/>
            <w:vAlign w:val="bottom"/>
          </w:tcPr>
          <w:p>
            <w:pPr>
              <w:spacing w:after="0"/>
              <w:rPr>
                <w:sz w:val="18"/>
                <w:szCs w:val="18"/>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21-Mar-14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22.44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224,420</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24-Mar-14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81,946</w:t>
            </w: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3-Feb-14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60.02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1,500,599</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5-Feb-14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3,058,437</w:t>
            </w:r>
          </w:p>
        </w:tc>
        <w:tc>
          <w:tcPr>
            <w:tcW w:w="80" w:type="dxa"/>
            <w:vAlign w:val="bottom"/>
          </w:tcPr>
          <w:p>
            <w:pPr>
              <w:spacing w:after="0"/>
              <w:rPr>
                <w:sz w:val="18"/>
                <w:szCs w:val="18"/>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6-Feb-14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61.05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1,526,163</w:t>
            </w:r>
          </w:p>
        </w:tc>
        <w:tc>
          <w:tcPr>
            <w:tcW w:w="80" w:type="dxa"/>
            <w:vAlign w:val="bottom"/>
            <w:shd w:val="clear" w:color="auto" w:fill="CCFFC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19-Feb-14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1,626,232</w:t>
            </w:r>
          </w:p>
        </w:tc>
        <w:tc>
          <w:tcPr>
            <w:tcW w:w="80" w:type="dxa"/>
            <w:vAlign w:val="bottom"/>
          </w:tcPr>
          <w:p>
            <w:pPr>
              <w:spacing w:after="0"/>
              <w:rPr>
                <w:sz w:val="18"/>
                <w:szCs w:val="18"/>
                <w:color w:val="auto"/>
              </w:rPr>
            </w:pPr>
          </w:p>
        </w:tc>
      </w:tr>
      <w:tr>
        <w:trPr>
          <w:trHeight w:val="216"/>
        </w:trPr>
        <w:tc>
          <w:tcPr>
            <w:tcW w:w="3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1"/>
              </w:rPr>
              <w:t>27-Feb-14</w:t>
            </w:r>
          </w:p>
        </w:tc>
        <w:tc>
          <w:tcPr>
            <w:tcW w:w="1240" w:type="dxa"/>
            <w:vAlign w:val="bottom"/>
            <w:tcBorders>
              <w:bottom w:val="single" w:sz="8" w:color="CCFFCC"/>
            </w:tcBorders>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1,750,095</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Total Net Proceeds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14,101,565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60" w:right="860" w:firstLine="270"/>
        <w:spacing w:after="0" w:line="277" w:lineRule="auto"/>
        <w:rPr>
          <w:sz w:val="20"/>
          <w:szCs w:val="20"/>
          <w:color w:val="auto"/>
        </w:rPr>
      </w:pPr>
      <w:r>
        <w:rPr>
          <w:rFonts w:ascii="Arial" w:cs="Arial" w:eastAsia="Arial" w:hAnsi="Arial"/>
          <w:sz w:val="18"/>
          <w:szCs w:val="18"/>
          <w:color w:val="auto"/>
        </w:rPr>
        <w:t>The fair value, as of March 31, 2014, of all of our portfolio investments, excluding U.S. Treasury Strips, was $368,023,816. We also held $4,063,165 of unrestricted cash and $22,139 restricted cash on March 31, 2014.</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2014 and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March 31, 2013</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Per Basic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rPr>
              <w:t>Per Basic</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102"/>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40,815</w:t>
            </w:r>
          </w:p>
        </w:tc>
        <w:tc>
          <w:tcPr>
            <w:tcW w:w="160" w:type="dxa"/>
            <w:vAlign w:val="bottom"/>
          </w:tcPr>
          <w:p>
            <w:pPr>
              <w:spacing w:after="0"/>
              <w:rPr>
                <w:sz w:val="18"/>
                <w:szCs w:val="18"/>
                <w:color w:val="auto"/>
              </w:rPr>
            </w:pPr>
          </w:p>
        </w:tc>
        <w:tc>
          <w:tcPr>
            <w:tcW w:w="860" w:type="dxa"/>
            <w:vAlign w:val="bottom"/>
          </w:tcPr>
          <w:p>
            <w:pPr>
              <w:jc w:val="right"/>
              <w:ind w:right="102"/>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4,535</w:t>
            </w:r>
          </w:p>
        </w:tc>
        <w:tc>
          <w:tcPr>
            <w:tcW w:w="1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39,928</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4,535</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b w:val="1"/>
                <w:bCs w:val="1"/>
                <w:color w:val="auto"/>
                <w:w w:val="94"/>
              </w:rPr>
              <w:t>4,848,543</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b w:val="1"/>
                <w:bCs w:val="1"/>
                <w:color w:val="auto"/>
              </w:rPr>
              <w:t>0.25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b w:val="1"/>
                <w:bCs w:val="1"/>
                <w:color w:val="auto"/>
                <w:w w:val="94"/>
              </w:rPr>
              <w:t>2,572,260</w:t>
            </w:r>
          </w:p>
        </w:tc>
        <w:tc>
          <w:tcPr>
            <w:tcW w:w="1140" w:type="dxa"/>
            <w:vAlign w:val="bottom"/>
            <w:gridSpan w:val="2"/>
            <w:shd w:val="clear" w:color="auto" w:fill="CCFFCC"/>
          </w:tcPr>
          <w:p>
            <w:pPr>
              <w:jc w:val="right"/>
              <w:ind w:right="14"/>
              <w:spacing w:after="0"/>
              <w:rPr>
                <w:sz w:val="20"/>
                <w:szCs w:val="20"/>
                <w:color w:val="auto"/>
              </w:rPr>
            </w:pPr>
            <w:r>
              <w:rPr>
                <w:rFonts w:ascii="Arial" w:cs="Arial" w:eastAsia="Arial" w:hAnsi="Arial"/>
                <w:sz w:val="18"/>
                <w:szCs w:val="18"/>
                <w:b w:val="1"/>
                <w:bCs w:val="1"/>
                <w:color w:val="auto"/>
              </w:rPr>
              <w:t>0.13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1,756,196</w:t>
            </w: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1,283,599</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0.07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969,652</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Costs incurred under our administration</w:t>
            </w:r>
          </w:p>
        </w:tc>
        <w:tc>
          <w:tcPr>
            <w:tcW w:w="100" w:type="dxa"/>
            <w:vAlign w:val="bottom"/>
          </w:tcPr>
          <w:p>
            <w:pPr>
              <w:spacing w:after="0"/>
              <w:rPr>
                <w:sz w:val="17"/>
                <w:szCs w:val="17"/>
                <w:color w:val="auto"/>
              </w:rPr>
            </w:pPr>
          </w:p>
        </w:tc>
        <w:tc>
          <w:tcPr>
            <w:tcW w:w="8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908,532</w:t>
            </w:r>
          </w:p>
        </w:tc>
        <w:tc>
          <w:tcPr>
            <w:tcW w:w="1020" w:type="dxa"/>
            <w:vAlign w:val="bottom"/>
            <w:gridSpan w:val="2"/>
          </w:tcPr>
          <w:p>
            <w:pPr>
              <w:jc w:val="right"/>
              <w:ind w:right="102"/>
              <w:spacing w:after="0" w:line="201" w:lineRule="exact"/>
              <w:rPr>
                <w:sz w:val="20"/>
                <w:szCs w:val="20"/>
                <w:color w:val="auto"/>
              </w:rPr>
            </w:pPr>
            <w:r>
              <w:rPr>
                <w:rFonts w:ascii="Arial" w:cs="Arial" w:eastAsia="Arial" w:hAnsi="Arial"/>
                <w:sz w:val="18"/>
                <w:szCs w:val="18"/>
                <w:color w:val="auto"/>
              </w:rPr>
              <w:t>0.05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887,984</w:t>
            </w:r>
          </w:p>
        </w:tc>
        <w:tc>
          <w:tcPr>
            <w:tcW w:w="1140" w:type="dxa"/>
            <w:vAlign w:val="bottom"/>
            <w:gridSpan w:val="2"/>
          </w:tcPr>
          <w:p>
            <w:pPr>
              <w:jc w:val="right"/>
              <w:ind w:right="14"/>
              <w:spacing w:after="0" w:line="201" w:lineRule="exact"/>
              <w:rPr>
                <w:sz w:val="20"/>
                <w:szCs w:val="20"/>
                <w:color w:val="auto"/>
              </w:rPr>
            </w:pPr>
            <w:r>
              <w:rPr>
                <w:rFonts w:ascii="Arial" w:cs="Arial" w:eastAsia="Arial" w:hAnsi="Arial"/>
                <w:sz w:val="18"/>
                <w:szCs w:val="18"/>
                <w:color w:val="auto"/>
              </w:rPr>
              <w:t>0.05</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65,000</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65,250</w:t>
            </w:r>
          </w:p>
        </w:tc>
        <w:tc>
          <w:tcPr>
            <w:tcW w:w="1140" w:type="dxa"/>
            <w:vAlign w:val="bottom"/>
            <w:gridSpan w:val="2"/>
            <w:shd w:val="clear" w:color="auto" w:fill="CCFFCC"/>
          </w:tcPr>
          <w:p>
            <w:pPr>
              <w:jc w:val="right"/>
              <w:ind w:right="14"/>
              <w:spacing w:after="0"/>
              <w:rPr>
                <w:sz w:val="20"/>
                <w:szCs w:val="20"/>
                <w:color w:val="auto"/>
              </w:rPr>
            </w:pPr>
            <w:r>
              <w:rPr>
                <w:rFonts w:ascii="Arial" w:cs="Arial" w:eastAsia="Arial" w:hAnsi="Arial"/>
                <w:sz w:val="18"/>
                <w:szCs w:val="18"/>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456,539</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236,886</w:t>
            </w:r>
          </w:p>
        </w:tc>
        <w:tc>
          <w:tcPr>
            <w:tcW w:w="1140" w:type="dxa"/>
            <w:vAlign w:val="bottom"/>
            <w:gridSpan w:val="2"/>
            <w:shd w:val="clear" w:color="auto" w:fill="CCFFCC"/>
          </w:tcPr>
          <w:p>
            <w:pPr>
              <w:jc w:val="right"/>
              <w:ind w:right="14"/>
              <w:spacing w:after="0"/>
              <w:rPr>
                <w:sz w:val="20"/>
                <w:szCs w:val="20"/>
                <w:color w:val="auto"/>
              </w:rPr>
            </w:pPr>
            <w:r>
              <w:rPr>
                <w:rFonts w:ascii="Arial" w:cs="Arial" w:eastAsia="Arial" w:hAnsi="Arial"/>
                <w:sz w:val="18"/>
                <w:szCs w:val="18"/>
                <w:color w:val="auto"/>
              </w:rPr>
              <w:t>0.01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1,179,725</w:t>
            </w: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Insurance Expense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59,736</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53,013</w:t>
            </w:r>
          </w:p>
        </w:tc>
        <w:tc>
          <w:tcPr>
            <w:tcW w:w="1140" w:type="dxa"/>
            <w:vAlign w:val="bottom"/>
            <w:gridSpan w:val="2"/>
            <w:shd w:val="clear" w:color="auto" w:fill="CCFFCC"/>
          </w:tcPr>
          <w:p>
            <w:pPr>
              <w:jc w:val="right"/>
              <w:ind w:right="14"/>
              <w:spacing w:after="0"/>
              <w:rPr>
                <w:sz w:val="20"/>
                <w:szCs w:val="20"/>
                <w:color w:val="auto"/>
              </w:rPr>
            </w:pPr>
            <w:r>
              <w:rPr>
                <w:rFonts w:ascii="Arial" w:cs="Arial" w:eastAsia="Arial" w:hAnsi="Arial"/>
                <w:sz w:val="18"/>
                <w:szCs w:val="18"/>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Investor Relations Expense</w:t>
            </w: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54,912</w:t>
            </w: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43,562</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18,251</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1,966</w:t>
            </w:r>
          </w:p>
        </w:tc>
        <w:tc>
          <w:tcPr>
            <w:tcW w:w="1140" w:type="dxa"/>
            <w:vAlign w:val="bottom"/>
            <w:gridSpan w:val="2"/>
            <w:shd w:val="clear" w:color="auto" w:fill="CCFFCC"/>
          </w:tcPr>
          <w:p>
            <w:pPr>
              <w:jc w:val="right"/>
              <w:ind w:right="14"/>
              <w:spacing w:after="0"/>
              <w:rPr>
                <w:sz w:val="20"/>
                <w:szCs w:val="20"/>
                <w:color w:val="auto"/>
              </w:rPr>
            </w:pPr>
            <w:r>
              <w:rPr>
                <w:rFonts w:ascii="Arial" w:cs="Arial" w:eastAsia="Arial" w:hAnsi="Arial"/>
                <w:sz w:val="18"/>
                <w:szCs w:val="18"/>
                <w:color w:val="auto"/>
              </w:rPr>
              <w:t>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(620,000)</w:t>
            </w:r>
          </w:p>
        </w:tc>
        <w:tc>
          <w:tcPr>
            <w:tcW w:w="1020" w:type="dxa"/>
            <w:vAlign w:val="bottom"/>
            <w:gridSpan w:val="2"/>
          </w:tcPr>
          <w:p>
            <w:pPr>
              <w:jc w:val="right"/>
              <w:ind w:right="42"/>
              <w:spacing w:after="0" w:line="201" w:lineRule="exact"/>
              <w:rPr>
                <w:sz w:val="20"/>
                <w:szCs w:val="20"/>
                <w:color w:val="auto"/>
              </w:rPr>
            </w:pPr>
            <w:r>
              <w:rPr>
                <w:rFonts w:ascii="Arial" w:cs="Arial" w:eastAsia="Arial" w:hAnsi="Arial"/>
                <w:sz w:val="18"/>
                <w:szCs w:val="18"/>
                <w:color w:val="auto"/>
              </w:rPr>
              <w:t>(0.03)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derivative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w w:val="94"/>
              </w:rPr>
              <w:t>2,012,914</w:t>
            </w:r>
          </w:p>
        </w:tc>
        <w:tc>
          <w:tcPr>
            <w:tcW w:w="1020" w:type="dxa"/>
            <w:vAlign w:val="bottom"/>
            <w:gridSpan w:val="2"/>
            <w:shd w:val="clear" w:color="auto" w:fill="CCFFCC"/>
          </w:tcPr>
          <w:p>
            <w:pPr>
              <w:jc w:val="right"/>
              <w:ind w:right="102"/>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9"/>
              </w:rPr>
              <w:t>(2,794,814)</w:t>
            </w: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9"/>
              </w:rPr>
              <w:t>(2,567,725)</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(0.13)</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960" w:type="dxa"/>
            <w:vAlign w:val="bottom"/>
            <w:gridSpan w:val="3"/>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000" w:type="dxa"/>
            <w:vAlign w:val="bottom"/>
            <w:gridSpan w:val="3"/>
            <w:vMerge w:val="restart"/>
          </w:tcPr>
          <w:p>
            <w:pPr>
              <w:jc w:val="right"/>
              <w:ind w:right="442"/>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2100" w:type="dxa"/>
            <w:vAlign w:val="bottom"/>
            <w:gridSpan w:val="3"/>
            <w:vMerge w:val="restart"/>
          </w:tcPr>
          <w:p>
            <w:pPr>
              <w:jc w:val="right"/>
              <w:ind w:right="497"/>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40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4"/>
                <w:szCs w:val="14"/>
                <w:b w:val="1"/>
                <w:bCs w:val="1"/>
                <w:color w:val="auto"/>
              </w:rPr>
              <w:t>Per Basic</w:t>
            </w:r>
          </w:p>
        </w:tc>
        <w:tc>
          <w:tcPr>
            <w:tcW w:w="16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4"/>
                <w:szCs w:val="14"/>
                <w:b w:val="1"/>
                <w:bCs w:val="1"/>
                <w:color w:val="auto"/>
              </w:rPr>
              <w:t>Per Basic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vMerge w:val="restart"/>
          </w:tcPr>
          <w:p>
            <w:pPr>
              <w:ind w:left="180"/>
              <w:spacing w:after="0"/>
              <w:rPr>
                <w:sz w:val="20"/>
                <w:szCs w:val="20"/>
                <w:color w:val="auto"/>
              </w:rPr>
            </w:pPr>
            <w:r>
              <w:rPr>
                <w:rFonts w:ascii="Arial" w:cs="Arial" w:eastAsia="Arial" w:hAnsi="Arial"/>
                <w:sz w:val="18"/>
                <w:szCs w:val="18"/>
                <w:color w:val="auto"/>
              </w:rPr>
              <w:t>Realized Gain (Loss) on Investments</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102"/>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7,931,745</w:t>
            </w:r>
          </w:p>
        </w:tc>
        <w:tc>
          <w:tcPr>
            <w:tcW w:w="160" w:type="dxa"/>
            <w:vAlign w:val="bottom"/>
          </w:tcPr>
          <w:p>
            <w:pPr>
              <w:spacing w:after="0"/>
              <w:rPr>
                <w:sz w:val="18"/>
                <w:szCs w:val="18"/>
                <w:color w:val="auto"/>
              </w:rPr>
            </w:pP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(3,346,892)</w:t>
            </w:r>
          </w:p>
        </w:tc>
        <w:tc>
          <w:tcPr>
            <w:tcW w:w="16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2"/>
        </w:trPr>
        <w:tc>
          <w:tcPr>
            <w:tcW w:w="20" w:type="dxa"/>
            <w:vAlign w:val="bottom"/>
            <w:shd w:val="clear" w:color="auto" w:fill="CCFFCC"/>
          </w:tcPr>
          <w:p>
            <w:pPr>
              <w:spacing w:after="0"/>
              <w:rPr>
                <w:sz w:val="17"/>
                <w:szCs w:val="17"/>
                <w:color w:val="auto"/>
              </w:rPr>
            </w:pPr>
          </w:p>
        </w:tc>
        <w:tc>
          <w:tcPr>
            <w:tcW w:w="394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rPr>
              <w:t>Benefit/(Provision) for taxes on Net Realized</w:t>
            </w:r>
          </w:p>
        </w:tc>
        <w:tc>
          <w:tcPr>
            <w:tcW w:w="9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7"/>
              </w:rPr>
              <w:t>(3,238,531)</w:t>
            </w:r>
          </w:p>
        </w:tc>
        <w:tc>
          <w:tcPr>
            <w:tcW w:w="1040" w:type="dxa"/>
            <w:vAlign w:val="bottom"/>
            <w:gridSpan w:val="2"/>
            <w:shd w:val="clear" w:color="auto" w:fill="CCFFCC"/>
          </w:tcPr>
          <w:p>
            <w:pPr>
              <w:jc w:val="right"/>
              <w:ind w:right="42"/>
              <w:spacing w:after="0" w:line="201" w:lineRule="exact"/>
              <w:rPr>
                <w:sz w:val="20"/>
                <w:szCs w:val="20"/>
                <w:color w:val="auto"/>
              </w:rPr>
            </w:pPr>
            <w:r>
              <w:rPr>
                <w:rFonts w:ascii="Arial" w:cs="Arial" w:eastAsia="Arial" w:hAnsi="Arial"/>
                <w:sz w:val="18"/>
                <w:szCs w:val="18"/>
                <w:color w:val="auto"/>
              </w:rPr>
              <w:t>(0.17)</w:t>
            </w:r>
          </w:p>
        </w:tc>
        <w:tc>
          <w:tcPr>
            <w:tcW w:w="16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jc w:val="right"/>
              <w:ind w:right="117"/>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Capital Gains/(Losses)</w:t>
            </w: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Change in Unrealized Depreciation on</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7"/>
              </w:rPr>
              <w:t>(3,073,679)</w:t>
            </w:r>
          </w:p>
        </w:tc>
        <w:tc>
          <w:tcPr>
            <w:tcW w:w="1040" w:type="dxa"/>
            <w:vAlign w:val="bottom"/>
            <w:gridSpan w:val="2"/>
          </w:tcPr>
          <w:p>
            <w:pPr>
              <w:jc w:val="right"/>
              <w:ind w:right="42"/>
              <w:spacing w:after="0" w:line="201" w:lineRule="exact"/>
              <w:rPr>
                <w:sz w:val="20"/>
                <w:szCs w:val="20"/>
                <w:color w:val="auto"/>
              </w:rPr>
            </w:pPr>
            <w:r>
              <w:rPr>
                <w:rFonts w:ascii="Arial" w:cs="Arial" w:eastAsia="Arial" w:hAnsi="Arial"/>
                <w:sz w:val="18"/>
                <w:szCs w:val="18"/>
                <w:color w:val="auto"/>
              </w:rPr>
              <w:t>(0.16)</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(1,576,638)</w:t>
            </w:r>
          </w:p>
        </w:tc>
        <w:tc>
          <w:tcPr>
            <w:tcW w:w="1140" w:type="dxa"/>
            <w:vAlign w:val="bottom"/>
            <w:gridSpan w:val="2"/>
          </w:tcPr>
          <w:p>
            <w:pPr>
              <w:jc w:val="right"/>
              <w:ind w:right="57"/>
              <w:spacing w:after="0" w:line="201"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FFCC"/>
          </w:tcPr>
          <w:p>
            <w:pPr>
              <w:spacing w:after="0"/>
              <w:rPr>
                <w:sz w:val="17"/>
                <w:szCs w:val="17"/>
                <w:color w:val="auto"/>
              </w:rPr>
            </w:pPr>
          </w:p>
        </w:tc>
        <w:tc>
          <w:tcPr>
            <w:tcW w:w="394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rPr>
              <w:t>Benefit for taxes on Unrealized Depreciation of</w:t>
            </w:r>
          </w:p>
        </w:tc>
        <w:tc>
          <w:tcPr>
            <w:tcW w:w="960" w:type="dxa"/>
            <w:vAlign w:val="bottom"/>
            <w:shd w:val="clear" w:color="auto" w:fill="CCFFCC"/>
          </w:tcPr>
          <w:p>
            <w:pPr>
              <w:jc w:val="right"/>
              <w:ind w:right="15"/>
              <w:spacing w:after="0" w:line="201" w:lineRule="exact"/>
              <w:rPr>
                <w:sz w:val="20"/>
                <w:szCs w:val="20"/>
                <w:color w:val="auto"/>
              </w:rPr>
            </w:pPr>
            <w:r>
              <w:rPr>
                <w:rFonts w:ascii="Arial" w:cs="Arial" w:eastAsia="Arial" w:hAnsi="Arial"/>
                <w:sz w:val="18"/>
                <w:szCs w:val="18"/>
                <w:color w:val="auto"/>
              </w:rPr>
              <w:t>1,254,983</w:t>
            </w:r>
          </w:p>
        </w:tc>
        <w:tc>
          <w:tcPr>
            <w:tcW w:w="1040" w:type="dxa"/>
            <w:vAlign w:val="bottom"/>
            <w:gridSpan w:val="2"/>
            <w:shd w:val="clear" w:color="auto" w:fill="CCFFCC"/>
          </w:tcPr>
          <w:p>
            <w:pPr>
              <w:jc w:val="right"/>
              <w:ind w:right="102"/>
              <w:spacing w:after="0" w:line="201" w:lineRule="exact"/>
              <w:rPr>
                <w:sz w:val="20"/>
                <w:szCs w:val="20"/>
                <w:color w:val="auto"/>
              </w:rPr>
            </w:pPr>
            <w:r>
              <w:rPr>
                <w:rFonts w:ascii="Arial" w:cs="Arial" w:eastAsia="Arial" w:hAnsi="Arial"/>
                <w:sz w:val="18"/>
                <w:szCs w:val="18"/>
                <w:color w:val="auto"/>
              </w:rPr>
              <w:t>0.06</w:t>
            </w:r>
          </w:p>
        </w:tc>
        <w:tc>
          <w:tcPr>
            <w:tcW w:w="160" w:type="dxa"/>
            <w:vAlign w:val="bottom"/>
            <w:shd w:val="clear" w:color="auto" w:fill="CCFFCC"/>
          </w:tcPr>
          <w:p>
            <w:pPr>
              <w:spacing w:after="0"/>
              <w:rPr>
                <w:sz w:val="17"/>
                <w:szCs w:val="17"/>
                <w:color w:val="auto"/>
              </w:rPr>
            </w:pPr>
          </w:p>
        </w:tc>
        <w:tc>
          <w:tcPr>
            <w:tcW w:w="960" w:type="dxa"/>
            <w:vAlign w:val="bottom"/>
            <w:shd w:val="clear" w:color="auto" w:fill="CCFFCC"/>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jc w:val="right"/>
              <w:ind w:right="117"/>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investments</w:t>
            </w: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Net Increase (Decrease) in Net Assets Resulting</w:t>
            </w:r>
          </w:p>
        </w:tc>
        <w:tc>
          <w:tcPr>
            <w:tcW w:w="960" w:type="dxa"/>
            <w:vAlign w:val="bottom"/>
          </w:tcPr>
          <w:p>
            <w:pPr>
              <w:jc w:val="right"/>
              <w:ind w:right="15"/>
              <w:spacing w:after="0" w:line="201" w:lineRule="exact"/>
              <w:rPr>
                <w:sz w:val="20"/>
                <w:szCs w:val="20"/>
                <w:color w:val="auto"/>
              </w:rPr>
            </w:pPr>
            <w:r>
              <w:rPr>
                <w:rFonts w:ascii="Arial" w:cs="Arial" w:eastAsia="Arial" w:hAnsi="Arial"/>
                <w:sz w:val="18"/>
                <w:szCs w:val="18"/>
                <w:color w:val="auto"/>
              </w:rPr>
              <w:t>79,704</w:t>
            </w:r>
          </w:p>
        </w:tc>
        <w:tc>
          <w:tcPr>
            <w:tcW w:w="1040" w:type="dxa"/>
            <w:vAlign w:val="bottom"/>
            <w:gridSpan w:val="2"/>
          </w:tcPr>
          <w:p>
            <w:pPr>
              <w:jc w:val="right"/>
              <w:ind w:right="102"/>
              <w:spacing w:after="0" w:line="201" w:lineRule="exact"/>
              <w:rPr>
                <w:sz w:val="20"/>
                <w:szCs w:val="20"/>
                <w:color w:val="auto"/>
              </w:rPr>
            </w:pPr>
            <w:r>
              <w:rPr>
                <w:rFonts w:ascii="Arial" w:cs="Arial" w:eastAsia="Arial" w:hAnsi="Arial"/>
                <w:sz w:val="18"/>
                <w:szCs w:val="18"/>
                <w:color w:val="auto"/>
              </w:rPr>
              <w:t>0.00</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(7,491,255)</w:t>
            </w:r>
          </w:p>
        </w:tc>
        <w:tc>
          <w:tcPr>
            <w:tcW w:w="1140" w:type="dxa"/>
            <w:vAlign w:val="bottom"/>
            <w:gridSpan w:val="2"/>
          </w:tcPr>
          <w:p>
            <w:pPr>
              <w:jc w:val="right"/>
              <w:ind w:right="57"/>
              <w:spacing w:after="0" w:line="201"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Arial" w:cs="Arial" w:eastAsia="Arial" w:hAnsi="Arial"/>
                <w:sz w:val="18"/>
                <w:szCs w:val="18"/>
                <w:color w:val="auto"/>
              </w:rPr>
              <w:t>From Operations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69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a weighted-average of 19,320,100 and 19,320,100 shares outstanding for the three months ended March 31, 2014 and March 31, 2013,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income increased from $4,535 for the three months ended March 31, 2013 to $40,815,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31, 214. The increase in investment income for the three months ended March 31, 2014 relative to the three months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2013, was primarily due to the addition of three new term loans during the quarter ended March 31, 2014.</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 w:right="639" w:firstLine="270"/>
        <w:spacing w:after="0" w:line="272" w:lineRule="auto"/>
        <w:rPr>
          <w:sz w:val="20"/>
          <w:szCs w:val="20"/>
          <w:color w:val="auto"/>
        </w:rPr>
      </w:pPr>
      <w:r>
        <w:rPr>
          <w:rFonts w:ascii="Arial" w:cs="Arial" w:eastAsia="Arial" w:hAnsi="Arial"/>
          <w:sz w:val="17"/>
          <w:szCs w:val="17"/>
          <w:color w:val="auto"/>
        </w:rPr>
        <w:t>Total operating expenses increased from $2,572,260 for the three months ended March 31, 2013 to $4,848,543, for the three months ended March 31, 2014. The increase in our total operating expenses for the three months ended March 31, 2014 relative to the three months ended March 31, 2013, was primarily due to the increased interest expense and incentive fees. Interest expense resulted from the Convertible Senior Notes and the Credit Facility. These borrowings have enabled us to increase our portfolio significantly and continue to invest in emerging companies with high-growth potential. Refer to “Overview” for a further discussion of our investment philosophy. The incentive fees result from the significant appreciation in our portfolio for the three months ended March 31, 2014 relative to the three months ended March 31, 2013.</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and (Losses) on Investments</w:t>
      </w:r>
    </w:p>
    <w:p>
      <w:pPr>
        <w:spacing w:after="0" w:line="117" w:lineRule="exact"/>
        <w:rPr>
          <w:sz w:val="20"/>
          <w:szCs w:val="20"/>
          <w:color w:val="auto"/>
        </w:rPr>
      </w:pPr>
    </w:p>
    <w:p>
      <w:pPr>
        <w:ind w:left="60" w:right="519" w:firstLine="270"/>
        <w:spacing w:after="0" w:line="293" w:lineRule="auto"/>
        <w:rPr>
          <w:sz w:val="20"/>
          <w:szCs w:val="20"/>
          <w:color w:val="auto"/>
        </w:rPr>
      </w:pPr>
      <w:r>
        <w:rPr>
          <w:rFonts w:ascii="Arial" w:cs="Arial" w:eastAsia="Arial" w:hAnsi="Arial"/>
          <w:sz w:val="16"/>
          <w:szCs w:val="16"/>
          <w:color w:val="auto"/>
        </w:rPr>
        <w:t>For the three months ended March 31, 2014, we had $7,931,745 of realized capital gains, which represents a significant increase from the three months ended March 31, 2013, during which we incurred $3,346,892 of realized capital losses. The increase in our net realized gains on investments for the three months ended March 31, 2014 relative to the three months ended March 31, 2013, was primarily due to the sales of our shares of Facebook, Inc. and Control4 Corporation. The increased realized gains during the quarter highlight the success we have had in achieving our investment philosophy of investing in emerging companies with high-growth potential. Refer to “Overview” for a further discussion of our investment philosophy.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Depreciation of Investments</w:t>
      </w:r>
    </w:p>
    <w:p>
      <w:pPr>
        <w:spacing w:after="0" w:line="117"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Net change in unrealized depreciation of investments increased from $1,576,638 for the three months ended March 31, 2013 to $3,073,679, for the three months ended March 31, 2104. The increase in our net change in unrealized depreciation of investments for the three months ended March 31, 2014 relative to the three months ended March 31, 2013, was primarily due to decreases in the fair value of Twitter, Inc. and Facebook, Inc. for the three months ended March 31, 2014.</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117"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For the three months ended March 31, 2014, our net increase in net assets resulting from operations was $79,704, which represents a significant increase compared to the three months ended March 31, 2013, during which we incurred a $7,491,255 net decrease in net assets resulting from operations. The increase in our net assets resulting from operations was the result of increased realized gains during the three months ended March 31, 2014 relative to the three months ended March 31, 2013 offset by an increase in our net change in unrealized depreciation of investments.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March 31, 2014, we had investments in 52 portfolio companies with costs totaling $295,437,666; U.S. Treasury Strips of</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$9,054,451, unrestricted cash of $4,063,165, and restricted cash of $22,139. The Company’s portfolio investments are pledged first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secure the payment of both principal and interest on the 2013 Convertible Senior Notes, thereafter the portfolio investments are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pledged as collateral to secure any borrowings under the Credit Facility.</w:t>
      </w:r>
    </w:p>
    <w:p>
      <w:pPr>
        <w:spacing w:after="0" w:line="103"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On September 17, 2013, we issued $69,000,000 aggregate principal amount of the Convertible Senior Notes (the “Convertible Notes”) (including $9,000,000 aggregate principal amount issued pursuant to the exercise of the initial purchasers’ option to purchase additional Convertible Notes). The Convertible Notes bear interest at a fixed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 unless previously purchased or converted in accordance with their terms. We do not have the right to redeem the Convertible Notes prior to maturity.</w:t>
      </w:r>
    </w:p>
    <w:p>
      <w:pPr>
        <w:spacing w:after="0" w:line="58" w:lineRule="exact"/>
        <w:rPr>
          <w:sz w:val="20"/>
          <w:szCs w:val="20"/>
          <w:color w:val="auto"/>
        </w:rPr>
      </w:pPr>
    </w:p>
    <w:p>
      <w:pPr>
        <w:ind w:left="40" w:right="839" w:firstLine="270"/>
        <w:spacing w:after="0" w:line="286" w:lineRule="auto"/>
        <w:rPr>
          <w:sz w:val="20"/>
          <w:szCs w:val="20"/>
          <w:color w:val="auto"/>
        </w:rPr>
      </w:pPr>
      <w:r>
        <w:rPr>
          <w:rFonts w:ascii="Arial" w:cs="Arial" w:eastAsia="Arial" w:hAnsi="Arial"/>
          <w:sz w:val="17"/>
          <w:szCs w:val="17"/>
          <w:color w:val="auto"/>
        </w:rPr>
        <w:t>We entered into a Loan and Security Agreement (the “Loan Agreement”), effective December 31, 2013, with Silicon Valley Bank to provide us with a new $18 million credit facility (the “Credit Facility”). Under the Credit Facility, we are permitted to borrow an amount equal to the lesser of $18 million or 20% of our then-current net asset value.</w:t>
      </w:r>
    </w:p>
    <w:p>
      <w:pPr>
        <w:spacing w:after="0" w:line="5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2014, we had $18,000,000 in borrowings outstanding under the Credit Facility.</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March 31, 2014, except for amounts retained for purposes of funding our ongoing expenses. For the three months ended March 31, 2014, cash used in operating activities, consisting primarily of investment activity, was approximately $21.1 million.</w:t>
      </w:r>
    </w:p>
    <w:p>
      <w:pPr>
        <w:spacing w:after="0" w:line="79"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Our current policy is to maintain cash reserves and liquid securities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$11,493,204 in accrued incentive fees, $1,756,196 in investment management fees and $908,532 in costs incurred under the administration agreement for three months ended March 31, 2014.</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2014, the fair value of our level 1 portfolio investments, which are not subject to lock-up, was $20,551,717.</w:t>
      </w:r>
    </w:p>
    <w:p>
      <w:pPr>
        <w:spacing w:after="0" w:line="200" w:lineRule="exact"/>
        <w:rPr>
          <w:sz w:val="20"/>
          <w:szCs w:val="20"/>
          <w:color w:val="auto"/>
        </w:rPr>
      </w:pP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19" w:firstLine="270"/>
        <w:spacing w:after="0" w:line="273" w:lineRule="auto"/>
        <w:rPr>
          <w:sz w:val="20"/>
          <w:szCs w:val="20"/>
          <w:color w:val="auto"/>
        </w:rPr>
      </w:pPr>
      <w:r>
        <w:rPr>
          <w:rFonts w:ascii="Arial" w:cs="Arial" w:eastAsia="Arial" w:hAnsi="Arial"/>
          <w:sz w:val="17"/>
          <w:szCs w:val="17"/>
          <w:color w:val="auto"/>
        </w:rPr>
        <w:t>As of March 31, 2014, the fair value of our portfolio investments was $368.0 million.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057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4"/>
          </w:tcPr>
          <w:p>
            <w:pPr>
              <w:ind w:left="460"/>
              <w:spacing w:after="0"/>
              <w:rPr>
                <w:sz w:val="20"/>
                <w:szCs w:val="20"/>
                <w:color w:val="auto"/>
              </w:rPr>
            </w:pPr>
            <w:r>
              <w:rPr>
                <w:rFonts w:ascii="Arial" w:cs="Arial" w:eastAsia="Arial" w:hAnsi="Arial"/>
                <w:sz w:val="14"/>
                <w:szCs w:val="14"/>
                <w:b w:val="1"/>
                <w:bCs w:val="1"/>
                <w:color w:val="auto"/>
              </w:rPr>
              <w:t>Payments Due By Period(dollars in millions)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w w:val="90"/>
              </w:rPr>
              <w:t>Less than 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89"/>
              </w:rPr>
              <w:t>1 – 3 years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30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3040" w:type="dxa"/>
            <w:vAlign w:val="bottom"/>
            <w:gridSpan w:val="3"/>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Convertible Senior Notes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2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2040" w:type="dxa"/>
            <w:vAlign w:val="bottom"/>
            <w:tcBorders>
              <w:top w:val="single" w:sz="8" w:color="CCFFC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8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6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Payable for securities purchased relates to the purchase of the United States Treasury Bill on margin that was unsettled at March 31, 2014. The payable was subsequently repaid on April 4, 2014 when the United States Treasury Bill matured and the $10.0 million deposit with broker which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Total unused amount of the credit facility for three months ended March 31, 2014 was $0.</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weighted average interest rate incurred under the credit facility was 8.00% for the three months ended March 31, 2014.</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899" w:firstLine="270"/>
        <w:spacing w:after="0" w:line="342" w:lineRule="auto"/>
        <w:rPr>
          <w:sz w:val="20"/>
          <w:szCs w:val="20"/>
          <w:color w:val="auto"/>
        </w:rPr>
      </w:pPr>
      <w:r>
        <w:rPr>
          <w:rFonts w:ascii="Arial" w:cs="Arial" w:eastAsia="Arial" w:hAnsi="Arial"/>
          <w:sz w:val="16"/>
          <w:szCs w:val="16"/>
          <w:color w:val="auto"/>
        </w:rPr>
        <w:t>As of March 31, 2014, we had no off-balance sheet arrangements, including any risk management of commodity pricing or other hedging practices. However, we may employ hedging and other risk management techniques in the future.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57" w:lineRule="exact"/>
        <w:rPr>
          <w:sz w:val="20"/>
          <w:szCs w:val="20"/>
          <w:color w:val="auto"/>
        </w:rPr>
      </w:pPr>
    </w:p>
    <w:p>
      <w:pPr>
        <w:ind w:left="60" w:right="539" w:firstLine="270"/>
        <w:spacing w:after="0" w:line="287" w:lineRule="auto"/>
        <w:rPr>
          <w:sz w:val="20"/>
          <w:szCs w:val="20"/>
          <w:color w:val="auto"/>
        </w:rPr>
      </w:pPr>
      <w:r>
        <w:rPr>
          <w:rFonts w:ascii="Arial" w:cs="Arial" w:eastAsia="Arial" w:hAnsi="Arial"/>
          <w:sz w:val="16"/>
          <w:szCs w:val="16"/>
          <w:color w:val="auto"/>
        </w:rPr>
        <w:t>We are currently taxable as a C corporation and subject to federal and state corporation income taxes. We may elect to be treated as a RIC under Subchapter M of the Code, beginning with our 2013 taxable year if the Company is able to satisfy the requirements to be treated as a RIC. However,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If we are unable to qualify as a RIC, we will continue to be taxed as a C corporation under the Code for our 2013 taxable year. We intend to elect to be treated as a RIC for our 2014 taxable year, if management determines that it is in our best interests to do so. To obtain and maintain RIC tax treatment, we must, among other things, distribute at least 90% of our ordinary income and realized net short-term capital gains in excess of realized net long-term capital losses, if any, for each taxable year. See “Material U.S. Federal Income Tax Considerations.” There is no assurance that we will achieve results that will permit the payment of any cash distributions and, to the extent that we issue</w:t>
      </w: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senior securities, we will be prohibited from making distributions if doing so causes us to fail to maintain the asset coverage ratios stipulated by the 1940 Act or if distributions are limited by the terms of any of our borrowings.</w:t>
      </w:r>
    </w:p>
    <w:p>
      <w:pPr>
        <w:spacing w:after="0" w:line="62"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759" w:firstLine="270"/>
        <w:spacing w:after="0" w:line="253" w:lineRule="auto"/>
        <w:rPr>
          <w:sz w:val="20"/>
          <w:szCs w:val="20"/>
          <w:color w:val="auto"/>
        </w:rPr>
      </w:pPr>
      <w:r>
        <w:rPr>
          <w:rFonts w:ascii="Arial" w:cs="Arial" w:eastAsia="Arial" w:hAnsi="Arial"/>
          <w:sz w:val="18"/>
          <w:szCs w:val="18"/>
          <w:color w:val="auto"/>
        </w:rPr>
        <w:t>On September 17, 2013, the Company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9"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placed $10,845,236 of government securities in an escrow account with the Trustee. As of March 31, 2014, 1 US Treasury Strip with a cost of $1,790,785 matured and the proceeds were used by the trustee in accordance with the terms of the escrow agreement. These government securities are shown on the consolidated schedule of investments.</w:t>
      </w:r>
    </w:p>
    <w:p>
      <w:pPr>
        <w:spacing w:after="0" w:line="89"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color w:val="auto"/>
        </w:rPr>
        <w:t>As of March 31,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719" w:firstLine="270"/>
        <w:spacing w:after="0" w:line="264"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the new $18 million Credit Facility. Under the Credit Facility, we are permitted to borrow an amount equal to the lesser of $18 million or 20% of our then-current net asset value.</w:t>
      </w:r>
    </w:p>
    <w:p>
      <w:pPr>
        <w:spacing w:after="0" w:line="73" w:lineRule="exact"/>
        <w:rPr>
          <w:sz w:val="20"/>
          <w:szCs w:val="20"/>
          <w:color w:val="auto"/>
        </w:rPr>
      </w:pPr>
    </w:p>
    <w:p>
      <w:pPr>
        <w:ind w:left="40" w:right="639" w:firstLine="270"/>
        <w:spacing w:after="0" w:line="25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4"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39"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40" w:right="799" w:firstLine="270"/>
        <w:spacing w:after="0" w:line="291" w:lineRule="auto"/>
        <w:rPr>
          <w:sz w:val="20"/>
          <w:szCs w:val="20"/>
          <w:color w:val="auto"/>
        </w:rPr>
      </w:pPr>
      <w:r>
        <w:rPr>
          <w:rFonts w:ascii="Arial" w:cs="Arial" w:eastAsia="Arial" w:hAnsi="Arial"/>
          <w:sz w:val="16"/>
          <w:szCs w:val="16"/>
          <w:color w:val="auto"/>
        </w:rPr>
        <w:t>We entered into an investment advisory agreement with GSV Asset Management (the “Advisory Agreement”) in connection with our initial public offering. Pursuant to the Advisory Agreement, GSV Asset Management will be paid a base annual fee of</w:t>
      </w:r>
    </w:p>
    <w:p>
      <w:pPr>
        <w:ind w:left="40" w:right="539"/>
        <w:spacing w:after="0" w:line="268" w:lineRule="auto"/>
        <w:rPr>
          <w:sz w:val="20"/>
          <w:szCs w:val="20"/>
          <w:color w:val="auto"/>
        </w:rPr>
      </w:pPr>
      <w:r>
        <w:rPr>
          <w:rFonts w:ascii="Arial" w:cs="Arial" w:eastAsia="Arial" w:hAnsi="Arial"/>
          <w:sz w:val="17"/>
          <w:szCs w:val="17"/>
          <w:color w:val="auto"/>
        </w:rPr>
        <w:t>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$1,756,196 and $1,283,599 in base management fees and $0 in incentive fees for the three months ended March 31, 2014 and March 31, 2013, respectively. For the three months ended March 31, 2014 and March 31, 2013, respectively, we accrued incentive fees of $969,652, and $0, in accordance with the AICPA’s TPA (TIS 6910.2) which considers the hypothetical liquidation value of our investment portfolio as of the measurement date.</w:t>
      </w:r>
    </w:p>
    <w:p>
      <w:pPr>
        <w:spacing w:after="0" w:line="74"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of March 31, 2014, we were owed $0 from GSV Asset Management. In addition as of March 31, 2014, we owed GSV Asset Management $603,199, which relates to the reimbursement of expenses paid for by GSV Asset Management that were the responsibility of the Company.</w:t>
      </w:r>
    </w:p>
    <w:p>
      <w:pPr>
        <w:spacing w:after="0" w:line="73" w:lineRule="exact"/>
        <w:rPr>
          <w:sz w:val="20"/>
          <w:szCs w:val="20"/>
          <w:color w:val="auto"/>
        </w:rPr>
      </w:pPr>
    </w:p>
    <w:p>
      <w:pPr>
        <w:jc w:val="both"/>
        <w:ind w:left="40" w:right="699" w:firstLine="270"/>
        <w:spacing w:after="0" w:line="259" w:lineRule="auto"/>
        <w:rPr>
          <w:sz w:val="20"/>
          <w:szCs w:val="20"/>
          <w:color w:val="auto"/>
        </w:rPr>
      </w:pPr>
      <w:r>
        <w:rPr>
          <w:rFonts w:ascii="Arial" w:cs="Arial" w:eastAsia="Arial" w:hAnsi="Arial"/>
          <w:sz w:val="18"/>
          <w:szCs w:val="18"/>
          <w:color w:val="auto"/>
        </w:rPr>
        <w:t>As of December 31, 2013, we were owed $3,039 from GSV Asset Management for reimbursement of expenses paid for by us that were the responsibility of GSV Asset Management. In addition as of December 31, 2013, we owed GSV Asset Management $563,978, which relates to the reimbursement of expenses paid for by GSV Asset Management that were the responsibility of the Company.</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55"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$908,532 and $887,984 in such costs incurred under the Administration Agreement for the three months ended March 31, 2014, and March 31, 2013 respectively.</w:t>
      </w:r>
    </w:p>
    <w:p>
      <w:pPr>
        <w:spacing w:after="0" w:line="85" w:lineRule="exact"/>
        <w:rPr>
          <w:sz w:val="20"/>
          <w:szCs w:val="20"/>
          <w:color w:val="auto"/>
        </w:rPr>
      </w:pPr>
    </w:p>
    <w:p>
      <w:pPr>
        <w:ind w:left="40" w:right="63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62"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ind w:left="40" w:right="69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ind w:left="40" w:right="69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53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left="40" w:right="77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the Company is able to satisfy the requirements under subchapter M of the Code. If we are not certified by the SEC as “principally engaged in the furnishing of capital to other corporations which are principally engaged in the development or exploitation of inventions, technological improvements, new processes, or products not previously generally available” for our 2013 taxable year, we will not be eligible to elect to be treated as a RIC for our 2013 taxable year. On December 4, 2013 we filed an application with the SEC for this certification, but no assurance can be given that we will receive it, or that we will otherwise qualify as a RIC for our 2013 taxable year. If we are unable to qualify as a RIC, we will continue to be taxed as a C corporation under the Code for our 2013 taxable year. We intend to elect to be treated as a RIC for our 2014 taxable year, if management determines that it is in our best interests to do so. In order to qualify as a RIC, among other things, the Company is required to distribute to its stockholders on a timely basis at least 90% of investment company taxable income, as defined by the Code, for each year, and to meet certain asset diversification requirements on a quarterly basis. So long as the Company qualifies and maintains its status as</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900"/>
        <w:spacing w:after="0" w:line="276" w:lineRule="auto"/>
        <w:rPr>
          <w:sz w:val="20"/>
          <w:szCs w:val="20"/>
          <w:color w:val="auto"/>
        </w:rPr>
      </w:pPr>
      <w:r>
        <w:rPr>
          <w:rFonts w:ascii="Arial" w:cs="Arial" w:eastAsia="Arial" w:hAnsi="Arial"/>
          <w:sz w:val="17"/>
          <w:szCs w:val="17"/>
          <w:color w:val="auto"/>
        </w:rPr>
        <w:t>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The Company cannot assure you whether it will qualify to be treated as a RIC for its 2013 taxable year. If it is not, the Company will continue to be taxed as a C corporation under the Code for its 2013 taxable year.</w:t>
      </w:r>
    </w:p>
    <w:p>
      <w:pPr>
        <w:spacing w:after="0" w:line="64" w:lineRule="exact"/>
        <w:rPr>
          <w:sz w:val="20"/>
          <w:szCs w:val="20"/>
          <w:color w:val="auto"/>
        </w:rPr>
      </w:pPr>
    </w:p>
    <w:p>
      <w:pPr>
        <w:ind w:left="60" w:right="860" w:firstLine="270"/>
        <w:spacing w:after="0" w:line="270"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has identified its major tax jurisdictions as U.S. federal and California, and is not aware of any tax positions for which it is reasonably possible that the total amount of unrecognized tax benefits will change significantly in the next 12 months.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60" w:right="900" w:firstLine="270"/>
        <w:spacing w:after="0" w:line="257" w:lineRule="auto"/>
        <w:rPr>
          <w:sz w:val="20"/>
          <w:szCs w:val="20"/>
          <w:color w:val="auto"/>
        </w:rPr>
      </w:pPr>
      <w:r>
        <w:rPr>
          <w:rFonts w:ascii="Arial" w:cs="Arial" w:eastAsia="Arial" w:hAnsi="Arial"/>
          <w:sz w:val="18"/>
          <w:szCs w:val="18"/>
          <w:color w:val="auto"/>
        </w:rPr>
        <w:t>In June 2013, the Financial Accounting Standards Board issued Accounting Standards Update (“ASU”) 2013-08, Financial Services — Investment Companies (Topic 946): Amendments to the Scope, Measurement, and Disclosure Requirements (“ASU 2013-08”). ASU 2013-08 amends the criteria that define an investment company, clarifies the measurement guidance and requires certain additional disclosures. Public companies are required to apply ASU 2013-08 prospectively for interim and annual reporting periods beginning after December 15, 2013.</w:t>
      </w:r>
    </w:p>
    <w:p>
      <w:pPr>
        <w:spacing w:after="0" w:line="80" w:lineRule="exact"/>
        <w:rPr>
          <w:sz w:val="20"/>
          <w:szCs w:val="20"/>
          <w:color w:val="auto"/>
        </w:rPr>
      </w:pPr>
    </w:p>
    <w:p>
      <w:pPr>
        <w:ind w:left="60" w:right="940"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will have a material impact on its current financial position and results of operations.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0" w:right="1500" w:firstLine="270"/>
        <w:spacing w:after="0" w:line="269" w:lineRule="auto"/>
        <w:rPr>
          <w:sz w:val="20"/>
          <w:szCs w:val="20"/>
          <w:color w:val="auto"/>
        </w:rPr>
      </w:pPr>
      <w:r>
        <w:rPr>
          <w:rFonts w:ascii="Arial" w:cs="Arial" w:eastAsia="Arial" w:hAnsi="Arial"/>
          <w:sz w:val="18"/>
          <w:szCs w:val="18"/>
          <w:color w:val="auto"/>
        </w:rPr>
        <w:t>Subsequent to March 31, 2014, the Company closed on investments for $11,833,884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42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Transaction Date</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Gross Payments</w:t>
            </w:r>
          </w:p>
        </w:tc>
      </w:tr>
      <w:tr>
        <w:trPr>
          <w:trHeight w:val="210"/>
        </w:trPr>
        <w:tc>
          <w:tcPr>
            <w:tcW w:w="26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shd w:val="clear" w:color="auto" w:fill="CCFFCC"/>
          </w:tcPr>
          <w:p>
            <w:pPr>
              <w:spacing w:after="0"/>
              <w:rPr>
                <w:sz w:val="18"/>
                <w:szCs w:val="18"/>
                <w:color w:val="auto"/>
              </w:rPr>
            </w:pPr>
          </w:p>
        </w:tc>
        <w:tc>
          <w:tcPr>
            <w:tcW w:w="20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8"/>
              </w:rPr>
              <w:t>LED Lighting</w:t>
            </w:r>
          </w:p>
        </w:tc>
        <w:tc>
          <w:tcPr>
            <w:tcW w:w="124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1"/>
              </w:rPr>
              <w:t>4/1/2014</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FFCC"/>
          </w:tcPr>
          <w:p>
            <w:pPr>
              <w:spacing w:after="0"/>
              <w:rPr>
                <w:sz w:val="18"/>
                <w:szCs w:val="18"/>
                <w:color w:val="auto"/>
              </w:rPr>
            </w:pPr>
          </w:p>
        </w:tc>
      </w:tr>
      <w:tr>
        <w:trPr>
          <w:trHeight w:val="216"/>
        </w:trPr>
        <w:tc>
          <w:tcPr>
            <w:tcW w:w="2660" w:type="dxa"/>
            <w:vAlign w:val="bottom"/>
            <w:gridSpan w:val="3"/>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4/3/2014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749,040</w:t>
            </w:r>
          </w:p>
        </w:tc>
        <w:tc>
          <w:tcPr>
            <w:tcW w:w="100" w:type="dxa"/>
            <w:vAlign w:val="bottom"/>
          </w:tcPr>
          <w:p>
            <w:pPr>
              <w:spacing w:after="0"/>
              <w:rPr>
                <w:sz w:val="18"/>
                <w:szCs w:val="18"/>
                <w:color w:val="auto"/>
              </w:rPr>
            </w:pPr>
          </w:p>
        </w:tc>
      </w:tr>
      <w:tr>
        <w:trPr>
          <w:trHeight w:val="216"/>
        </w:trPr>
        <w:tc>
          <w:tcPr>
            <w:tcW w:w="26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FFCC"/>
          </w:tcPr>
          <w:p>
            <w:pPr>
              <w:spacing w:after="0"/>
              <w:rPr>
                <w:sz w:val="18"/>
                <w:szCs w:val="18"/>
                <w:color w:val="auto"/>
              </w:rPr>
            </w:pPr>
          </w:p>
        </w:tc>
        <w:tc>
          <w:tcPr>
            <w:tcW w:w="20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Incubator</w:t>
            </w:r>
          </w:p>
        </w:tc>
        <w:tc>
          <w:tcPr>
            <w:tcW w:w="124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1"/>
              </w:rPr>
              <w:t>4/4/2014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238,077</w:t>
            </w:r>
          </w:p>
        </w:tc>
        <w:tc>
          <w:tcPr>
            <w:tcW w:w="100" w:type="dxa"/>
            <w:vAlign w:val="bottom"/>
            <w:shd w:val="clear" w:color="auto" w:fill="CCFFCC"/>
          </w:tcPr>
          <w:p>
            <w:pPr>
              <w:spacing w:after="0"/>
              <w:rPr>
                <w:sz w:val="18"/>
                <w:szCs w:val="18"/>
                <w:color w:val="auto"/>
              </w:rPr>
            </w:pPr>
          </w:p>
        </w:tc>
      </w:tr>
      <w:tr>
        <w:trPr>
          <w:trHeight w:val="257"/>
        </w:trPr>
        <w:tc>
          <w:tcPr>
            <w:tcW w:w="26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GSV Sustainability Partners</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Clean Technology</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4/15/2014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225,250</w:t>
            </w:r>
          </w:p>
        </w:tc>
        <w:tc>
          <w:tcPr>
            <w:tcW w:w="100" w:type="dxa"/>
            <w:vAlign w:val="bottom"/>
          </w:tcPr>
          <w:p>
            <w:pPr>
              <w:spacing w:after="0"/>
              <w:rPr>
                <w:sz w:val="22"/>
                <w:szCs w:val="22"/>
                <w:color w:val="auto"/>
              </w:rPr>
            </w:pPr>
          </w:p>
        </w:tc>
      </w:tr>
      <w:tr>
        <w:trPr>
          <w:trHeight w:val="216"/>
        </w:trPr>
        <w:tc>
          <w:tcPr>
            <w:tcW w:w="26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shd w:val="clear" w:color="auto" w:fill="CCFFCC"/>
          </w:tcPr>
          <w:p>
            <w:pPr>
              <w:spacing w:after="0"/>
              <w:rPr>
                <w:sz w:val="18"/>
                <w:szCs w:val="18"/>
                <w:color w:val="auto"/>
              </w:rPr>
            </w:pPr>
          </w:p>
        </w:tc>
        <w:tc>
          <w:tcPr>
            <w:tcW w:w="20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Incubator</w:t>
            </w:r>
          </w:p>
        </w:tc>
        <w:tc>
          <w:tcPr>
            <w:tcW w:w="124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4/17/2014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348,039</w:t>
            </w:r>
          </w:p>
        </w:tc>
        <w:tc>
          <w:tcPr>
            <w:tcW w:w="100" w:type="dxa"/>
            <w:vAlign w:val="bottom"/>
            <w:shd w:val="clear" w:color="auto" w:fill="CCFFCC"/>
          </w:tcPr>
          <w:p>
            <w:pPr>
              <w:spacing w:after="0"/>
              <w:rPr>
                <w:sz w:val="18"/>
                <w:szCs w:val="18"/>
                <w:color w:val="auto"/>
              </w:rPr>
            </w:pPr>
          </w:p>
        </w:tc>
      </w:tr>
      <w:tr>
        <w:trPr>
          <w:trHeight w:val="216"/>
        </w:trPr>
        <w:tc>
          <w:tcPr>
            <w:tcW w:w="2660" w:type="dxa"/>
            <w:vAlign w:val="bottom"/>
            <w:gridSpan w:val="3"/>
          </w:tcPr>
          <w:p>
            <w:pPr>
              <w:ind w:left="20"/>
              <w:spacing w:after="0"/>
              <w:rPr>
                <w:sz w:val="20"/>
                <w:szCs w:val="20"/>
                <w:color w:val="auto"/>
              </w:rPr>
            </w:pPr>
            <w:r>
              <w:rPr>
                <w:rFonts w:ascii="Arial" w:cs="Arial" w:eastAsia="Arial" w:hAnsi="Arial"/>
                <w:sz w:val="18"/>
                <w:szCs w:val="18"/>
                <w:color w:val="auto"/>
              </w:rPr>
              <w:t>Declara, Inc.</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Social Cognitive Learning</w:t>
            </w:r>
          </w:p>
        </w:tc>
        <w:tc>
          <w:tcPr>
            <w:tcW w:w="12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4/17/2014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9,973,479</w:t>
            </w:r>
          </w:p>
        </w:tc>
        <w:tc>
          <w:tcPr>
            <w:tcW w:w="100" w:type="dxa"/>
            <w:vAlign w:val="bottom"/>
          </w:tcPr>
          <w:p>
            <w:pPr>
              <w:spacing w:after="0"/>
              <w:rPr>
                <w:sz w:val="18"/>
                <w:szCs w:val="18"/>
                <w:color w:val="auto"/>
              </w:rPr>
            </w:pPr>
          </w:p>
        </w:tc>
      </w:tr>
      <w:tr>
        <w:trPr>
          <w:trHeight w:val="216"/>
        </w:trPr>
        <w:tc>
          <w:tcPr>
            <w:tcW w:w="266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Earlyshares.com</w:t>
            </w:r>
          </w:p>
        </w:tc>
        <w:tc>
          <w:tcPr>
            <w:tcW w:w="160" w:type="dxa"/>
            <w:vAlign w:val="bottom"/>
            <w:tcBorders>
              <w:bottom w:val="single" w:sz="8" w:color="CCFFCC"/>
            </w:tcBorders>
            <w:shd w:val="clear" w:color="auto" w:fill="CCFFCC"/>
          </w:tcPr>
          <w:p>
            <w:pPr>
              <w:spacing w:after="0"/>
              <w:rPr>
                <w:sz w:val="18"/>
                <w:szCs w:val="18"/>
                <w:color w:val="auto"/>
              </w:rPr>
            </w:pPr>
          </w:p>
        </w:tc>
        <w:tc>
          <w:tcPr>
            <w:tcW w:w="20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Equity Crowd Funding</w:t>
            </w:r>
          </w:p>
        </w:tc>
        <w:tc>
          <w:tcPr>
            <w:tcW w:w="1240" w:type="dxa"/>
            <w:vAlign w:val="bottom"/>
            <w:tcBorders>
              <w:bottom w:val="single" w:sz="8" w:color="CCFFCC"/>
            </w:tcBorders>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1"/>
              </w:rPr>
              <w:t>5/1/2014</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224,999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660" w:type="dxa"/>
            <w:vAlign w:val="bottom"/>
            <w:gridSpan w:val="3"/>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11,833,884</w:t>
            </w:r>
          </w:p>
        </w:tc>
        <w:tc>
          <w:tcPr>
            <w:tcW w:w="10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475107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GSV Sustainability Partners is a related party managed by GSV Asset Management.</w:t>
      </w:r>
    </w:p>
    <w:p>
      <w:pPr>
        <w:spacing w:after="0" w:line="117" w:lineRule="exact"/>
        <w:rPr>
          <w:sz w:val="20"/>
          <w:szCs w:val="20"/>
          <w:color w:val="auto"/>
        </w:rPr>
      </w:pPr>
    </w:p>
    <w:p>
      <w:pPr>
        <w:ind w:left="60" w:right="1100" w:firstLine="270"/>
        <w:spacing w:after="0" w:line="269" w:lineRule="auto"/>
        <w:rPr>
          <w:sz w:val="20"/>
          <w:szCs w:val="20"/>
          <w:color w:val="auto"/>
        </w:rPr>
      </w:pPr>
      <w:r>
        <w:rPr>
          <w:rFonts w:ascii="Arial" w:cs="Arial" w:eastAsia="Arial" w:hAnsi="Arial"/>
          <w:sz w:val="18"/>
          <w:szCs w:val="18"/>
          <w:color w:val="auto"/>
        </w:rPr>
        <w:t>Subsequent to March 31, 2014, the Company sold investments for $8,444,133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Share Price</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Net Proceeds</w:t>
            </w:r>
          </w:p>
        </w:tc>
        <w:tc>
          <w:tcPr>
            <w:tcW w:w="2180" w:type="dxa"/>
            <w:vAlign w:val="bottom"/>
          </w:tcPr>
          <w:p>
            <w:pPr>
              <w:spacing w:after="0"/>
              <w:rPr>
                <w:sz w:val="16"/>
                <w:szCs w:val="16"/>
                <w:color w:val="auto"/>
              </w:rPr>
            </w:pPr>
          </w:p>
        </w:tc>
      </w:tr>
      <w:tr>
        <w:trPr>
          <w:trHeight w:val="210"/>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4/11/2014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19.58</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195,831</w:t>
            </w:r>
          </w:p>
        </w:tc>
        <w:tc>
          <w:tcPr>
            <w:tcW w:w="2180" w:type="dxa"/>
            <w:vAlign w:val="bottom"/>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4/11/2014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201,439</w:t>
            </w:r>
          </w:p>
        </w:tc>
        <w:tc>
          <w:tcPr>
            <w:tcW w:w="218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4/15/2014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205,938</w:t>
            </w:r>
          </w:p>
        </w:tc>
        <w:tc>
          <w:tcPr>
            <w:tcW w:w="2180" w:type="dxa"/>
            <w:vAlign w:val="bottom"/>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4/17/2014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198,151</w:t>
            </w:r>
          </w:p>
        </w:tc>
        <w:tc>
          <w:tcPr>
            <w:tcW w:w="218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4/23/2014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186,200</w:t>
            </w:r>
          </w:p>
        </w:tc>
        <w:tc>
          <w:tcPr>
            <w:tcW w:w="2180" w:type="dxa"/>
            <w:vAlign w:val="bottom"/>
          </w:tcPr>
          <w:p>
            <w:pPr>
              <w:spacing w:after="0"/>
              <w:rPr>
                <w:sz w:val="18"/>
                <w:szCs w:val="18"/>
                <w:color w:val="auto"/>
              </w:rPr>
            </w:pP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4/23/2014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186,965</w:t>
            </w:r>
          </w:p>
        </w:tc>
        <w:tc>
          <w:tcPr>
            <w:tcW w:w="218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4/24/2014</w:t>
            </w:r>
          </w:p>
        </w:tc>
        <w:tc>
          <w:tcPr>
            <w:tcW w:w="124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192,854</w:t>
            </w:r>
          </w:p>
        </w:tc>
        <w:tc>
          <w:tcPr>
            <w:tcW w:w="2180" w:type="dxa"/>
            <w:vAlign w:val="bottom"/>
          </w:tcPr>
          <w:p>
            <w:pPr>
              <w:spacing w:after="0"/>
              <w:rPr>
                <w:sz w:val="18"/>
                <w:szCs w:val="18"/>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Control4 Corporation</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4/28/2014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194,690</w:t>
            </w:r>
          </w:p>
        </w:tc>
        <w:tc>
          <w:tcPr>
            <w:tcW w:w="2180" w:type="dxa"/>
            <w:vAlign w:val="bottom"/>
          </w:tcPr>
          <w:p>
            <w:pPr>
              <w:spacing w:after="0"/>
              <w:rPr>
                <w:sz w:val="20"/>
                <w:szCs w:val="20"/>
                <w:color w:val="auto"/>
              </w:rPr>
            </w:pPr>
          </w:p>
        </w:tc>
      </w:tr>
      <w:tr>
        <w:trPr>
          <w:trHeight w:val="769"/>
        </w:trPr>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2"/>
          </w:tcPr>
          <w:p>
            <w:pPr>
              <w:jc w:val="right"/>
              <w:ind w:right="788"/>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 Price</w:t>
            </w:r>
          </w:p>
        </w:tc>
        <w:tc>
          <w:tcPr>
            <w:tcW w:w="1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Proceeds</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Control4 Corporation</w:t>
            </w:r>
          </w:p>
        </w:tc>
        <w:tc>
          <w:tcPr>
            <w:tcW w:w="12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4/29/2014</w:t>
            </w:r>
          </w:p>
        </w:tc>
        <w:tc>
          <w:tcPr>
            <w:tcW w:w="12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Control4 Corporation</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4/29/2014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189,353</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Violin Memory, Inc.</w:t>
            </w:r>
          </w:p>
        </w:tc>
        <w:tc>
          <w:tcPr>
            <w:tcW w:w="12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4/11/2014</w:t>
            </w:r>
          </w:p>
        </w:tc>
        <w:tc>
          <w:tcPr>
            <w:tcW w:w="12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58,862</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Violin Memory, Inc.</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4/11/2014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1,188,636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4,719,254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Silver Spring Networks, Inc.</w:t>
            </w:r>
          </w:p>
        </w:tc>
        <w:tc>
          <w:tcPr>
            <w:tcW w:w="12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4/15/2014</w:t>
            </w:r>
          </w:p>
        </w:tc>
        <w:tc>
          <w:tcPr>
            <w:tcW w:w="12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28,500</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Silver Spring Networks, Inc.</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4/17/2014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40,000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610,902</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Silver Spring Networks, Inc.</w:t>
            </w:r>
          </w:p>
        </w:tc>
        <w:tc>
          <w:tcPr>
            <w:tcW w:w="12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4/17/2014</w:t>
            </w:r>
          </w:p>
        </w:tc>
        <w:tc>
          <w:tcPr>
            <w:tcW w:w="12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15,400</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Silver Spring Networks, Inc.</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4/23/2014</w:t>
            </w: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9,100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129,958</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Silver Spring Networks, Inc.</w:t>
            </w:r>
          </w:p>
        </w:tc>
        <w:tc>
          <w:tcPr>
            <w:tcW w:w="12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4/23/2014</w:t>
            </w:r>
          </w:p>
        </w:tc>
        <w:tc>
          <w:tcPr>
            <w:tcW w:w="12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9,028</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14.93</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134,759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1540" w:type="dxa"/>
            <w:vAlign w:val="bottom"/>
            <w:shd w:val="clear" w:color="auto" w:fill="CCFFCC"/>
          </w:tcPr>
          <w:p>
            <w:pPr>
              <w:spacing w:after="0" w:line="20" w:lineRule="exact"/>
              <w:rPr>
                <w:sz w:val="1"/>
                <w:szCs w:val="1"/>
                <w:color w:val="auto"/>
              </w:rPr>
            </w:pPr>
          </w:p>
        </w:tc>
        <w:tc>
          <w:tcPr>
            <w:tcW w:w="1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Total Net Proceeds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1968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GSV Capital’s Board of Directors has authorized a share repurchase program of GSVC stock of up to $10 million over the next</w:t>
      </w:r>
    </w:p>
    <w:p>
      <w:pPr>
        <w:spacing w:after="0" w:line="46" w:lineRule="exact"/>
        <w:rPr>
          <w:sz w:val="20"/>
          <w:szCs w:val="20"/>
          <w:color w:val="auto"/>
        </w:rPr>
      </w:pPr>
    </w:p>
    <w:p>
      <w:pPr>
        <w:ind w:left="60" w:right="899"/>
        <w:spacing w:after="0" w:line="255" w:lineRule="auto"/>
        <w:rPr>
          <w:sz w:val="20"/>
          <w:szCs w:val="20"/>
          <w:color w:val="auto"/>
        </w:rPr>
      </w:pPr>
      <w:r>
        <w:rPr>
          <w:rFonts w:ascii="Arial" w:cs="Arial" w:eastAsia="Arial" w:hAnsi="Arial"/>
          <w:sz w:val="18"/>
          <w:szCs w:val="18"/>
          <w:color w:val="auto"/>
        </w:rPr>
        <w:t>12 months. Under the repurchase program, the Company may repurchase its outstanding common stock in the open market provided that the Company complies with the prohibitions under its Insider Trading policies and procedures and the guidelines specified in Rule 10-B-18 of the Securities Exchange Act of 1934.</w:t>
      </w:r>
    </w:p>
    <w:p>
      <w:pPr>
        <w:spacing w:after="0" w:line="82"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March 31, 2014, the Company has not made any such escrow deposits.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60" w:right="539" w:firstLine="270"/>
        <w:spacing w:after="0" w:line="288" w:lineRule="auto"/>
        <w:rPr>
          <w:sz w:val="20"/>
          <w:szCs w:val="20"/>
          <w:color w:val="auto"/>
        </w:rPr>
      </w:pPr>
      <w:r>
        <w:rPr>
          <w:rFonts w:ascii="Arial" w:cs="Arial" w:eastAsia="Arial" w:hAnsi="Arial"/>
          <w:sz w:val="16"/>
          <w:szCs w:val="16"/>
          <w:color w:val="auto"/>
        </w:rPr>
        <w:t>As of March 31, 2014,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2013,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There have been no material changes during the three months ended March 31, 2014 to the risk factors discussed in Item 1A. Risk Factors in our Annual Report on Form 10-K for the year ended December 31, 2013.</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111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ind w:left="80"/>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9"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Investment Advisory Agreement by and between Registrant and GSV Asset Management, LLC***</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Administration Agreement by and between Registrant and GSV Capital Service Company, LLC***</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Trademark License Agreement by and between Registrant and GSV Asset Management, LLC**</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96520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ind w:left="7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right="859" w:hanging="272"/>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January 17,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in connection with Current Report on Form 8-K (File No. 814-00852) filed on April 10, 2014.</w:t>
      </w:r>
    </w:p>
    <w:p>
      <w:pPr>
        <w:spacing w:after="0" w:line="117" w:lineRule="exact"/>
        <w:rPr>
          <w:sz w:val="20"/>
          <w:szCs w:val="20"/>
          <w:color w:val="auto"/>
        </w:rPr>
      </w:pPr>
    </w:p>
    <w:p>
      <w:pPr>
        <w:ind w:left="280" w:right="779" w:hanging="269"/>
        <w:spacing w:after="0" w:line="277" w:lineRule="auto"/>
        <w:rPr>
          <w:sz w:val="20"/>
          <w:szCs w:val="20"/>
          <w:color w:val="auto"/>
        </w:rPr>
      </w:pPr>
      <w:r>
        <w:rPr>
          <w:rFonts w:ascii="Arial" w:cs="Arial" w:eastAsia="Arial" w:hAnsi="Arial"/>
          <w:sz w:val="18"/>
          <w:szCs w:val="18"/>
          <w:color w:val="auto"/>
        </w:rPr>
        <w:t>***Previously filed in connection with Annual Report for the fiscal year ended December 31, 2013 on Form 10-K (File No. 814-00852), filed on September 31, 2013.</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65"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960" w:firstLine="27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580" w:type="dxa"/>
            <w:vAlign w:val="bottom"/>
            <w:gridSpan w:val="3"/>
          </w:tcPr>
          <w:p>
            <w:pPr>
              <w:ind w:left="1380"/>
              <w:spacing w:after="0" w:line="203" w:lineRule="exact"/>
              <w:rPr>
                <w:sz w:val="20"/>
                <w:szCs w:val="20"/>
                <w:color w:val="auto"/>
              </w:rPr>
            </w:pPr>
            <w:r>
              <w:rPr>
                <w:rFonts w:ascii="Arial" w:cs="Arial" w:eastAsia="Arial" w:hAnsi="Arial"/>
                <w:sz w:val="18"/>
                <w:szCs w:val="18"/>
                <w:b w:val="1"/>
                <w:bCs w:val="1"/>
                <w:color w:val="auto"/>
              </w:rPr>
              <w:t>GSV CAPITAL CORP.</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Date: May 12, 2014</w:t>
            </w:r>
          </w:p>
        </w:tc>
        <w:tc>
          <w:tcPr>
            <w:tcW w:w="7580" w:type="dxa"/>
            <w:vAlign w:val="bottom"/>
            <w:gridSpan w:val="3"/>
          </w:tcPr>
          <w:p>
            <w:pPr>
              <w:ind w:left="1380"/>
              <w:spacing w:after="0"/>
              <w:rPr>
                <w:sz w:val="20"/>
                <w:szCs w:val="20"/>
                <w:color w:val="auto"/>
              </w:rPr>
            </w:pPr>
            <w:r>
              <w:rPr>
                <w:rFonts w:ascii="Arial" w:cs="Arial" w:eastAsia="Arial" w:hAnsi="Arial"/>
                <w:sz w:val="18"/>
                <w:szCs w:val="18"/>
                <w:color w:val="auto"/>
              </w:rPr>
              <w:t>By: /s/ Michael T. Moe</w:t>
            </w:r>
          </w:p>
        </w:tc>
      </w:tr>
      <w:tr>
        <w:trPr>
          <w:trHeight w:val="195"/>
        </w:trPr>
        <w:tc>
          <w:tcPr>
            <w:tcW w:w="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16"/>
        </w:trPr>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Date: May 12, 2014</w:t>
            </w:r>
          </w:p>
        </w:tc>
        <w:tc>
          <w:tcPr>
            <w:tcW w:w="7580" w:type="dxa"/>
            <w:vAlign w:val="bottom"/>
            <w:gridSpan w:val="3"/>
          </w:tcPr>
          <w:p>
            <w:pPr>
              <w:ind w:left="1380"/>
              <w:spacing w:after="0"/>
              <w:rPr>
                <w:sz w:val="20"/>
                <w:szCs w:val="20"/>
                <w:color w:val="auto"/>
              </w:rPr>
            </w:pPr>
            <w:r>
              <w:rPr>
                <w:rFonts w:ascii="Arial" w:cs="Arial" w:eastAsia="Arial" w:hAnsi="Arial"/>
                <w:sz w:val="18"/>
                <w:szCs w:val="18"/>
                <w:color w:val="auto"/>
              </w:rPr>
              <w:t>By: /s/ Stephen D. Bard</w:t>
            </w:r>
          </w:p>
        </w:tc>
      </w:tr>
      <w:tr>
        <w:trPr>
          <w:trHeight w:val="195"/>
        </w:trPr>
        <w:tc>
          <w:tcPr>
            <w:tcW w:w="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7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0" w:type="dxa"/>
            <w:vAlign w:val="bottom"/>
            <w:gridSpan w:val="2"/>
          </w:tcPr>
          <w:p>
            <w:pPr>
              <w:ind w:left="1760"/>
              <w:spacing w:after="0"/>
              <w:rPr>
                <w:sz w:val="20"/>
                <w:szCs w:val="20"/>
                <w:color w:val="auto"/>
              </w:rPr>
            </w:pPr>
            <w:r>
              <w:rPr>
                <w:rFonts w:ascii="Arial" w:cs="Arial" w:eastAsia="Arial" w:hAnsi="Arial"/>
                <w:sz w:val="18"/>
                <w:szCs w:val="18"/>
                <w:color w:val="auto"/>
              </w:rPr>
              <w:t>52</w:t>
            </w:r>
          </w:p>
        </w:tc>
        <w:tc>
          <w:tcPr>
            <w:tcW w:w="218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54" w:name="page55"/>
    <w:bookmarkEnd w:id="54"/>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00" w:hanging="26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539" w:hanging="26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00" w:right="879" w:hanging="262"/>
        <w:spacing w:after="0" w:line="28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819" w:hanging="272"/>
        <w:spacing w:after="0" w:line="259"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819" w:hanging="26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79" w:hanging="272"/>
        <w:spacing w:after="0" w:line="264"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959" w:hanging="272"/>
        <w:spacing w:after="0" w:line="277"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2014.</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4445</wp:posOffset>
            </wp:positionV>
            <wp:extent cx="40049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Michael T. Moe</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5" w:name="page56"/>
    <w:bookmarkEnd w:id="55"/>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117" w:lineRule="exact"/>
        <w:rPr>
          <w:sz w:val="20"/>
          <w:szCs w:val="20"/>
          <w:color w:val="auto"/>
        </w:rPr>
      </w:pPr>
    </w:p>
    <w:p>
      <w:pPr>
        <w:ind w:left="500" w:hanging="26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539" w:hanging="26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00" w:right="879" w:hanging="262"/>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819" w:hanging="272"/>
        <w:spacing w:after="0" w:line="259"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819" w:hanging="26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79" w:hanging="272"/>
        <w:spacing w:after="0" w:line="264"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959" w:hanging="272"/>
        <w:spacing w:after="0" w:line="277" w:lineRule="auto"/>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Dated this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2014.</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By:/s/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4445</wp:posOffset>
            </wp:positionV>
            <wp:extent cx="40049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8"/>
          <w:szCs w:val="18"/>
          <w:color w:val="auto"/>
        </w:rPr>
        <w:t>Stephen D. Bard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6" w:name="page57"/>
    <w:bookmarkEnd w:id="56"/>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67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March 31, 2014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14605</wp:posOffset>
            </wp:positionV>
            <wp:extent cx="415099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50995" cy="17145"/>
                    </a:xfrm>
                    <a:prstGeom prst="rect">
                      <a:avLst/>
                    </a:prstGeom>
                    <a:noFill/>
                  </pic:spPr>
                </pic:pic>
              </a:graphicData>
            </a:graphic>
          </wp:anchor>
        </w:drawing>
      </w:r>
    </w:p>
    <w:p>
      <w:pPr>
        <w:spacing w:after="0" w:line="22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57" w:name="page58"/>
    <w:bookmarkEnd w:id="57"/>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67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March 31, 2014 (the “Report”) of GSV Capital Corp. (the “Registrant”), as filed with the Securities and Exchange Commission on the date hereof, I, Stephen D. Bard,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Stephen D. Bard</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447675</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3"/>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8"/>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2019-12-07T23:29:50Z</dcterms:created>
  <dcterms:modified xsi:type="dcterms:W3CDTF">2019-12-07T23:29:50Z</dcterms:modified>
</cp:coreProperties>
</file>