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706120</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732155</wp:posOffset>
            </wp:positionV>
            <wp:extent cx="60718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jc w:val="center"/>
        <w:ind w:right="5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206375</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360680</wp:posOffset>
            </wp:positionV>
            <wp:extent cx="4081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120" w:hanging="685"/>
        <w:spacing w:after="0"/>
        <w:tabs>
          <w:tab w:leader="none" w:pos="11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w:t>
      </w:r>
    </w:p>
    <w:p>
      <w:pPr>
        <w:spacing w:after="0" w:line="9"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4081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151" w:lineRule="exact"/>
        <w:rPr>
          <w:sz w:val="24"/>
          <w:szCs w:val="24"/>
          <w:color w:val="auto"/>
        </w:rPr>
      </w:pPr>
    </w:p>
    <w:p>
      <w:pPr>
        <w:ind w:left="1120" w:hanging="685"/>
        <w:spacing w:after="0"/>
        <w:tabs>
          <w:tab w:leader="none" w:pos="11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27"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206375</wp:posOffset>
            </wp:positionV>
            <wp:extent cx="1543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1060" w:type="dxa"/>
        <w:tblCellMar>
          <w:top w:w="0" w:type="dxa"/>
          <w:left w:w="0" w:type="dxa"/>
          <w:bottom w:w="0" w:type="dxa"/>
          <w:right w:w="0" w:type="dxa"/>
        </w:tblCellMar>
      </w:tblPr>
      <w:tr>
        <w:trPr>
          <w:trHeight w:val="421"/>
        </w:trPr>
        <w:tc>
          <w:tcPr>
            <w:tcW w:w="2340" w:type="dxa"/>
            <w:vAlign w:val="bottom"/>
          </w:tcPr>
          <w:p>
            <w:pPr>
              <w:spacing w:after="0"/>
              <w:rPr>
                <w:sz w:val="24"/>
                <w:szCs w:val="24"/>
                <w:color w:val="auto"/>
              </w:rPr>
            </w:pPr>
          </w:p>
        </w:tc>
        <w:tc>
          <w:tcPr>
            <w:tcW w:w="4480" w:type="dxa"/>
            <w:vAlign w:val="bottom"/>
            <w:gridSpan w:val="3"/>
          </w:tcPr>
          <w:p>
            <w:pPr>
              <w:ind w:left="40"/>
              <w:spacing w:after="0"/>
              <w:rPr>
                <w:sz w:val="20"/>
                <w:szCs w:val="20"/>
                <w:color w:val="auto"/>
              </w:rPr>
            </w:pPr>
            <w:r>
              <w:rPr>
                <w:rFonts w:ascii="Arial" w:cs="Arial" w:eastAsia="Arial" w:hAnsi="Arial"/>
                <w:sz w:val="32"/>
                <w:szCs w:val="32"/>
                <w:b w:val="1"/>
                <w:bCs w:val="1"/>
                <w:color w:val="auto"/>
              </w:rPr>
              <w:t>GSV Capital Corp.</w:t>
            </w:r>
          </w:p>
        </w:tc>
      </w:tr>
      <w:tr>
        <w:trPr>
          <w:trHeight w:val="257"/>
        </w:trPr>
        <w:tc>
          <w:tcPr>
            <w:tcW w:w="6820" w:type="dxa"/>
            <w:vAlign w:val="bottom"/>
            <w:gridSpan w:val="4"/>
          </w:tcPr>
          <w:p>
            <w:pPr>
              <w:ind w:left="216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03"/>
        </w:trPr>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481"/>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4480" w:type="dxa"/>
            <w:vAlign w:val="bottom"/>
            <w:gridSpan w:val="3"/>
          </w:tcPr>
          <w:p>
            <w:pPr>
              <w:jc w:val="right"/>
              <w:ind w:right="528"/>
              <w:spacing w:after="0"/>
              <w:rPr>
                <w:sz w:val="20"/>
                <w:szCs w:val="20"/>
                <w:color w:val="auto"/>
              </w:rPr>
            </w:pPr>
            <w:r>
              <w:rPr>
                <w:rFonts w:ascii="Arial" w:cs="Arial" w:eastAsia="Arial" w:hAnsi="Arial"/>
                <w:sz w:val="18"/>
                <w:szCs w:val="18"/>
                <w:b w:val="1"/>
                <w:bCs w:val="1"/>
                <w:color w:val="auto"/>
              </w:rPr>
              <w:t>27-4443543</w:t>
            </w:r>
          </w:p>
        </w:tc>
      </w:tr>
      <w:tr>
        <w:trPr>
          <w:trHeight w:val="182"/>
        </w:trPr>
        <w:tc>
          <w:tcPr>
            <w:tcW w:w="2340" w:type="dxa"/>
            <w:vAlign w:val="bottom"/>
          </w:tcPr>
          <w:p>
            <w:pPr>
              <w:jc w:val="center"/>
              <w:spacing w:after="0"/>
              <w:rPr>
                <w:sz w:val="20"/>
                <w:szCs w:val="20"/>
                <w:color w:val="auto"/>
              </w:rPr>
            </w:pPr>
            <w:r>
              <w:rPr>
                <w:rFonts w:ascii="Arial" w:cs="Arial" w:eastAsia="Arial" w:hAnsi="Arial"/>
                <w:sz w:val="14"/>
                <w:szCs w:val="14"/>
                <w:color w:val="auto"/>
                <w:w w:val="95"/>
              </w:rPr>
              <w:t>(State of incorporation)</w:t>
            </w:r>
          </w:p>
        </w:tc>
        <w:tc>
          <w:tcPr>
            <w:tcW w:w="160" w:type="dxa"/>
            <w:vAlign w:val="bottom"/>
          </w:tcPr>
          <w:p>
            <w:pPr>
              <w:spacing w:after="0"/>
              <w:rPr>
                <w:sz w:val="15"/>
                <w:szCs w:val="15"/>
                <w:color w:val="auto"/>
              </w:rPr>
            </w:pPr>
          </w:p>
        </w:tc>
        <w:tc>
          <w:tcPr>
            <w:tcW w:w="4320" w:type="dxa"/>
            <w:vAlign w:val="bottom"/>
            <w:gridSpan w:val="2"/>
          </w:tcPr>
          <w:p>
            <w:pPr>
              <w:jc w:val="center"/>
              <w:ind w:left="2168"/>
              <w:spacing w:after="0"/>
              <w:rPr>
                <w:sz w:val="20"/>
                <w:szCs w:val="20"/>
                <w:color w:val="auto"/>
              </w:rPr>
            </w:pPr>
            <w:r>
              <w:rPr>
                <w:rFonts w:ascii="Arial" w:cs="Arial" w:eastAsia="Arial" w:hAnsi="Arial"/>
                <w:sz w:val="14"/>
                <w:szCs w:val="14"/>
                <w:color w:val="auto"/>
                <w:w w:val="96"/>
              </w:rPr>
              <w:t>(I.R.S. Employer Identification No.)</w:t>
            </w:r>
          </w:p>
        </w:tc>
      </w:tr>
      <w:tr>
        <w:trPr>
          <w:trHeight w:val="277"/>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9"/>
              </w:rPr>
              <w:t>2925 Woodside Road</w:t>
            </w: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0"/>
              </w:rPr>
              <w:t>Woodside, CA</w:t>
            </w:r>
          </w:p>
        </w:tc>
        <w:tc>
          <w:tcPr>
            <w:tcW w:w="4480" w:type="dxa"/>
            <w:vAlign w:val="bottom"/>
            <w:gridSpan w:val="3"/>
          </w:tcPr>
          <w:p>
            <w:pPr>
              <w:jc w:val="right"/>
              <w:ind w:right="908"/>
              <w:spacing w:after="0"/>
              <w:rPr>
                <w:sz w:val="20"/>
                <w:szCs w:val="20"/>
                <w:color w:val="auto"/>
              </w:rPr>
            </w:pPr>
            <w:r>
              <w:rPr>
                <w:rFonts w:ascii="Arial" w:cs="Arial" w:eastAsia="Arial" w:hAnsi="Arial"/>
                <w:sz w:val="18"/>
                <w:szCs w:val="18"/>
                <w:b w:val="1"/>
                <w:bCs w:val="1"/>
                <w:color w:val="auto"/>
              </w:rPr>
              <w:t>94062</w:t>
            </w:r>
          </w:p>
        </w:tc>
      </w:tr>
      <w:tr>
        <w:trPr>
          <w:trHeight w:val="182"/>
        </w:trPr>
        <w:tc>
          <w:tcPr>
            <w:tcW w:w="234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1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900" w:type="dxa"/>
            <w:vAlign w:val="bottom"/>
          </w:tcPr>
          <w:p>
            <w:pPr>
              <w:jc w:val="center"/>
              <w:ind w:right="428"/>
              <w:spacing w:after="0"/>
              <w:rPr>
                <w:sz w:val="20"/>
                <w:szCs w:val="20"/>
                <w:color w:val="auto"/>
              </w:rPr>
            </w:pPr>
            <w:r>
              <w:rPr>
                <w:rFonts w:ascii="Arial" w:cs="Arial" w:eastAsia="Arial" w:hAnsi="Arial"/>
                <w:sz w:val="14"/>
                <w:szCs w:val="14"/>
                <w:color w:val="auto"/>
                <w:w w:val="96"/>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-720725</wp:posOffset>
            </wp:positionV>
            <wp:extent cx="574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61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-429260</wp:posOffset>
            </wp:positionV>
            <wp:extent cx="5651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1500" cy="8890"/>
                    </a:xfrm>
                    <a:prstGeom prst="rect">
                      <a:avLst/>
                    </a:prstGeom>
                    <a:noFill/>
                  </pic:spPr>
                </pic:pic>
              </a:graphicData>
            </a:graphic>
          </wp:anchor>
        </w:drawing>
      </w:r>
    </w:p>
    <w:p>
      <w:pPr>
        <w:spacing w:after="0" w:line="311"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(650) 235-4769</w:t>
      </w:r>
    </w:p>
    <w:p>
      <w:pPr>
        <w:spacing w:after="0" w:line="130"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201295</wp:posOffset>
            </wp:positionV>
            <wp:extent cx="1543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ind w:left="40" w:right="639" w:firstLine="270"/>
        <w:spacing w:after="0" w:line="286"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57" w:lineRule="exact"/>
        <w:rPr>
          <w:sz w:val="24"/>
          <w:szCs w:val="24"/>
          <w:color w:val="auto"/>
        </w:rPr>
      </w:pPr>
    </w:p>
    <w:p>
      <w:pPr>
        <w:ind w:left="40" w:right="599" w:firstLine="270"/>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o No o</w:t>
      </w:r>
    </w:p>
    <w:p>
      <w:pPr>
        <w:spacing w:after="0" w:line="39" w:lineRule="exact"/>
        <w:rPr>
          <w:sz w:val="24"/>
          <w:szCs w:val="24"/>
          <w:color w:val="auto"/>
        </w:rPr>
      </w:pPr>
    </w:p>
    <w:p>
      <w:pPr>
        <w:jc w:val="both"/>
        <w:ind w:left="40" w:right="779"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52825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42" w:lineRule="exact"/>
        <w:rPr>
          <w:sz w:val="24"/>
          <w:szCs w:val="24"/>
          <w:color w:val="auto"/>
        </w:rPr>
      </w:pPr>
    </w:p>
    <w:p>
      <w:pPr>
        <w:sectPr>
          <w:pgSz w:w="11900" w:h="16838" w:orient="portrait"/>
          <w:cols w:equalWidth="0" w:num="2">
            <w:col w:w="5100" w:space="720"/>
            <w:col w:w="4259"/>
          </w:cols>
          <w:pgMar w:left="380" w:top="1440" w:right="1440" w:bottom="1440" w:gutter="0" w:footer="0" w:header="0"/>
          <w:type w:val="continuous"/>
        </w:sectPr>
      </w:pPr>
    </w:p>
    <w:p>
      <w:pPr>
        <w:ind w:left="40" w:right="759" w:firstLine="270"/>
        <w:spacing w:after="0" w:line="342"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 w:lineRule="exact"/>
        <w:rPr>
          <w:sz w:val="24"/>
          <w:szCs w:val="24"/>
          <w:color w:val="auto"/>
        </w:rPr>
      </w:pPr>
    </w:p>
    <w:p>
      <w:pPr>
        <w:ind w:left="320" w:right="1579"/>
        <w:spacing w:after="0" w:line="483" w:lineRule="auto"/>
        <w:rPr>
          <w:sz w:val="20"/>
          <w:szCs w:val="20"/>
          <w:color w:val="auto"/>
        </w:rPr>
      </w:pPr>
      <w:r>
        <w:rPr>
          <w:rFonts w:ascii="Arial" w:cs="Arial" w:eastAsia="Arial" w:hAnsi="Arial"/>
          <w:sz w:val="16"/>
          <w:szCs w:val="16"/>
          <w:color w:val="auto"/>
        </w:rPr>
        <w:t>Indicate by check mark whether the registrant is a shell company (as defined in Rule 12b-2 of the Act)Yes o No x The issuer had 22,181,003 shares of common stock, $0.01 par value per share, outstanding as of August 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666750</wp:posOffset>
            </wp:positionV>
            <wp:extent cx="611441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-83185</wp:posOffset>
            </wp:positionV>
            <wp:extent cx="6071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-57150</wp:posOffset>
            </wp:positionV>
            <wp:extent cx="6071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type w:val="continuous"/>
        </w:sectPr>
      </w:pPr>
    </w:p>
    <w:bookmarkStart w:id="1" w:name="page2"/>
    <w:bookmarkEnd w:id="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PAGE</w:t>
            </w:r>
          </w:p>
        </w:tc>
      </w:tr>
      <w:tr>
        <w:trPr>
          <w:trHeight w:val="210"/>
        </w:trPr>
        <w:tc>
          <w:tcPr>
            <w:tcW w:w="200" w:type="dxa"/>
            <w:vAlign w:val="bottom"/>
            <w:shd w:val="clear" w:color="auto" w:fill="CCEEFF"/>
          </w:tcPr>
          <w:p>
            <w:pPr>
              <w:spacing w:after="0"/>
              <w:rPr>
                <w:sz w:val="18"/>
                <w:szCs w:val="18"/>
                <w:color w:val="auto"/>
              </w:rPr>
            </w:pPr>
          </w:p>
        </w:tc>
        <w:tc>
          <w:tcPr>
            <w:tcW w:w="7480" w:type="dxa"/>
            <w:vAlign w:val="bottom"/>
            <w:gridSpan w:val="36"/>
            <w:shd w:val="clear" w:color="auto" w:fill="CCEEFF"/>
          </w:tcPr>
          <w:p>
            <w:pPr>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200" w:type="dxa"/>
            <w:vAlign w:val="bottom"/>
          </w:tcPr>
          <w:p>
            <w:pPr>
              <w:spacing w:after="0"/>
              <w:rPr>
                <w:sz w:val="15"/>
                <w:szCs w:val="15"/>
                <w:color w:val="auto"/>
              </w:rPr>
            </w:pPr>
          </w:p>
        </w:tc>
        <w:tc>
          <w:tcPr>
            <w:tcW w:w="7480" w:type="dxa"/>
            <w:vAlign w:val="bottom"/>
            <w:gridSpan w:val="36"/>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Condensed Consolidated Financial Statements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860" w:type="dxa"/>
            <w:vAlign w:val="bottom"/>
            <w:tcBorders>
              <w:bottom w:val="single" w:sz="8" w:color="0000EE"/>
            </w:tcBorders>
            <w:gridSpan w:val="27"/>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Assets and Liabilities as of June 30, 2017</w:t>
              </w:r>
            </w:hyperlink>
          </w:p>
        </w:tc>
        <w:tc>
          <w:tcPr>
            <w:tcW w:w="900" w:type="dxa"/>
            <w:vAlign w:val="bottom"/>
            <w:tcBorders>
              <w:bottom w:val="single" w:sz="8" w:color="CCEEFF"/>
            </w:tcBorders>
            <w:gridSpan w:val="7"/>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760" w:type="dxa"/>
            <w:vAlign w:val="bottom"/>
            <w:gridSpan w:val="34"/>
            <w:shd w:val="clear" w:color="auto" w:fill="CCEEFF"/>
          </w:tcPr>
          <w:p>
            <w:pPr>
              <w:ind w:left="18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and December 31, 2016</w:t>
              </w:r>
            </w:hyperlink>
          </w:p>
        </w:tc>
        <w:tc>
          <w:tcPr>
            <w:tcW w:w="540" w:type="dxa"/>
            <w:vAlign w:val="bottom"/>
            <w:gridSpan w:val="4"/>
            <w:shd w:val="clear" w:color="auto" w:fill="CCEEFF"/>
          </w:tcPr>
          <w:p>
            <w:pPr>
              <w:jc w:val="right"/>
              <w:ind w:right="10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4"/>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Operations for the three and six months ended June</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60" w:type="dxa"/>
            <w:vAlign w:val="bottom"/>
            <w:tcBorders>
              <w:top w:val="single" w:sz="8" w:color="0000EE"/>
            </w:tcBorders>
            <w:gridSpan w:val="32"/>
          </w:tcPr>
          <w:p>
            <w:pPr>
              <w:ind w:left="18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30, 2017 and 2016 (Unaudited)</w:t>
              </w:r>
            </w:hyperlink>
          </w:p>
        </w:tc>
        <w:tc>
          <w:tcPr>
            <w:tcW w:w="200" w:type="dxa"/>
            <w:vAlign w:val="bottom"/>
            <w:gridSpan w:val="2"/>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32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Changes in Net Assets for the six months ended</w:t>
              </w:r>
            </w:hyperlink>
          </w:p>
        </w:tc>
        <w:tc>
          <w:tcPr>
            <w:tcW w:w="440" w:type="dxa"/>
            <w:vAlign w:val="bottom"/>
            <w:tcBorders>
              <w:bottom w:val="single" w:sz="8" w:color="CCEEFF"/>
            </w:tcBorders>
            <w:gridSpan w:val="4"/>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760" w:type="dxa"/>
            <w:vAlign w:val="bottom"/>
            <w:gridSpan w:val="34"/>
            <w:shd w:val="clear" w:color="auto" w:fill="CCEEFF"/>
          </w:tcPr>
          <w:p>
            <w:pPr>
              <w:ind w:left="18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June 30, 2017 and 2016 (Unaudited)</w:t>
              </w:r>
            </w:hyperlink>
          </w:p>
        </w:tc>
        <w:tc>
          <w:tcPr>
            <w:tcW w:w="540" w:type="dxa"/>
            <w:vAlign w:val="bottom"/>
            <w:gridSpan w:val="4"/>
            <w:shd w:val="clear" w:color="auto" w:fill="CCEEFF"/>
          </w:tcPr>
          <w:p>
            <w:pPr>
              <w:jc w:val="right"/>
              <w:ind w:right="10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4"/>
          </w:tcPr>
          <w:p>
            <w:pPr>
              <w:spacing w:after="0" w:line="17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Condensed Consolidated Statements of Cash Flows for the six months ended June 30, 2017</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80" w:type="dxa"/>
            <w:vAlign w:val="bottom"/>
            <w:tcBorders>
              <w:top w:val="single" w:sz="8" w:color="0000EE"/>
            </w:tcBorders>
            <w:gridSpan w:val="33"/>
          </w:tcPr>
          <w:p>
            <w:pPr>
              <w:ind w:left="18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and 2016 (Unaudited)</w:t>
              </w:r>
            </w:hyperlink>
          </w:p>
        </w:tc>
        <w:tc>
          <w:tcPr>
            <w:tcW w:w="180" w:type="dxa"/>
            <w:vAlign w:val="bottom"/>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96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Schedule of Investments as of June 30, 2017 (Unaudited)</w:t>
              </w:r>
            </w:hyperlink>
          </w:p>
        </w:tc>
        <w:tc>
          <w:tcPr>
            <w:tcW w:w="800" w:type="dxa"/>
            <w:vAlign w:val="bottom"/>
            <w:tcBorders>
              <w:bottom w:val="single" w:sz="8" w:color="CCEEFF"/>
            </w:tcBorders>
            <w:gridSpan w:val="5"/>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c>
          <w:tcPr>
            <w:tcW w:w="100" w:type="dxa"/>
            <w:vAlign w:val="bottom"/>
            <w:tcBorders>
              <w:bottom w:val="single" w:sz="8" w:color="CCEEFF"/>
            </w:tcBorders>
            <w:shd w:val="clear" w:color="auto" w:fill="CCEEFF"/>
          </w:tcPr>
          <w:p>
            <w:pPr>
              <w:spacing w:after="0"/>
              <w:rPr>
                <w:sz w:val="17"/>
                <w:szCs w:val="17"/>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4"/>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Condensed Consolidated Schedule of Investments as of December 31, 2016</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11</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Notes to Condensed Consolidated Financial Statements as of June 30, 2017</w:t>
              </w:r>
            </w:hyperlink>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20" w:type="dxa"/>
            <w:vAlign w:val="bottom"/>
            <w:tcBorders>
              <w:top w:val="single" w:sz="8" w:color="0000EE"/>
            </w:tcBorders>
            <w:gridSpan w:val="25"/>
            <w:shd w:val="clear" w:color="auto" w:fill="CCEEFF"/>
          </w:tcPr>
          <w:p>
            <w:pPr>
              <w:ind w:left="18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(Unaudited)</w:t>
              </w:r>
            </w:hyperlink>
          </w:p>
        </w:tc>
        <w:tc>
          <w:tcPr>
            <w:tcW w:w="1340" w:type="dxa"/>
            <w:vAlign w:val="bottom"/>
            <w:tcBorders>
              <w:top w:val="single" w:sz="8" w:color="CCEEFF"/>
            </w:tcBorders>
            <w:gridSpan w:val="9"/>
            <w:shd w:val="clear" w:color="auto" w:fill="CCEEFF"/>
          </w:tcPr>
          <w:p>
            <w:pPr>
              <w:spacing w:after="0"/>
              <w:rPr>
                <w:sz w:val="17"/>
                <w:szCs w:val="17"/>
                <w:color w:val="auto"/>
              </w:rPr>
            </w:pPr>
          </w:p>
        </w:tc>
        <w:tc>
          <w:tcPr>
            <w:tcW w:w="540" w:type="dxa"/>
            <w:vAlign w:val="bottom"/>
            <w:tcBorders>
              <w:top w:val="single" w:sz="8" w:color="CCEEFF"/>
            </w:tcBorders>
            <w:gridSpan w:val="4"/>
            <w:shd w:val="clear" w:color="auto" w:fill="CCEEFF"/>
          </w:tcPr>
          <w:p>
            <w:pPr>
              <w:jc w:val="right"/>
              <w:ind w:right="10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17</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4"/>
          </w:tcPr>
          <w:p>
            <w:pPr>
              <w:ind w:left="18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Note 1 — Nature of Operations and Significant Accounting Policies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17</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4"/>
            <w:shd w:val="clear" w:color="auto" w:fill="CCEEFF"/>
          </w:tcPr>
          <w:p>
            <w:pPr>
              <w:ind w:left="1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Note 2 — Related-Party Arrangements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25</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4"/>
          </w:tcPr>
          <w:p>
            <w:pPr>
              <w:ind w:left="18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Note 3 — Investments at Fair Value</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28</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4"/>
            <w:shd w:val="clear" w:color="auto" w:fill="CCEEFF"/>
          </w:tcPr>
          <w:p>
            <w:pPr>
              <w:ind w:left="18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Note 4 — Equity Offerings and Related Expenses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34</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4"/>
          </w:tcPr>
          <w:p>
            <w:pPr>
              <w:ind w:left="18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Note 5 — Net Increase/(Decrease) in Net Assets Resulting from Operations per</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20" w:type="dxa"/>
            <w:vAlign w:val="bottom"/>
            <w:tcBorders>
              <w:top w:val="single" w:sz="8" w:color="0000EE"/>
            </w:tcBorders>
            <w:gridSpan w:val="27"/>
          </w:tcPr>
          <w:p>
            <w:pPr>
              <w:ind w:left="180"/>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Common Share — Basic and Diluted</w:t>
              </w:r>
            </w:hyperlink>
          </w:p>
        </w:tc>
        <w:tc>
          <w:tcPr>
            <w:tcW w:w="860" w:type="dxa"/>
            <w:vAlign w:val="bottom"/>
            <w:gridSpan w:val="6"/>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35</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4"/>
            <w:shd w:val="clear" w:color="auto" w:fill="CCEEFF"/>
          </w:tcPr>
          <w:p>
            <w:pPr>
              <w:ind w:left="1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Note 6 — Commitments and Contingencies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36</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4"/>
          </w:tcPr>
          <w:p>
            <w:pPr>
              <w:ind w:left="1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Note 7 — Financial Highlights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36</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4"/>
            <w:shd w:val="clear" w:color="auto" w:fill="CCEEFF"/>
          </w:tcPr>
          <w:p>
            <w:pPr>
              <w:ind w:left="1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Note 8 — Income Taxes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37</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4"/>
          </w:tcPr>
          <w:p>
            <w:pPr>
              <w:ind w:left="18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Note 9 — Long-Term Liabilities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39</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4"/>
            <w:shd w:val="clear" w:color="auto" w:fill="CCEEFF"/>
          </w:tcPr>
          <w:p>
            <w:pPr>
              <w:ind w:left="1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Note 10 — Subsequent Events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41</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4"/>
          </w:tcPr>
          <w:p>
            <w:pPr>
              <w:ind w:left="1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Note 11 — Supplemental Financial Data</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42</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Item 2.</w:t>
              </w:r>
            </w:hyperlink>
          </w:p>
        </w:tc>
        <w:tc>
          <w:tcPr>
            <w:tcW w:w="6980" w:type="dxa"/>
            <w:vAlign w:val="bottom"/>
            <w:gridSpan w:val="35"/>
            <w:shd w:val="clear" w:color="auto" w:fill="CCEEFF"/>
          </w:tcPr>
          <w:p>
            <w:pPr>
              <w:ind w:left="220"/>
              <w:spacing w:after="0" w:line="17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Management’s Discussion and Analysis of Financial Condition and Results of  Operations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43</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540" w:type="dxa"/>
            <w:vAlign w:val="bottom"/>
            <w:gridSpan w:val="31"/>
          </w:tcPr>
          <w:p>
            <w:pPr>
              <w:ind w:left="1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Forward-Looking Statements</w:t>
              </w:r>
            </w:hyperlink>
          </w:p>
        </w:tc>
        <w:tc>
          <w:tcPr>
            <w:tcW w:w="220" w:type="dxa"/>
            <w:vAlign w:val="bottom"/>
            <w:gridSpan w:val="3"/>
          </w:tcPr>
          <w:p>
            <w:pPr>
              <w:spacing w:after="0"/>
              <w:rPr>
                <w:sz w:val="15"/>
                <w:szCs w:val="15"/>
                <w:color w:val="auto"/>
              </w:rPr>
            </w:pPr>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43</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4"/>
            <w:shd w:val="clear" w:color="auto" w:fill="CCEEFF"/>
          </w:tcPr>
          <w:p>
            <w:pPr>
              <w:ind w:left="1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Overview</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44</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4"/>
          </w:tcPr>
          <w:p>
            <w:pPr>
              <w:ind w:left="1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Investments — (Portfolio Activity)</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44</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4"/>
            <w:shd w:val="clear" w:color="auto" w:fill="CCEEFF"/>
          </w:tcPr>
          <w:p>
            <w:pPr>
              <w:ind w:left="1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Results of Operations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46</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4"/>
          </w:tcPr>
          <w:p>
            <w:pPr>
              <w:ind w:left="18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Liquidity and Capital Resources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51</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4"/>
            <w:shd w:val="clear" w:color="auto" w:fill="CCEEFF"/>
          </w:tcPr>
          <w:p>
            <w:pPr>
              <w:ind w:left="18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Critical Accounting Policies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54</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4"/>
          </w:tcPr>
          <w:p>
            <w:pPr>
              <w:ind w:left="18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Recent Developments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54</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7480" w:type="dxa"/>
            <w:vAlign w:val="bottom"/>
            <w:gridSpan w:val="36"/>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Item 3.   Quantitative and Qualitative Disclosures About Market Risk</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55</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Item 4.</w:t>
              </w:r>
            </w:hyperlink>
          </w:p>
        </w:tc>
        <w:tc>
          <w:tcPr>
            <w:tcW w:w="6980" w:type="dxa"/>
            <w:vAlign w:val="bottom"/>
            <w:gridSpan w:val="35"/>
          </w:tcPr>
          <w:p>
            <w:pPr>
              <w:ind w:left="22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Controls and Procedures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56</w:t>
              </w:r>
            </w:hyperlink>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7680" w:type="dxa"/>
            <w:vAlign w:val="bottom"/>
            <w:gridSpan w:val="18"/>
          </w:tcPr>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5"/>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PAGE</w:t>
            </w:r>
          </w:p>
        </w:tc>
      </w:tr>
      <w:tr>
        <w:trPr>
          <w:trHeight w:val="210"/>
        </w:trPr>
        <w:tc>
          <w:tcPr>
            <w:tcW w:w="20" w:type="dxa"/>
            <w:vAlign w:val="bottom"/>
            <w:shd w:val="clear" w:color="auto" w:fill="CCEEFF"/>
          </w:tcPr>
          <w:p>
            <w:pPr>
              <w:spacing w:after="0"/>
              <w:rPr>
                <w:sz w:val="18"/>
                <w:szCs w:val="18"/>
                <w:color w:val="auto"/>
              </w:rPr>
            </w:pPr>
          </w:p>
        </w:tc>
        <w:tc>
          <w:tcPr>
            <w:tcW w:w="7660" w:type="dxa"/>
            <w:vAlign w:val="bottom"/>
            <w:gridSpan w:val="17"/>
            <w:shd w:val="clear" w:color="auto" w:fill="CCEEFF"/>
          </w:tcPr>
          <w:p>
            <w:pPr>
              <w:ind w:left="180"/>
              <w:spacing w:after="0"/>
              <w:rPr>
                <w:sz w:val="20"/>
                <w:szCs w:val="20"/>
                <w:color w:val="auto"/>
              </w:rPr>
            </w:pPr>
            <w:r>
              <w:rPr>
                <w:rFonts w:ascii="Arial" w:cs="Arial" w:eastAsia="Arial" w:hAnsi="Arial"/>
                <w:sz w:val="18"/>
                <w:szCs w:val="18"/>
                <w:b w:val="1"/>
                <w:bCs w:val="1"/>
                <w:color w:val="auto"/>
              </w:rPr>
              <w:t>PART II. OTHER INFORMATION</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ind w:left="18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1.</w:t>
              </w:r>
            </w:hyperlink>
          </w:p>
        </w:tc>
        <w:tc>
          <w:tcPr>
            <w:tcW w:w="6840" w:type="dxa"/>
            <w:vAlign w:val="bottom"/>
            <w:gridSpan w:val="14"/>
          </w:tcPr>
          <w:p>
            <w:pPr>
              <w:ind w:left="8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Legal Proceedings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57</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ind w:left="180"/>
              <w:spacing w:after="0" w:line="17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Item 1A.</w:t>
              </w:r>
            </w:hyperlink>
          </w:p>
        </w:tc>
        <w:tc>
          <w:tcPr>
            <w:tcW w:w="6840" w:type="dxa"/>
            <w:vAlign w:val="bottom"/>
            <w:gridSpan w:val="14"/>
            <w:shd w:val="clear" w:color="auto" w:fill="CCEEFF"/>
          </w:tcPr>
          <w:p>
            <w:pPr>
              <w:ind w:left="8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Risk Factors</w:t>
              </w:r>
            </w:hyperlink>
          </w:p>
        </w:tc>
        <w:tc>
          <w:tcPr>
            <w:tcW w:w="5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57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ind w:left="1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2.</w:t>
              </w:r>
            </w:hyperlink>
          </w:p>
        </w:tc>
        <w:tc>
          <w:tcPr>
            <w:tcW w:w="6840" w:type="dxa"/>
            <w:vAlign w:val="bottom"/>
            <w:gridSpan w:val="14"/>
          </w:tcPr>
          <w:p>
            <w:pPr>
              <w:ind w:left="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Unregistered Sales of Equity Securities and Use of Proceeds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58</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ind w:left="1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3.</w:t>
              </w:r>
            </w:hyperlink>
          </w:p>
        </w:tc>
        <w:tc>
          <w:tcPr>
            <w:tcW w:w="6840" w:type="dxa"/>
            <w:vAlign w:val="bottom"/>
            <w:gridSpan w:val="14"/>
            <w:shd w:val="clear" w:color="auto" w:fill="CCEEFF"/>
          </w:tcPr>
          <w:p>
            <w:pPr>
              <w:ind w:left="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Defaults Upon Senior Securities</w:t>
              </w:r>
            </w:hyperlink>
          </w:p>
        </w:tc>
        <w:tc>
          <w:tcPr>
            <w:tcW w:w="5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58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ind w:left="1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4.</w:t>
              </w:r>
            </w:hyperlink>
          </w:p>
        </w:tc>
        <w:tc>
          <w:tcPr>
            <w:tcW w:w="6840" w:type="dxa"/>
            <w:vAlign w:val="bottom"/>
            <w:gridSpan w:val="14"/>
          </w:tcPr>
          <w:p>
            <w:pPr>
              <w:ind w:left="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Mine Safety Disclosure</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58</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ind w:left="1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5.</w:t>
              </w:r>
            </w:hyperlink>
          </w:p>
        </w:tc>
        <w:tc>
          <w:tcPr>
            <w:tcW w:w="6840" w:type="dxa"/>
            <w:vAlign w:val="bottom"/>
            <w:gridSpan w:val="14"/>
            <w:shd w:val="clear" w:color="auto" w:fill="CCEEFF"/>
          </w:tcPr>
          <w:p>
            <w:pPr>
              <w:ind w:left="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5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58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ind w:left="1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6.</w:t>
              </w:r>
            </w:hyperlink>
          </w:p>
        </w:tc>
        <w:tc>
          <w:tcPr>
            <w:tcW w:w="6840" w:type="dxa"/>
            <w:vAlign w:val="bottom"/>
            <w:gridSpan w:val="14"/>
          </w:tcPr>
          <w:p>
            <w:pPr>
              <w:ind w:left="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Exhibits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58</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760" w:type="dxa"/>
            <w:vAlign w:val="bottom"/>
            <w:gridSpan w:val="13"/>
            <w:shd w:val="clear" w:color="auto" w:fill="CCEEFF"/>
          </w:tcPr>
          <w:p>
            <w:pPr>
              <w:spacing w:after="0" w:line="176" w:lineRule="exact"/>
              <w:rPr>
                <w:rFonts w:ascii="Arial" w:cs="Arial" w:eastAsia="Arial" w:hAnsi="Arial"/>
                <w:sz w:val="18"/>
                <w:szCs w:val="18"/>
                <w:color w:val="0000EE"/>
                <w:w w:val="93"/>
              </w:rPr>
            </w:pPr>
            <w:hyperlink w:anchor="page65">
              <w:r>
                <w:rPr>
                  <w:rFonts w:ascii="Arial" w:cs="Arial" w:eastAsia="Arial" w:hAnsi="Arial"/>
                  <w:sz w:val="18"/>
                  <w:szCs w:val="18"/>
                  <w:color w:val="0000EE"/>
                  <w:w w:val="93"/>
                </w:rPr>
                <w:t>Schedules 12-14 — Schedules of Investments in and Advances to Affiliates as of June 30,</w:t>
              </w:r>
            </w:hyperlink>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80" w:type="dxa"/>
            <w:vAlign w:val="bottom"/>
            <w:tcBorders>
              <w:top w:val="single" w:sz="8" w:color="0000EE"/>
            </w:tcBorders>
            <w:gridSpan w:val="12"/>
            <w:shd w:val="clear" w:color="auto" w:fill="CCEEFF"/>
          </w:tcPr>
          <w:p>
            <w:pPr>
              <w:ind w:left="18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2017 (unaudited) and December 31, 2016</w:t>
              </w:r>
            </w:hyperlink>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gridSpan w:val="3"/>
            <w:shd w:val="clear" w:color="auto" w:fill="CCEEFF"/>
          </w:tcPr>
          <w:p>
            <w:pPr>
              <w:jc w:val="right"/>
              <w:ind w:right="10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59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4"/>
          </w:tcPr>
          <w:p>
            <w:pPr>
              <w:spacing w:after="0" w:line="176" w:lineRule="exact"/>
              <w:rPr>
                <w:rFonts w:ascii="Arial" w:cs="Arial" w:eastAsia="Arial" w:hAnsi="Arial"/>
                <w:sz w:val="18"/>
                <w:szCs w:val="18"/>
                <w:color w:val="0000EE"/>
                <w:w w:val="85"/>
              </w:rPr>
            </w:pPr>
            <w:hyperlink w:anchor="page72">
              <w:r>
                <w:rPr>
                  <w:rFonts w:ascii="Arial" w:cs="Arial" w:eastAsia="Arial" w:hAnsi="Arial"/>
                  <w:sz w:val="18"/>
                  <w:szCs w:val="18"/>
                  <w:color w:val="0000EE"/>
                  <w:w w:val="85"/>
                </w:rPr>
                <w:t>Signatures</w:t>
              </w:r>
            </w:hyperlink>
          </w:p>
        </w:tc>
        <w:tc>
          <w:tcPr>
            <w:tcW w:w="6000" w:type="dxa"/>
            <w:vAlign w:val="bottom"/>
            <w:gridSpan w:val="9"/>
          </w:tcPr>
          <w:p>
            <w:pPr>
              <w:spacing w:after="0"/>
              <w:rPr>
                <w:sz w:val="15"/>
                <w:szCs w:val="15"/>
                <w:color w:val="auto"/>
              </w:rPr>
            </w:pPr>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66</w:t>
              </w:r>
            </w:hyperlink>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-1706245</wp:posOffset>
            </wp:positionV>
            <wp:extent cx="52139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3" w:name="page4"/>
    <w:bookmarkEnd w:id="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CONDENSED 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714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8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9"/>
                <w:szCs w:val="19"/>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8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60" w:type="dxa"/>
            <w:vAlign w:val="bottom"/>
            <w:gridSpan w:val="2"/>
          </w:tcPr>
          <w:p>
            <w:pPr>
              <w:ind w:left="180"/>
              <w:spacing w:after="0" w:line="206" w:lineRule="exact"/>
              <w:rPr>
                <w:sz w:val="20"/>
                <w:szCs w:val="20"/>
                <w:color w:val="auto"/>
              </w:rPr>
            </w:pPr>
            <w:r>
              <w:rPr>
                <w:rFonts w:ascii="Arial" w:cs="Arial" w:eastAsia="Arial" w:hAnsi="Arial"/>
                <w:sz w:val="18"/>
                <w:szCs w:val="18"/>
                <w:color w:val="auto"/>
                <w:w w:val="95"/>
              </w:rPr>
              <w:t>Investments in controlled securities (cost of $22,982,044 and $22,893,441,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860" w:type="dxa"/>
            <w:vAlign w:val="bottom"/>
            <w:gridSpan w:val="2"/>
          </w:tcPr>
          <w:p>
            <w:pPr>
              <w:ind w:left="360"/>
              <w:spacing w:after="0" w:line="266" w:lineRule="exact"/>
              <w:rPr>
                <w:sz w:val="20"/>
                <w:szCs w:val="20"/>
                <w:color w:val="auto"/>
              </w:rPr>
            </w:pPr>
            <w:r>
              <w:rPr>
                <w:rFonts w:ascii="Arial" w:cs="Arial" w:eastAsia="Arial" w:hAnsi="Arial"/>
                <w:sz w:val="18"/>
                <w:szCs w:val="18"/>
                <w:color w:val="auto"/>
              </w:rPr>
              <w:t>respectively)</w:t>
            </w:r>
            <w:r>
              <w:rPr>
                <w:rFonts w:ascii="Arial" w:cs="Arial" w:eastAsia="Arial" w:hAnsi="Arial"/>
                <w:sz w:val="30"/>
                <w:szCs w:val="30"/>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19,855,423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19,037,566</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860" w:type="dxa"/>
            <w:vAlign w:val="bottom"/>
            <w:gridSpan w:val="2"/>
            <w:shd w:val="clear" w:color="auto" w:fill="CCEEFF"/>
          </w:tcPr>
          <w:p>
            <w:pPr>
              <w:ind w:left="180"/>
              <w:spacing w:after="0" w:line="206" w:lineRule="exact"/>
              <w:rPr>
                <w:sz w:val="20"/>
                <w:szCs w:val="20"/>
                <w:color w:val="auto"/>
              </w:rPr>
            </w:pPr>
            <w:r>
              <w:rPr>
                <w:rFonts w:ascii="Arial" w:cs="Arial" w:eastAsia="Arial" w:hAnsi="Arial"/>
                <w:sz w:val="18"/>
                <w:szCs w:val="18"/>
                <w:color w:val="auto"/>
                <w:w w:val="97"/>
              </w:rPr>
              <w:t>Investments in affiliated securities (cost of $49,197,923 and $51,773,388,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CCEEFF"/>
          </w:tcPr>
          <w:p>
            <w:pPr>
              <w:spacing w:after="0"/>
              <w:rPr>
                <w:sz w:val="23"/>
                <w:szCs w:val="23"/>
                <w:color w:val="auto"/>
              </w:rPr>
            </w:pPr>
          </w:p>
        </w:tc>
        <w:tc>
          <w:tcPr>
            <w:tcW w:w="5860" w:type="dxa"/>
            <w:vAlign w:val="bottom"/>
            <w:gridSpan w:val="2"/>
            <w:shd w:val="clear" w:color="auto" w:fill="CCEEFF"/>
          </w:tcPr>
          <w:p>
            <w:pPr>
              <w:ind w:left="360"/>
              <w:spacing w:after="0" w:line="266" w:lineRule="exact"/>
              <w:rPr>
                <w:sz w:val="20"/>
                <w:szCs w:val="20"/>
                <w:color w:val="auto"/>
              </w:rPr>
            </w:pPr>
            <w:r>
              <w:rPr>
                <w:rFonts w:ascii="Arial" w:cs="Arial" w:eastAsia="Arial" w:hAnsi="Arial"/>
                <w:sz w:val="18"/>
                <w:szCs w:val="18"/>
                <w:color w:val="auto"/>
              </w:rPr>
              <w:t>respectively)</w:t>
            </w:r>
            <w:r>
              <w:rPr>
                <w:rFonts w:ascii="Arial" w:cs="Arial" w:eastAsia="Arial" w:hAnsi="Arial"/>
                <w:sz w:val="30"/>
                <w:szCs w:val="30"/>
                <w:color w:val="auto"/>
                <w:vertAlign w:val="superscript"/>
              </w:rPr>
              <w:t>(1)</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39,608,382</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42,444,690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6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3"/>
              </w:rPr>
              <w:t>Investments in non-controlled/non-affiliated securities (cost of $181,314,446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tcPr>
          <w:p>
            <w:pPr>
              <w:ind w:left="360"/>
              <w:spacing w:after="0"/>
              <w:rPr>
                <w:sz w:val="20"/>
                <w:szCs w:val="20"/>
                <w:color w:val="auto"/>
              </w:rPr>
            </w:pPr>
            <w:r>
              <w:rPr>
                <w:rFonts w:ascii="Arial" w:cs="Arial" w:eastAsia="Arial" w:hAnsi="Arial"/>
                <w:sz w:val="18"/>
                <w:szCs w:val="18"/>
                <w:color w:val="auto"/>
              </w:rPr>
              <w:t>and $204,101,445, respectively)</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223,304,013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200,532,890</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8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Investments in treasury bill (cost of $99,988,000 and $29,998,750,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8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99,994,000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29,998,490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w w:val="97"/>
              </w:rPr>
              <w:t>Total Investments (cost of $353,482,413 and $308,767,024, respectively)</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382,761,818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292,013,636</w:t>
            </w:r>
          </w:p>
        </w:tc>
        <w:tc>
          <w:tcPr>
            <w:tcW w:w="0" w:type="dxa"/>
            <w:vAlign w:val="bottom"/>
          </w:tcPr>
          <w:p>
            <w:pPr>
              <w:spacing w:after="0"/>
              <w:rPr>
                <w:sz w:val="1"/>
                <w:szCs w:val="1"/>
                <w:color w:val="auto"/>
              </w:rPr>
            </w:pPr>
          </w:p>
        </w:tc>
      </w:tr>
      <w:tr>
        <w:trPr>
          <w:trHeight w:val="216"/>
        </w:trPr>
        <w:tc>
          <w:tcPr>
            <w:tcW w:w="5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2,602,570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8,332,634</w:t>
            </w:r>
          </w:p>
        </w:tc>
        <w:tc>
          <w:tcPr>
            <w:tcW w:w="0" w:type="dxa"/>
            <w:vAlign w:val="bottom"/>
          </w:tcPr>
          <w:p>
            <w:pPr>
              <w:spacing w:after="0"/>
              <w:rPr>
                <w:sz w:val="1"/>
                <w:szCs w:val="1"/>
                <w:color w:val="auto"/>
              </w:rPr>
            </w:pP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Interest and dividends receivable</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337,100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92,946</w:t>
            </w:r>
          </w:p>
        </w:tc>
        <w:tc>
          <w:tcPr>
            <w:tcW w:w="0" w:type="dxa"/>
            <w:vAlign w:val="bottom"/>
          </w:tcPr>
          <w:p>
            <w:pPr>
              <w:spacing w:after="0"/>
              <w:rPr>
                <w:sz w:val="1"/>
                <w:szCs w:val="1"/>
                <w:color w:val="auto"/>
              </w:rPr>
            </w:pPr>
          </w:p>
        </w:tc>
      </w:tr>
      <w:tr>
        <w:trPr>
          <w:trHeight w:val="216"/>
        </w:trPr>
        <w:tc>
          <w:tcPr>
            <w:tcW w:w="5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213,942</w:t>
            </w:r>
          </w:p>
        </w:tc>
        <w:tc>
          <w:tcPr>
            <w:tcW w:w="0" w:type="dxa"/>
            <w:vAlign w:val="bottom"/>
          </w:tcPr>
          <w:p>
            <w:pPr>
              <w:spacing w:after="0"/>
              <w:rPr>
                <w:sz w:val="1"/>
                <w:szCs w:val="1"/>
                <w:color w:val="auto"/>
              </w:rPr>
            </w:pP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Deferred financing costs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386,220,062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300,964,426</w:t>
            </w: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Due to:</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6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GSV Asset Management</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347,807</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422,025</w:t>
            </w:r>
          </w:p>
        </w:tc>
        <w:tc>
          <w:tcPr>
            <w:tcW w:w="0" w:type="dxa"/>
            <w:vAlign w:val="bottom"/>
          </w:tcPr>
          <w:p>
            <w:pPr>
              <w:spacing w:after="0"/>
              <w:rPr>
                <w:sz w:val="1"/>
                <w:szCs w:val="1"/>
                <w:color w:val="auto"/>
              </w:rPr>
            </w:pPr>
          </w:p>
        </w:tc>
      </w:tr>
      <w:tr>
        <w:trPr>
          <w:trHeight w:val="216"/>
        </w:trPr>
        <w:tc>
          <w:tcPr>
            <w:tcW w:w="5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243,058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335,611</w:t>
            </w:r>
          </w:p>
        </w:tc>
        <w:tc>
          <w:tcPr>
            <w:tcW w:w="0" w:type="dxa"/>
            <w:vAlign w:val="bottom"/>
          </w:tcPr>
          <w:p>
            <w:pPr>
              <w:spacing w:after="0"/>
              <w:rPr>
                <w:sz w:val="1"/>
                <w:szCs w:val="1"/>
                <w:color w:val="auto"/>
              </w:rPr>
            </w:pPr>
          </w:p>
        </w:tc>
      </w:tr>
      <w:tr>
        <w:trPr>
          <w:trHeight w:val="257"/>
        </w:trPr>
        <w:tc>
          <w:tcPr>
            <w:tcW w:w="58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Accrued incentive fees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6,274,577</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2,126,444</w:t>
            </w:r>
          </w:p>
        </w:tc>
        <w:tc>
          <w:tcPr>
            <w:tcW w:w="0" w:type="dxa"/>
            <w:vAlign w:val="bottom"/>
          </w:tcPr>
          <w:p>
            <w:pPr>
              <w:spacing w:after="0"/>
              <w:rPr>
                <w:sz w:val="1"/>
                <w:szCs w:val="1"/>
                <w:color w:val="auto"/>
              </w:rPr>
            </w:pPr>
          </w:p>
        </w:tc>
      </w:tr>
      <w:tr>
        <w:trPr>
          <w:trHeight w:val="257"/>
        </w:trPr>
        <w:tc>
          <w:tcPr>
            <w:tcW w:w="58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Accrued management fees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396,428</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524,054</w:t>
            </w:r>
          </w:p>
        </w:tc>
        <w:tc>
          <w:tcPr>
            <w:tcW w:w="0" w:type="dxa"/>
            <w:vAlign w:val="bottom"/>
          </w:tcPr>
          <w:p>
            <w:pPr>
              <w:spacing w:after="0"/>
              <w:rPr>
                <w:sz w:val="1"/>
                <w:szCs w:val="1"/>
                <w:color w:val="auto"/>
              </w:rPr>
            </w:pP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1,061,729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1,056,563</w:t>
            </w:r>
          </w:p>
        </w:tc>
        <w:tc>
          <w:tcPr>
            <w:tcW w:w="0" w:type="dxa"/>
            <w:vAlign w:val="bottom"/>
          </w:tcPr>
          <w:p>
            <w:pPr>
              <w:spacing w:after="0"/>
              <w:rPr>
                <w:sz w:val="1"/>
                <w:szCs w:val="1"/>
                <w:color w:val="auto"/>
              </w:rPr>
            </w:pPr>
          </w:p>
        </w:tc>
      </w:tr>
      <w:tr>
        <w:trPr>
          <w:trHeight w:val="216"/>
        </w:trPr>
        <w:tc>
          <w:tcPr>
            <w:tcW w:w="5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Payable for securities purchased</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89,483,890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26,498,750</w:t>
            </w:r>
          </w:p>
        </w:tc>
        <w:tc>
          <w:tcPr>
            <w:tcW w:w="0" w:type="dxa"/>
            <w:vAlign w:val="bottom"/>
          </w:tcPr>
          <w:p>
            <w:pPr>
              <w:spacing w:after="0"/>
              <w:rPr>
                <w:sz w:val="1"/>
                <w:szCs w:val="1"/>
                <w:color w:val="auto"/>
              </w:rPr>
            </w:pP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10,359,371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10,359,371</w:t>
            </w:r>
          </w:p>
        </w:tc>
        <w:tc>
          <w:tcPr>
            <w:tcW w:w="0" w:type="dxa"/>
            <w:vAlign w:val="bottom"/>
          </w:tcPr>
          <w:p>
            <w:pPr>
              <w:spacing w:after="0"/>
              <w:rPr>
                <w:sz w:val="1"/>
                <w:szCs w:val="1"/>
                <w:color w:val="auto"/>
              </w:rPr>
            </w:pPr>
          </w:p>
        </w:tc>
      </w:tr>
      <w:tr>
        <w:trPr>
          <w:trHeight w:val="216"/>
        </w:trPr>
        <w:tc>
          <w:tcPr>
            <w:tcW w:w="5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Credit facility payable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8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Convertible Senior Notes Payable 5.25% due September 15, 2018</w:t>
            </w:r>
            <w:r>
              <w:rPr>
                <w:rFonts w:ascii="Arial" w:cs="Arial" w:eastAsia="Arial" w:hAnsi="Arial"/>
                <w:sz w:val="29"/>
                <w:szCs w:val="29"/>
                <w:color w:val="auto"/>
                <w:vertAlign w:val="superscript"/>
              </w:rPr>
              <w:t>(2)</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67,943,431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67,512,798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184,110,291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108,835,616</w:t>
            </w: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Commitments and contingencies (Notes 6 and 9)</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8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202,109,771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192,128,810</w:t>
            </w: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NET ASSETS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8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Common stock, par value $0.01 per share (100,000,000 authorized; 22,181,003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22,181,003 issued and outstanding,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221,810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221,810</w:t>
            </w:r>
          </w:p>
        </w:tc>
        <w:tc>
          <w:tcPr>
            <w:tcW w:w="0" w:type="dxa"/>
            <w:vAlign w:val="bottom"/>
          </w:tcPr>
          <w:p>
            <w:pPr>
              <w:spacing w:after="0"/>
              <w:rPr>
                <w:sz w:val="1"/>
                <w:szCs w:val="1"/>
                <w:color w:val="auto"/>
              </w:rPr>
            </w:pP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Paid-in capital in excess of par</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221,237,636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221,237,636</w:t>
            </w:r>
          </w:p>
        </w:tc>
        <w:tc>
          <w:tcPr>
            <w:tcW w:w="0" w:type="dxa"/>
            <w:vAlign w:val="bottom"/>
          </w:tcPr>
          <w:p>
            <w:pPr>
              <w:spacing w:after="0"/>
              <w:rPr>
                <w:sz w:val="1"/>
                <w:szCs w:val="1"/>
                <w:color w:val="auto"/>
              </w:rPr>
            </w:pPr>
          </w:p>
        </w:tc>
      </w:tr>
      <w:tr>
        <w:trPr>
          <w:trHeight w:val="216"/>
        </w:trPr>
        <w:tc>
          <w:tcPr>
            <w:tcW w:w="5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Accumulated net investment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(12,135,169)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(1,443,996)</w:t>
            </w:r>
          </w:p>
        </w:tc>
        <w:tc>
          <w:tcPr>
            <w:tcW w:w="0" w:type="dxa"/>
            <w:vAlign w:val="bottom"/>
          </w:tcPr>
          <w:p>
            <w:pPr>
              <w:spacing w:after="0"/>
              <w:rPr>
                <w:sz w:val="1"/>
                <w:szCs w:val="1"/>
                <w:color w:val="auto"/>
              </w:rPr>
            </w:pP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Accumulated net realized losses on investments</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(26,134,541)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(773,882)</w:t>
            </w:r>
          </w:p>
        </w:tc>
        <w:tc>
          <w:tcPr>
            <w:tcW w:w="0" w:type="dxa"/>
            <w:vAlign w:val="bottom"/>
          </w:tcPr>
          <w:p>
            <w:pPr>
              <w:spacing w:after="0"/>
              <w:rPr>
                <w:sz w:val="1"/>
                <w:szCs w:val="1"/>
                <w:color w:val="auto"/>
              </w:rPr>
            </w:pPr>
          </w:p>
        </w:tc>
      </w:tr>
      <w:tr>
        <w:trPr>
          <w:trHeight w:val="216"/>
        </w:trPr>
        <w:tc>
          <w:tcPr>
            <w:tcW w:w="5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Accumulated net unrealized appreciation/(depreciation) of investments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18,920,035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(27,112,758)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8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202,109,771</w:t>
            </w:r>
          </w:p>
        </w:tc>
        <w:tc>
          <w:tcPr>
            <w:tcW w:w="1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192,128,810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48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-4415790</wp:posOffset>
            </wp:positionV>
            <wp:extent cx="521398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-3575685</wp:posOffset>
            </wp:positionV>
            <wp:extent cx="521398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-1809115</wp:posOffset>
            </wp:positionV>
            <wp:extent cx="521398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-1525905</wp:posOffset>
            </wp:positionV>
            <wp:extent cx="521398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-530860</wp:posOffset>
            </wp:positionV>
            <wp:extent cx="521398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balance is a related-party transaction. Refer to “Note 2 — Related-Party Arrangements” for more detail.</w:t>
      </w:r>
    </w:p>
    <w:p>
      <w:pPr>
        <w:spacing w:after="0" w:line="117" w:lineRule="exact"/>
        <w:rPr>
          <w:rFonts w:ascii="Arial" w:cs="Arial" w:eastAsia="Arial" w:hAnsi="Arial"/>
          <w:sz w:val="18"/>
          <w:szCs w:val="18"/>
          <w:color w:val="auto"/>
        </w:rPr>
      </w:pPr>
    </w:p>
    <w:p>
      <w:pPr>
        <w:ind w:left="300" w:right="579" w:hanging="272"/>
        <w:spacing w:after="0" w:line="277"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Convertible Senior Notes have a face value of $69,000,000. Refer to “Note 9 — Long-Term Liabilities” for a reconciliation of the carrying value to the face value.</w:t>
      </w:r>
    </w:p>
    <w:p>
      <w:pPr>
        <w:spacing w:after="0" w:line="200" w:lineRule="exact"/>
        <w:rPr>
          <w:sz w:val="20"/>
          <w:szCs w:val="20"/>
          <w:color w:val="auto"/>
        </w:rPr>
      </w:pPr>
    </w:p>
    <w:p>
      <w:pPr>
        <w:spacing w:after="0" w:line="295"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 w:name="page5"/>
    <w:bookmarkEnd w:id="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3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Interest income from controlled securities</w:t>
            </w:r>
            <w:r>
              <w:rPr>
                <w:rFonts w:ascii="Arial" w:cs="Arial" w:eastAsia="Arial" w:hAnsi="Arial"/>
                <w:sz w:val="29"/>
                <w:szCs w:val="29"/>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126,777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20,417</w:t>
            </w:r>
          </w:p>
        </w:tc>
        <w:tc>
          <w:tcPr>
            <w:tcW w:w="0" w:type="dxa"/>
            <w:vAlign w:val="bottom"/>
          </w:tcPr>
          <w:p>
            <w:pPr>
              <w:spacing w:after="0"/>
              <w:rPr>
                <w:sz w:val="1"/>
                <w:szCs w:val="1"/>
                <w:color w:val="auto"/>
              </w:rPr>
            </w:pPr>
          </w:p>
        </w:tc>
      </w:tr>
      <w:tr>
        <w:trPr>
          <w:trHeight w:val="205"/>
        </w:trPr>
        <w:tc>
          <w:tcPr>
            <w:tcW w:w="3620" w:type="dxa"/>
            <w:vAlign w:val="bottom"/>
          </w:tcPr>
          <w:p>
            <w:pPr>
              <w:ind w:left="20"/>
              <w:spacing w:after="0" w:line="206" w:lineRule="exact"/>
              <w:rPr>
                <w:sz w:val="20"/>
                <w:szCs w:val="20"/>
                <w:color w:val="auto"/>
              </w:rPr>
            </w:pPr>
            <w:r>
              <w:rPr>
                <w:rFonts w:ascii="Arial" w:cs="Arial" w:eastAsia="Arial" w:hAnsi="Arial"/>
                <w:sz w:val="18"/>
                <w:szCs w:val="18"/>
                <w:color w:val="auto"/>
              </w:rPr>
              <w:t>Interest income/(reversal of interest accrual)</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620" w:type="dxa"/>
            <w:vAlign w:val="bottom"/>
          </w:tcPr>
          <w:p>
            <w:pPr>
              <w:ind w:left="200"/>
              <w:spacing w:after="0" w:line="266" w:lineRule="exact"/>
              <w:rPr>
                <w:sz w:val="20"/>
                <w:szCs w:val="20"/>
                <w:color w:val="auto"/>
              </w:rPr>
            </w:pPr>
            <w:r>
              <w:rPr>
                <w:rFonts w:ascii="Arial" w:cs="Arial" w:eastAsia="Arial" w:hAnsi="Arial"/>
                <w:sz w:val="18"/>
                <w:szCs w:val="18"/>
                <w:color w:val="auto"/>
              </w:rPr>
              <w:t>from affiliated securities</w:t>
            </w:r>
            <w:r>
              <w:rPr>
                <w:rFonts w:ascii="Arial" w:cs="Arial" w:eastAsia="Arial" w:hAnsi="Arial"/>
                <w:sz w:val="30"/>
                <w:szCs w:val="30"/>
                <w:color w:val="auto"/>
                <w:vertAlign w:val="superscript"/>
              </w:rPr>
              <w:t>(1)(3)</w:t>
            </w:r>
          </w:p>
        </w:tc>
        <w:tc>
          <w:tcPr>
            <w:tcW w:w="10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96,695</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(73,894)</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192,372</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18,584</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Interest income from</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non-controlled/non-affiliated securities</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9,532</w:t>
            </w:r>
          </w:p>
        </w:tc>
        <w:tc>
          <w:tcPr>
            <w:tcW w:w="0" w:type="dxa"/>
            <w:vAlign w:val="bottom"/>
          </w:tcPr>
          <w:p>
            <w:pPr>
              <w:spacing w:after="0"/>
              <w:rPr>
                <w:sz w:val="1"/>
                <w:szCs w:val="1"/>
                <w:color w:val="auto"/>
              </w:rPr>
            </w:pPr>
          </w:p>
        </w:tc>
      </w:tr>
      <w:tr>
        <w:trPr>
          <w:trHeight w:val="205"/>
        </w:trPr>
        <w:tc>
          <w:tcPr>
            <w:tcW w:w="3620" w:type="dxa"/>
            <w:vAlign w:val="bottom"/>
          </w:tcPr>
          <w:p>
            <w:pPr>
              <w:ind w:left="20"/>
              <w:spacing w:after="0" w:line="206" w:lineRule="exact"/>
              <w:rPr>
                <w:sz w:val="20"/>
                <w:szCs w:val="20"/>
                <w:color w:val="auto"/>
              </w:rPr>
            </w:pPr>
            <w:r>
              <w:rPr>
                <w:rFonts w:ascii="Arial" w:cs="Arial" w:eastAsia="Arial" w:hAnsi="Arial"/>
                <w:sz w:val="18"/>
                <w:szCs w:val="18"/>
                <w:color w:val="auto"/>
              </w:rPr>
              <w:t>Dividend income from controlled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620" w:type="dxa"/>
            <w:vAlign w:val="bottom"/>
          </w:tcPr>
          <w:p>
            <w:pPr>
              <w:ind w:left="200"/>
              <w:spacing w:after="0" w:line="266" w:lineRule="exact"/>
              <w:rPr>
                <w:sz w:val="20"/>
                <w:szCs w:val="20"/>
                <w:color w:val="auto"/>
              </w:rPr>
            </w:pPr>
            <w:r>
              <w:rPr>
                <w:rFonts w:ascii="Arial" w:cs="Arial" w:eastAsia="Arial" w:hAnsi="Arial"/>
                <w:sz w:val="18"/>
                <w:szCs w:val="18"/>
                <w:color w:val="auto"/>
              </w:rPr>
              <w:t>securities</w:t>
            </w:r>
            <w:r>
              <w:rPr>
                <w:rFonts w:ascii="Arial" w:cs="Arial" w:eastAsia="Arial" w:hAnsi="Arial"/>
                <w:sz w:val="30"/>
                <w:szCs w:val="30"/>
                <w:color w:val="auto"/>
                <w:vertAlign w:val="superscript"/>
              </w:rPr>
              <w:t>(1)</w:t>
            </w:r>
          </w:p>
        </w:tc>
        <w:tc>
          <w:tcPr>
            <w:tcW w:w="10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125,000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Other income from non-controlled/non-</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affiliated securities</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73,096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73,096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tcPr>
          <w:p>
            <w:pPr>
              <w:ind w:left="20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370,593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(54,119)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709,052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48,533</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20" w:type="dxa"/>
            <w:vAlign w:val="bottom"/>
          </w:tcPr>
          <w:p>
            <w:pPr>
              <w:ind w:left="20"/>
              <w:spacing w:after="0" w:line="256" w:lineRule="exact"/>
              <w:rPr>
                <w:sz w:val="20"/>
                <w:szCs w:val="20"/>
                <w:color w:val="auto"/>
              </w:rPr>
            </w:pPr>
            <w:r>
              <w:rPr>
                <w:rFonts w:ascii="Arial" w:cs="Arial" w:eastAsia="Arial" w:hAnsi="Arial"/>
                <w:sz w:val="18"/>
                <w:szCs w:val="18"/>
                <w:color w:val="auto"/>
              </w:rPr>
              <w:t>Management fees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1,359,180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1,740,223</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2,813,600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3,698,223</w:t>
            </w:r>
          </w:p>
        </w:tc>
        <w:tc>
          <w:tcPr>
            <w:tcW w:w="0" w:type="dxa"/>
            <w:vAlign w:val="bottom"/>
          </w:tcPr>
          <w:p>
            <w:pPr>
              <w:spacing w:after="0"/>
              <w:rPr>
                <w:sz w:val="1"/>
                <w:szCs w:val="1"/>
                <w:color w:val="auto"/>
              </w:rPr>
            </w:pPr>
          </w:p>
        </w:tc>
      </w:tr>
      <w:tr>
        <w:trPr>
          <w:trHeight w:val="205"/>
        </w:trPr>
        <w:tc>
          <w:tcPr>
            <w:tcW w:w="36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Incentive fees/(reversal of incentive fee</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620" w:type="dxa"/>
            <w:vAlign w:val="bottom"/>
            <w:shd w:val="clear" w:color="auto" w:fill="CCEEFF"/>
          </w:tcPr>
          <w:p>
            <w:pPr>
              <w:ind w:left="200"/>
              <w:spacing w:after="0" w:line="266" w:lineRule="exact"/>
              <w:rPr>
                <w:sz w:val="20"/>
                <w:szCs w:val="20"/>
                <w:color w:val="auto"/>
              </w:rPr>
            </w:pPr>
            <w:r>
              <w:rPr>
                <w:rFonts w:ascii="Arial" w:cs="Arial" w:eastAsia="Arial" w:hAnsi="Arial"/>
                <w:sz w:val="18"/>
                <w:szCs w:val="18"/>
                <w:color w:val="auto"/>
              </w:rPr>
              <w:t>accrual)</w:t>
            </w:r>
            <w:r>
              <w:rPr>
                <w:rFonts w:ascii="Arial" w:cs="Arial" w:eastAsia="Arial" w:hAnsi="Arial"/>
                <w:sz w:val="30"/>
                <w:szCs w:val="30"/>
                <w:color w:val="auto"/>
                <w:vertAlign w:val="superscript"/>
              </w:rPr>
              <w:t>(1)</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2,430,825</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(2,907,224)</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4,148,133</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(8,025,808)</w:t>
            </w:r>
          </w:p>
        </w:tc>
        <w:tc>
          <w:tcPr>
            <w:tcW w:w="0" w:type="dxa"/>
            <w:vAlign w:val="bottom"/>
          </w:tcPr>
          <w:p>
            <w:pPr>
              <w:spacing w:after="0"/>
              <w:rPr>
                <w:sz w:val="1"/>
                <w:szCs w:val="1"/>
                <w:color w:val="auto"/>
              </w:rPr>
            </w:pPr>
          </w:p>
        </w:tc>
      </w:tr>
      <w:tr>
        <w:trPr>
          <w:trHeight w:val="205"/>
        </w:trPr>
        <w:tc>
          <w:tcPr>
            <w:tcW w:w="3620" w:type="dxa"/>
            <w:vAlign w:val="bottom"/>
          </w:tcPr>
          <w:p>
            <w:pPr>
              <w:ind w:left="20"/>
              <w:spacing w:after="0" w:line="206" w:lineRule="exact"/>
              <w:rPr>
                <w:sz w:val="20"/>
                <w:szCs w:val="20"/>
                <w:color w:val="auto"/>
              </w:rPr>
            </w:pPr>
            <w:r>
              <w:rPr>
                <w:rFonts w:ascii="Arial" w:cs="Arial" w:eastAsia="Arial" w:hAnsi="Arial"/>
                <w:sz w:val="18"/>
                <w:szCs w:val="18"/>
                <w:color w:val="auto"/>
              </w:rPr>
              <w:t>Costs incurred under administration</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620" w:type="dxa"/>
            <w:vAlign w:val="bottom"/>
          </w:tcPr>
          <w:p>
            <w:pPr>
              <w:ind w:left="200"/>
              <w:spacing w:after="0" w:line="266" w:lineRule="exact"/>
              <w:rPr>
                <w:sz w:val="20"/>
                <w:szCs w:val="20"/>
                <w:color w:val="auto"/>
              </w:rPr>
            </w:pPr>
            <w:r>
              <w:rPr>
                <w:rFonts w:ascii="Arial" w:cs="Arial" w:eastAsia="Arial" w:hAnsi="Arial"/>
                <w:sz w:val="18"/>
                <w:szCs w:val="18"/>
                <w:color w:val="auto"/>
              </w:rPr>
              <w:t>agreement</w:t>
            </w:r>
            <w:r>
              <w:rPr>
                <w:rFonts w:ascii="Arial" w:cs="Arial" w:eastAsia="Arial" w:hAnsi="Arial"/>
                <w:sz w:val="30"/>
                <w:szCs w:val="30"/>
                <w:color w:val="auto"/>
                <w:vertAlign w:val="superscript"/>
              </w:rPr>
              <w:t>(1)</w:t>
            </w:r>
          </w:p>
        </w:tc>
        <w:tc>
          <w:tcPr>
            <w:tcW w:w="10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449,110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698,692</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980,594</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1,298,642</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172,500</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702,808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388,375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964,998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1,025,503</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1,155,060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1,184,326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2,281,833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2,367,489</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Tax expense</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45,690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46,490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207,280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360,297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417,018</w:t>
            </w:r>
          </w:p>
        </w:tc>
        <w:tc>
          <w:tcPr>
            <w:tcW w:w="0" w:type="dxa"/>
            <w:vAlign w:val="bottom"/>
          </w:tcPr>
          <w:p>
            <w:pPr>
              <w:spacing w:after="0"/>
              <w:rPr>
                <w:sz w:val="1"/>
                <w:szCs w:val="1"/>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6,423,452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1,397,922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11,751,925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953,567</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Management fee waiver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(169,898)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(351,700)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3620" w:type="dxa"/>
            <w:vAlign w:val="bottom"/>
            <w:tcBorders>
              <w:top w:val="single" w:sz="8" w:color="CCEEFF"/>
            </w:tcBorders>
          </w:tcPr>
          <w:p>
            <w:pPr>
              <w:ind w:left="380"/>
              <w:spacing w:after="0" w:line="195" w:lineRule="exact"/>
              <w:rPr>
                <w:sz w:val="20"/>
                <w:szCs w:val="20"/>
                <w:color w:val="auto"/>
              </w:rPr>
            </w:pPr>
            <w:r>
              <w:rPr>
                <w:rFonts w:ascii="Arial" w:cs="Arial" w:eastAsia="Arial" w:hAnsi="Arial"/>
                <w:sz w:val="18"/>
                <w:szCs w:val="18"/>
                <w:color w:val="auto"/>
                <w:w w:val="96"/>
              </w:rPr>
              <w:t>Total operating expenses, net of waiver of</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56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6,253,554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1,397,922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11,400,225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953,567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Investment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(5,882,961)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(1,452,041)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(10,691,173)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(905,034)</w:t>
            </w:r>
          </w:p>
        </w:tc>
        <w:tc>
          <w:tcPr>
            <w:tcW w:w="0" w:type="dxa"/>
            <w:vAlign w:val="bottom"/>
          </w:tcPr>
          <w:p>
            <w:pPr>
              <w:spacing w:after="0"/>
              <w:rPr>
                <w:sz w:val="1"/>
                <w:szCs w:val="1"/>
                <w:color w:val="auto"/>
              </w:rPr>
            </w:pPr>
          </w:p>
        </w:tc>
      </w:tr>
      <w:tr>
        <w:trPr>
          <w:trHeight w:val="216"/>
        </w:trPr>
        <w:tc>
          <w:tcPr>
            <w:tcW w:w="3620" w:type="dxa"/>
            <w:vAlign w:val="bottom"/>
          </w:tcPr>
          <w:p>
            <w:pPr>
              <w:ind w:left="200"/>
              <w:spacing w:after="0"/>
              <w:rPr>
                <w:sz w:val="20"/>
                <w:szCs w:val="20"/>
                <w:color w:val="auto"/>
              </w:rPr>
            </w:pPr>
            <w:r>
              <w:rPr>
                <w:rFonts w:ascii="Arial" w:cs="Arial" w:eastAsia="Arial" w:hAnsi="Arial"/>
                <w:sz w:val="18"/>
                <w:szCs w:val="18"/>
                <w:b w:val="1"/>
                <w:bCs w:val="1"/>
                <w:color w:val="auto"/>
              </w:rPr>
              <w:t>Net Realized Gains/(Losses):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From affiliated securities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(675,495)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(2,578,909)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Pr>
          <w:p>
            <w:pPr>
              <w:ind w:left="200"/>
              <w:spacing w:after="0"/>
              <w:rPr>
                <w:sz w:val="20"/>
                <w:szCs w:val="20"/>
                <w:color w:val="auto"/>
              </w:rPr>
            </w:pPr>
            <w:r>
              <w:rPr>
                <w:rFonts w:ascii="Arial" w:cs="Arial" w:eastAsia="Arial" w:hAnsi="Arial"/>
                <w:sz w:val="18"/>
                <w:szCs w:val="18"/>
                <w:color w:val="auto"/>
                <w:w w:val="97"/>
              </w:rPr>
              <w:t>From non-controlled/non-affiliated securities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1,104,361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(22,781,750)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(4,970,709)</w:t>
            </w:r>
          </w:p>
        </w:tc>
        <w:tc>
          <w:tcPr>
            <w:tcW w:w="0" w:type="dxa"/>
            <w:vAlign w:val="bottom"/>
          </w:tcPr>
          <w:p>
            <w:pPr>
              <w:spacing w:after="0"/>
              <w:rPr>
                <w:sz w:val="1"/>
                <w:szCs w:val="1"/>
                <w:color w:val="auto"/>
              </w:rPr>
            </w:pPr>
          </w:p>
        </w:tc>
      </w:tr>
      <w:tr>
        <w:trPr>
          <w:trHeight w:val="191"/>
        </w:trPr>
        <w:tc>
          <w:tcPr>
            <w:tcW w:w="3620" w:type="dxa"/>
            <w:vAlign w:val="bottom"/>
            <w:shd w:val="clear" w:color="auto" w:fill="CCEEFF"/>
          </w:tcPr>
          <w:p>
            <w:pPr>
              <w:ind w:left="200"/>
              <w:spacing w:after="0" w:line="191" w:lineRule="exact"/>
              <w:rPr>
                <w:sz w:val="20"/>
                <w:szCs w:val="20"/>
                <w:color w:val="auto"/>
              </w:rPr>
            </w:pPr>
            <w:r>
              <w:rPr>
                <w:rFonts w:ascii="Arial" w:cs="Arial" w:eastAsia="Arial" w:hAnsi="Arial"/>
                <w:sz w:val="18"/>
                <w:szCs w:val="18"/>
                <w:b w:val="1"/>
                <w:bCs w:val="1"/>
                <w:color w:val="auto"/>
              </w:rPr>
              <w:t>Net Realized Gains/(Losses) on</w:t>
            </w: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investments</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(671,492)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1,104,361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(25,360,659)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(4,970,709)</w:t>
            </w:r>
          </w:p>
        </w:tc>
        <w:tc>
          <w:tcPr>
            <w:tcW w:w="0" w:type="dxa"/>
            <w:vAlign w:val="bottom"/>
          </w:tcPr>
          <w:p>
            <w:pPr>
              <w:spacing w:after="0"/>
              <w:rPr>
                <w:sz w:val="1"/>
                <w:szCs w:val="1"/>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-3155315</wp:posOffset>
            </wp:positionV>
            <wp:extent cx="521398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-1414145</wp:posOffset>
            </wp:positionV>
            <wp:extent cx="521398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-1131570</wp:posOffset>
            </wp:positionV>
            <wp:extent cx="5213985"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 w:name="page6"/>
    <w:bookmarkEnd w:id="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OPERATIONS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Net Change in Unrealized</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360"/>
              <w:spacing w:after="0"/>
              <w:rPr>
                <w:sz w:val="20"/>
                <w:szCs w:val="20"/>
                <w:color w:val="auto"/>
              </w:rPr>
            </w:pPr>
            <w:r>
              <w:rPr>
                <w:rFonts w:ascii="Arial" w:cs="Arial" w:eastAsia="Arial" w:hAnsi="Arial"/>
                <w:sz w:val="18"/>
                <w:szCs w:val="18"/>
                <w:b w:val="1"/>
                <w:bCs w:val="1"/>
                <w:color w:val="auto"/>
              </w:rPr>
              <w:t>Appreciation/(Depreciation) on</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gridSpan w:val="2"/>
          </w:tcPr>
          <w:p>
            <w:pPr>
              <w:ind w:left="360"/>
              <w:spacing w:after="0"/>
              <w:rPr>
                <w:sz w:val="20"/>
                <w:szCs w:val="20"/>
                <w:color w:val="auto"/>
              </w:rPr>
            </w:pPr>
            <w:r>
              <w:rPr>
                <w:rFonts w:ascii="Arial" w:cs="Arial" w:eastAsia="Arial" w:hAnsi="Arial"/>
                <w:sz w:val="18"/>
                <w:szCs w:val="18"/>
                <w:b w:val="1"/>
                <w:bCs w:val="1"/>
                <w:color w:val="auto"/>
              </w:rPr>
              <w:t>investments: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From controlled securities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(963,393)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729,254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180"/>
              <w:spacing w:after="0"/>
              <w:rPr>
                <w:sz w:val="20"/>
                <w:szCs w:val="20"/>
                <w:color w:val="auto"/>
              </w:rPr>
            </w:pPr>
            <w:r>
              <w:rPr>
                <w:rFonts w:ascii="Arial" w:cs="Arial" w:eastAsia="Arial" w:hAnsi="Arial"/>
                <w:sz w:val="18"/>
                <w:szCs w:val="18"/>
                <w:color w:val="auto"/>
              </w:rPr>
              <w:t>From affiliated securities</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(1,687,511)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(5,219,631)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(260,843)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(6,367,818)</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5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From non-controlled/non-affiliated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15,403,432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(10,774,328)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45,564,382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(28,780,414)</w:t>
            </w:r>
          </w:p>
        </w:tc>
        <w:tc>
          <w:tcPr>
            <w:tcW w:w="0" w:type="dxa"/>
            <w:vAlign w:val="bottom"/>
          </w:tcPr>
          <w:p>
            <w:pPr>
              <w:spacing w:after="0"/>
              <w:rPr>
                <w:sz w:val="1"/>
                <w:szCs w:val="1"/>
                <w:color w:val="auto"/>
              </w:rPr>
            </w:pPr>
          </w:p>
        </w:tc>
      </w:tr>
      <w:tr>
        <w:trPr>
          <w:trHeight w:val="191"/>
        </w:trPr>
        <w:tc>
          <w:tcPr>
            <w:tcW w:w="20" w:type="dxa"/>
            <w:vAlign w:val="bottom"/>
            <w:tcBorders>
              <w:top w:val="single" w:sz="8" w:color="CCEEFF"/>
            </w:tcBorders>
          </w:tcPr>
          <w:p>
            <w:pPr>
              <w:spacing w:after="0"/>
              <w:rPr>
                <w:sz w:val="16"/>
                <w:szCs w:val="16"/>
                <w:color w:val="auto"/>
              </w:rPr>
            </w:pPr>
          </w:p>
        </w:tc>
        <w:tc>
          <w:tcPr>
            <w:tcW w:w="3520" w:type="dxa"/>
            <w:vAlign w:val="bottom"/>
            <w:tcBorders>
              <w:top w:val="single" w:sz="8" w:color="CCEEFF"/>
            </w:tcBorders>
            <w:gridSpan w:val="2"/>
          </w:tcPr>
          <w:p>
            <w:pPr>
              <w:ind w:left="180"/>
              <w:spacing w:after="0" w:line="191" w:lineRule="exact"/>
              <w:rPr>
                <w:sz w:val="20"/>
                <w:szCs w:val="20"/>
                <w:color w:val="auto"/>
              </w:rPr>
            </w:pPr>
            <w:r>
              <w:rPr>
                <w:rFonts w:ascii="Arial" w:cs="Arial" w:eastAsia="Arial" w:hAnsi="Arial"/>
                <w:sz w:val="18"/>
                <w:szCs w:val="18"/>
                <w:b w:val="1"/>
                <w:bCs w:val="1"/>
                <w:color w:val="auto"/>
              </w:rPr>
              <w:t>Total Change in Unrealized</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360"/>
              <w:spacing w:after="0"/>
              <w:rPr>
                <w:sz w:val="20"/>
                <w:szCs w:val="20"/>
                <w:color w:val="auto"/>
              </w:rPr>
            </w:pPr>
            <w:r>
              <w:rPr>
                <w:rFonts w:ascii="Arial" w:cs="Arial" w:eastAsia="Arial" w:hAnsi="Arial"/>
                <w:sz w:val="18"/>
                <w:szCs w:val="18"/>
                <w:b w:val="1"/>
                <w:bCs w:val="1"/>
                <w:color w:val="auto"/>
              </w:rPr>
              <w:t>Appreciation/(Depreciation) on</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gridSpan w:val="2"/>
          </w:tcPr>
          <w:p>
            <w:pPr>
              <w:ind w:left="360"/>
              <w:spacing w:after="0"/>
              <w:rPr>
                <w:sz w:val="20"/>
                <w:szCs w:val="20"/>
                <w:color w:val="auto"/>
              </w:rPr>
            </w:pPr>
            <w:r>
              <w:rPr>
                <w:rFonts w:ascii="Arial" w:cs="Arial" w:eastAsia="Arial" w:hAnsi="Arial"/>
                <w:sz w:val="18"/>
                <w:szCs w:val="18"/>
                <w:b w:val="1"/>
                <w:bCs w:val="1"/>
                <w:color w:val="auto"/>
              </w:rPr>
              <w:t>investments</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12,752,528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(15,933,886)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46,032,793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(35,354,887)</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3520" w:type="dxa"/>
            <w:vAlign w:val="bottom"/>
            <w:gridSpan w:val="2"/>
            <w:shd w:val="clear" w:color="auto" w:fill="CCEEFF"/>
          </w:tcPr>
          <w:p>
            <w:pPr>
              <w:ind w:left="180"/>
              <w:spacing w:after="0" w:line="191" w:lineRule="exact"/>
              <w:rPr>
                <w:sz w:val="20"/>
                <w:szCs w:val="20"/>
                <w:color w:val="auto"/>
              </w:rPr>
            </w:pPr>
            <w:r>
              <w:rPr>
                <w:rFonts w:ascii="Arial" w:cs="Arial" w:eastAsia="Arial" w:hAnsi="Arial"/>
                <w:sz w:val="18"/>
                <w:szCs w:val="18"/>
                <w:b w:val="1"/>
                <w:bCs w:val="1"/>
                <w:color w:val="auto"/>
              </w:rPr>
              <w:t>Net Increase/(Decrease) in Net Assets</w:t>
            </w: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0" w:type="dxa"/>
            <w:vAlign w:val="bottom"/>
            <w:shd w:val="clear" w:color="auto" w:fill="CCEEFF"/>
          </w:tcPr>
          <w:p>
            <w:pPr>
              <w:spacing w:after="0"/>
              <w:rPr>
                <w:sz w:val="23"/>
                <w:szCs w:val="23"/>
                <w:color w:val="auto"/>
              </w:rPr>
            </w:pPr>
          </w:p>
        </w:tc>
        <w:tc>
          <w:tcPr>
            <w:tcW w:w="35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6,198,075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(16,281,566)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9,980,961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(41,230,630)</w:t>
            </w:r>
          </w:p>
        </w:tc>
        <w:tc>
          <w:tcPr>
            <w:tcW w:w="0" w:type="dxa"/>
            <w:vAlign w:val="bottom"/>
          </w:tcPr>
          <w:p>
            <w:pPr>
              <w:spacing w:after="0"/>
              <w:rPr>
                <w:sz w:val="1"/>
                <w:szCs w:val="1"/>
                <w:color w:val="auto"/>
              </w:rPr>
            </w:pPr>
          </w:p>
        </w:tc>
      </w:tr>
      <w:tr>
        <w:trPr>
          <w:trHeight w:val="191"/>
        </w:trPr>
        <w:tc>
          <w:tcPr>
            <w:tcW w:w="20" w:type="dxa"/>
            <w:vAlign w:val="bottom"/>
            <w:tcBorders>
              <w:top w:val="single" w:sz="8" w:color="CCEEFF"/>
            </w:tcBorders>
          </w:tcPr>
          <w:p>
            <w:pPr>
              <w:spacing w:after="0"/>
              <w:rPr>
                <w:sz w:val="16"/>
                <w:szCs w:val="16"/>
                <w:color w:val="auto"/>
              </w:rPr>
            </w:pPr>
          </w:p>
        </w:tc>
        <w:tc>
          <w:tcPr>
            <w:tcW w:w="3520" w:type="dxa"/>
            <w:vAlign w:val="bottom"/>
            <w:tcBorders>
              <w:top w:val="single" w:sz="8" w:color="CCEEFF"/>
            </w:tcBorders>
            <w:gridSpan w:val="2"/>
          </w:tcPr>
          <w:p>
            <w:pPr>
              <w:ind w:left="180"/>
              <w:spacing w:after="0" w:line="191" w:lineRule="exact"/>
              <w:rPr>
                <w:sz w:val="20"/>
                <w:szCs w:val="20"/>
                <w:color w:val="auto"/>
              </w:rPr>
            </w:pPr>
            <w:r>
              <w:rPr>
                <w:rFonts w:ascii="Arial" w:cs="Arial" w:eastAsia="Arial" w:hAnsi="Arial"/>
                <w:sz w:val="18"/>
                <w:szCs w:val="18"/>
                <w:b w:val="1"/>
                <w:bCs w:val="1"/>
                <w:color w:val="auto"/>
              </w:rPr>
              <w:t>Net Increase/(Decrease) in Net Assets</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360"/>
              <w:spacing w:after="0"/>
              <w:rPr>
                <w:sz w:val="20"/>
                <w:szCs w:val="20"/>
                <w:color w:val="auto"/>
              </w:rPr>
            </w:pPr>
            <w:r>
              <w:rPr>
                <w:rFonts w:ascii="Arial" w:cs="Arial" w:eastAsia="Arial" w:hAnsi="Arial"/>
                <w:sz w:val="18"/>
                <w:szCs w:val="18"/>
                <w:b w:val="1"/>
                <w:bCs w:val="1"/>
                <w:color w:val="auto"/>
              </w:rPr>
              <w:t>Resulting from Operations per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gridSpan w:val="2"/>
          </w:tcPr>
          <w:p>
            <w:pPr>
              <w:ind w:left="360"/>
              <w:spacing w:after="0"/>
              <w:rPr>
                <w:sz w:val="20"/>
                <w:szCs w:val="20"/>
                <w:color w:val="auto"/>
              </w:rPr>
            </w:pPr>
            <w:r>
              <w:rPr>
                <w:rFonts w:ascii="Arial" w:cs="Arial" w:eastAsia="Arial" w:hAnsi="Arial"/>
                <w:sz w:val="18"/>
                <w:szCs w:val="18"/>
                <w:b w:val="1"/>
                <w:bCs w:val="1"/>
                <w:color w:val="auto"/>
              </w:rPr>
              <w:t>Common Share</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5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gridSpan w:val="2"/>
          </w:tcPr>
          <w:p>
            <w:pPr>
              <w:ind w:left="360"/>
              <w:spacing w:after="0" w:line="250" w:lineRule="exact"/>
              <w:rPr>
                <w:sz w:val="20"/>
                <w:szCs w:val="20"/>
                <w:color w:val="auto"/>
              </w:rPr>
            </w:pPr>
            <w:r>
              <w:rPr>
                <w:rFonts w:ascii="Arial" w:cs="Arial" w:eastAsia="Arial" w:hAnsi="Arial"/>
                <w:sz w:val="17"/>
                <w:szCs w:val="17"/>
                <w:b w:val="1"/>
                <w:bCs w:val="1"/>
                <w:color w:val="auto"/>
              </w:rPr>
              <w:t>Diluted</w:t>
            </w:r>
            <w:r>
              <w:rPr>
                <w:rFonts w:ascii="Arial" w:cs="Arial" w:eastAsia="Arial" w:hAnsi="Arial"/>
                <w:sz w:val="28"/>
                <w:szCs w:val="28"/>
                <w:b w:val="1"/>
                <w:bCs w:val="1"/>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3520" w:type="dxa"/>
            <w:vAlign w:val="bottom"/>
            <w:gridSpan w:val="2"/>
            <w:shd w:val="clear" w:color="auto" w:fill="CCEEFF"/>
          </w:tcPr>
          <w:p>
            <w:pPr>
              <w:ind w:left="180"/>
              <w:spacing w:after="0" w:line="191" w:lineRule="exact"/>
              <w:rPr>
                <w:sz w:val="20"/>
                <w:szCs w:val="20"/>
                <w:color w:val="auto"/>
              </w:rPr>
            </w:pPr>
            <w:r>
              <w:rPr>
                <w:rFonts w:ascii="Arial" w:cs="Arial" w:eastAsia="Arial" w:hAnsi="Arial"/>
                <w:sz w:val="18"/>
                <w:szCs w:val="18"/>
                <w:b w:val="1"/>
                <w:bCs w:val="1"/>
                <w:color w:val="auto"/>
              </w:rPr>
              <w:t>Weighted-Average Common Shares</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5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Outstanding</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360"/>
              <w:spacing w:after="0"/>
              <w:rPr>
                <w:sz w:val="20"/>
                <w:szCs w:val="20"/>
                <w:color w:val="auto"/>
              </w:rPr>
            </w:pPr>
            <w:r>
              <w:rPr>
                <w:rFonts w:ascii="Arial" w:cs="Arial" w:eastAsia="Arial" w:hAnsi="Arial"/>
                <w:sz w:val="18"/>
                <w:szCs w:val="18"/>
                <w:b w:val="1"/>
                <w:bCs w:val="1"/>
                <w:color w:val="auto"/>
              </w:rPr>
              <w:t>Basic</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22,181,003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22,181,003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22,181,003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22,181,003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3520" w:type="dxa"/>
            <w:vAlign w:val="bottom"/>
            <w:gridSpan w:val="2"/>
            <w:shd w:val="clear" w:color="auto" w:fill="CCEEFF"/>
          </w:tcPr>
          <w:p>
            <w:pPr>
              <w:ind w:left="360"/>
              <w:spacing w:after="0" w:line="250" w:lineRule="exact"/>
              <w:rPr>
                <w:sz w:val="20"/>
                <w:szCs w:val="20"/>
                <w:color w:val="auto"/>
              </w:rPr>
            </w:pPr>
            <w:r>
              <w:rPr>
                <w:rFonts w:ascii="Arial" w:cs="Arial" w:eastAsia="Arial" w:hAnsi="Arial"/>
                <w:sz w:val="17"/>
                <w:szCs w:val="17"/>
                <w:b w:val="1"/>
                <w:bCs w:val="1"/>
                <w:color w:val="auto"/>
              </w:rPr>
              <w:t>Diluted</w:t>
            </w:r>
            <w:r>
              <w:rPr>
                <w:rFonts w:ascii="Arial" w:cs="Arial" w:eastAsia="Arial" w:hAnsi="Arial"/>
                <w:sz w:val="28"/>
                <w:szCs w:val="28"/>
                <w:b w:val="1"/>
                <w:bCs w:val="1"/>
                <w:color w:val="auto"/>
                <w:vertAlign w:val="superscript"/>
              </w:rPr>
              <w:t>(2)</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27,932,818</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22,181,003</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27,932,818</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22,181,003</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25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-2340610</wp:posOffset>
            </wp:positionV>
            <wp:extent cx="5213985" cy="4286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3985" cy="42862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-1637030</wp:posOffset>
            </wp:positionV>
            <wp:extent cx="5213985" cy="445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3985" cy="4457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-1054100</wp:posOffset>
            </wp:positionV>
            <wp:extent cx="5213985" cy="231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3985" cy="23177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balance is a related-party transaction. Refer to “Note 2 — Related-Party Arrangements” for more detail.</w:t>
      </w:r>
    </w:p>
    <w:p>
      <w:pPr>
        <w:spacing w:after="0" w:line="117" w:lineRule="exact"/>
        <w:rPr>
          <w:rFonts w:ascii="Arial" w:cs="Arial" w:eastAsia="Arial" w:hAnsi="Arial"/>
          <w:sz w:val="18"/>
          <w:szCs w:val="18"/>
          <w:color w:val="auto"/>
        </w:rPr>
      </w:pPr>
    </w:p>
    <w:p>
      <w:pPr>
        <w:ind w:left="300" w:right="619" w:hanging="272"/>
        <w:spacing w:after="0" w:line="279" w:lineRule="auto"/>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the three and six months ended June 30, 2016, 5,710,212 potentially dilutive common shares were excluded from the weighted-average common shares outstanding for diluted net increase in net assets resulting from operations per common share because the effect of these shares would have been anti-dilutive. Refer to “Note 5 — Net Increase/(Decrease) in Net Assets Resulting from Operations per Common Share — Basic and Diluted” for further detail.</w:t>
      </w:r>
    </w:p>
    <w:p>
      <w:pPr>
        <w:spacing w:after="0" w:line="63" w:lineRule="exact"/>
        <w:rPr>
          <w:rFonts w:ascii="Arial" w:cs="Arial" w:eastAsia="Arial" w:hAnsi="Arial"/>
          <w:sz w:val="17"/>
          <w:szCs w:val="17"/>
          <w:color w:val="auto"/>
        </w:rPr>
      </w:pPr>
    </w:p>
    <w:p>
      <w:pPr>
        <w:ind w:left="300" w:right="899" w:hanging="272"/>
        <w:spacing w:after="0" w:line="277"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income for each of the three and six months ended June 30, 2016 reflects the reversal of previously accrued interest from loans to Fullbridge, Inc.</w:t>
      </w:r>
    </w:p>
    <w:p>
      <w:pPr>
        <w:spacing w:after="0" w:line="200" w:lineRule="exact"/>
        <w:rPr>
          <w:sz w:val="20"/>
          <w:szCs w:val="20"/>
          <w:color w:val="auto"/>
        </w:rPr>
      </w:pPr>
    </w:p>
    <w:p>
      <w:pPr>
        <w:spacing w:after="0" w:line="295"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 w:name="page7"/>
    <w:bookmarkEnd w:id="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CHANGES IN NET ASSETS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057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Six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Six months</w:t>
            </w:r>
          </w:p>
        </w:tc>
      </w:tr>
      <w:tr>
        <w:trPr>
          <w:trHeight w:val="149"/>
        </w:trPr>
        <w:tc>
          <w:tcPr>
            <w:tcW w:w="584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584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5840" w:type="dxa"/>
            <w:vAlign w:val="bottom"/>
          </w:tcPr>
          <w:p>
            <w:pPr>
              <w:spacing w:after="0"/>
              <w:rPr>
                <w:sz w:val="14"/>
                <w:szCs w:val="14"/>
                <w:color w:val="auto"/>
              </w:rPr>
            </w:pPr>
          </w:p>
        </w:tc>
        <w:tc>
          <w:tcPr>
            <w:tcW w:w="98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4"/>
                <w:szCs w:val="14"/>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Increase/(Decrease) in Net Assets Resulting from Operations</w:t>
            </w:r>
          </w:p>
        </w:tc>
        <w:tc>
          <w:tcPr>
            <w:tcW w:w="9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Net investment loss</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 (10,691,173)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(905,034)</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losses on investments</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(25,360,659)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(4,970,709)</w:t>
            </w: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Net change in unrealized appreciation/(depreciation) of investments</w:t>
            </w:r>
          </w:p>
        </w:tc>
        <w:tc>
          <w:tcPr>
            <w:tcW w:w="980" w:type="dxa"/>
            <w:vAlign w:val="bottom"/>
          </w:tcPr>
          <w:p>
            <w:pPr>
              <w:jc w:val="right"/>
              <w:spacing w:after="0"/>
              <w:rPr>
                <w:sz w:val="20"/>
                <w:szCs w:val="20"/>
                <w:color w:val="auto"/>
              </w:rPr>
            </w:pPr>
            <w:r>
              <w:rPr>
                <w:rFonts w:ascii="Arial" w:cs="Arial" w:eastAsia="Arial" w:hAnsi="Arial"/>
                <w:sz w:val="18"/>
                <w:szCs w:val="18"/>
                <w:color w:val="auto"/>
              </w:rPr>
              <w:t>46,032,793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(35,354,887)</w:t>
            </w:r>
          </w:p>
        </w:tc>
      </w:tr>
      <w:tr>
        <w:trPr>
          <w:trHeight w:val="20"/>
        </w:trPr>
        <w:tc>
          <w:tcPr>
            <w:tcW w:w="58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Increase/(Decrease) in Net Assets Resulting from Operations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9,980,961</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(41,230,630)</w:t>
            </w:r>
          </w:p>
        </w:tc>
      </w:tr>
      <w:tr>
        <w:trPr>
          <w:trHeight w:val="20"/>
        </w:trPr>
        <w:tc>
          <w:tcPr>
            <w:tcW w:w="58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Total Increase/(Decrease) in Net Assets</w:t>
            </w:r>
          </w:p>
        </w:tc>
        <w:tc>
          <w:tcPr>
            <w:tcW w:w="980" w:type="dxa"/>
            <w:vAlign w:val="bottom"/>
          </w:tcPr>
          <w:p>
            <w:pPr>
              <w:jc w:val="right"/>
              <w:spacing w:after="0"/>
              <w:rPr>
                <w:sz w:val="20"/>
                <w:szCs w:val="20"/>
                <w:color w:val="auto"/>
              </w:rPr>
            </w:pPr>
            <w:r>
              <w:rPr>
                <w:rFonts w:ascii="Arial" w:cs="Arial" w:eastAsia="Arial" w:hAnsi="Arial"/>
                <w:sz w:val="18"/>
                <w:szCs w:val="18"/>
                <w:color w:val="auto"/>
              </w:rPr>
              <w:t>9,980,961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(41,230,630)</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at beginning of period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192,128,810</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268,010,945</w:t>
            </w:r>
          </w:p>
        </w:tc>
      </w:tr>
      <w:tr>
        <w:trPr>
          <w:trHeight w:val="20"/>
        </w:trPr>
        <w:tc>
          <w:tcPr>
            <w:tcW w:w="58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Assets at End of Period</w:t>
            </w:r>
          </w:p>
        </w:tc>
        <w:tc>
          <w:tcPr>
            <w:tcW w:w="98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202,109,771</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226,780,315</w:t>
            </w:r>
          </w:p>
        </w:tc>
      </w:tr>
      <w:tr>
        <w:trPr>
          <w:trHeight w:val="21"/>
        </w:trPr>
        <w:tc>
          <w:tcPr>
            <w:tcW w:w="58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Share Activity</w:t>
            </w:r>
          </w:p>
        </w:tc>
        <w:tc>
          <w:tcPr>
            <w:tcW w:w="9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outstanding at beginning of period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22,181,003</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22,181,003</w:t>
            </w:r>
          </w:p>
        </w:tc>
      </w:tr>
      <w:tr>
        <w:trPr>
          <w:trHeight w:val="20"/>
        </w:trPr>
        <w:tc>
          <w:tcPr>
            <w:tcW w:w="58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Shares Outstanding at end of period</w:t>
            </w:r>
          </w:p>
        </w:tc>
        <w:tc>
          <w:tcPr>
            <w:tcW w:w="980" w:type="dxa"/>
            <w:vAlign w:val="bottom"/>
          </w:tcPr>
          <w:p>
            <w:pPr>
              <w:jc w:val="right"/>
              <w:spacing w:after="0"/>
              <w:rPr>
                <w:sz w:val="20"/>
                <w:szCs w:val="20"/>
                <w:color w:val="auto"/>
              </w:rPr>
            </w:pPr>
            <w:r>
              <w:rPr>
                <w:rFonts w:ascii="Arial" w:cs="Arial" w:eastAsia="Arial" w:hAnsi="Arial"/>
                <w:sz w:val="18"/>
                <w:szCs w:val="18"/>
                <w:color w:val="auto"/>
              </w:rPr>
              <w:t>22,181,003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22,181,003</w:t>
            </w:r>
          </w:p>
        </w:tc>
      </w:tr>
      <w:tr>
        <w:trPr>
          <w:trHeight w:val="21"/>
        </w:trPr>
        <w:tc>
          <w:tcPr>
            <w:tcW w:w="58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-1054100</wp:posOffset>
            </wp:positionV>
            <wp:extent cx="521398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-770890</wp:posOffset>
            </wp:positionV>
            <wp:extent cx="5213985"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 w:name="page8"/>
    <w:bookmarkEnd w:id="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Six months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Six months</w:t>
            </w:r>
          </w:p>
        </w:tc>
      </w:tr>
      <w:tr>
        <w:trPr>
          <w:trHeight w:val="149"/>
        </w:trPr>
        <w:tc>
          <w:tcPr>
            <w:tcW w:w="5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49"/>
        </w:trPr>
        <w:tc>
          <w:tcPr>
            <w:tcW w:w="5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5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4"/>
                <w:szCs w:val="14"/>
                <w:color w:val="auto"/>
              </w:rPr>
            </w:pPr>
          </w:p>
        </w:tc>
      </w:tr>
      <w:tr>
        <w:trPr>
          <w:trHeight w:val="19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color w:val="auto"/>
              </w:rPr>
              <w:t>Net increase/(decrease)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9,980,961</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(41,230,630)</w:t>
            </w:r>
          </w:p>
        </w:tc>
      </w:tr>
      <w:tr>
        <w:trPr>
          <w:trHeight w:val="19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Adjustments to reconcile net increase/(decrease) in net assets resulting from operations</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2"/>
        </w:trPr>
        <w:tc>
          <w:tcPr>
            <w:tcW w:w="5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 net cash used in operating activities: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3"/>
        </w:trPr>
        <w:tc>
          <w:tcPr>
            <w:tcW w:w="5920" w:type="dxa"/>
            <w:vAlign w:val="bottom"/>
          </w:tcPr>
          <w:p>
            <w:pPr>
              <w:ind w:left="200"/>
              <w:spacing w:after="0"/>
              <w:rPr>
                <w:sz w:val="20"/>
                <w:szCs w:val="20"/>
                <w:color w:val="auto"/>
              </w:rPr>
            </w:pPr>
            <w:r>
              <w:rPr>
                <w:rFonts w:ascii="Arial" w:cs="Arial" w:eastAsia="Arial" w:hAnsi="Arial"/>
                <w:sz w:val="16"/>
                <w:szCs w:val="16"/>
                <w:color w:val="auto"/>
              </w:rPr>
              <w:t>Net realized losses on investments</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25,360,659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4,970,709</w:t>
            </w:r>
          </w:p>
        </w:tc>
      </w:tr>
      <w:tr>
        <w:trPr>
          <w:trHeight w:val="203"/>
        </w:trPr>
        <w:tc>
          <w:tcPr>
            <w:tcW w:w="5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change in unrealized (appreciation)/depreciation of investments</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(46,032,793)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35,354,887</w:t>
            </w:r>
          </w:p>
        </w:tc>
      </w:tr>
      <w:tr>
        <w:trPr>
          <w:trHeight w:val="203"/>
        </w:trPr>
        <w:tc>
          <w:tcPr>
            <w:tcW w:w="5920" w:type="dxa"/>
            <w:vAlign w:val="bottom"/>
          </w:tcPr>
          <w:p>
            <w:pPr>
              <w:ind w:left="200"/>
              <w:spacing w:after="0"/>
              <w:rPr>
                <w:sz w:val="20"/>
                <w:szCs w:val="20"/>
                <w:color w:val="auto"/>
              </w:rPr>
            </w:pPr>
            <w:r>
              <w:rPr>
                <w:rFonts w:ascii="Arial" w:cs="Arial" w:eastAsia="Arial" w:hAnsi="Arial"/>
                <w:sz w:val="16"/>
                <w:szCs w:val="16"/>
                <w:color w:val="auto"/>
              </w:rPr>
              <w:t>Amortization of discount on Convertible Senior Notes</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430,633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428,535</w:t>
            </w:r>
          </w:p>
        </w:tc>
      </w:tr>
      <w:tr>
        <w:trPr>
          <w:trHeight w:val="203"/>
        </w:trPr>
        <w:tc>
          <w:tcPr>
            <w:tcW w:w="5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deferred financing costs</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6,824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53,669</w:t>
            </w:r>
          </w:p>
        </w:tc>
      </w:tr>
      <w:tr>
        <w:trPr>
          <w:trHeight w:val="203"/>
        </w:trPr>
        <w:tc>
          <w:tcPr>
            <w:tcW w:w="5920" w:type="dxa"/>
            <w:vAlign w:val="bottom"/>
          </w:tcPr>
          <w:p>
            <w:pPr>
              <w:ind w:left="200"/>
              <w:spacing w:after="0"/>
              <w:rPr>
                <w:sz w:val="20"/>
                <w:szCs w:val="20"/>
                <w:color w:val="auto"/>
              </w:rPr>
            </w:pPr>
            <w:r>
              <w:rPr>
                <w:rFonts w:ascii="Arial" w:cs="Arial" w:eastAsia="Arial" w:hAnsi="Arial"/>
                <w:sz w:val="16"/>
                <w:szCs w:val="16"/>
                <w:color w:val="auto"/>
              </w:rPr>
              <w:t>Amortization of fixed income security premiums and discounts</w:t>
            </w: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(73,873)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(8,099)</w:t>
            </w:r>
          </w:p>
        </w:tc>
      </w:tr>
      <w:tr>
        <w:trPr>
          <w:trHeight w:val="203"/>
        </w:trPr>
        <w:tc>
          <w:tcPr>
            <w:tcW w:w="5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Paid-in-kind-interest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52,483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920" w:type="dxa"/>
            <w:vAlign w:val="bottom"/>
          </w:tcPr>
          <w:p>
            <w:pPr>
              <w:ind w:left="200"/>
              <w:spacing w:after="0"/>
              <w:rPr>
                <w:sz w:val="20"/>
                <w:szCs w:val="20"/>
                <w:color w:val="auto"/>
              </w:rPr>
            </w:pPr>
            <w:r>
              <w:rPr>
                <w:rFonts w:ascii="Arial" w:cs="Arial" w:eastAsia="Arial" w:hAnsi="Arial"/>
                <w:sz w:val="16"/>
                <w:szCs w:val="16"/>
                <w:color w:val="auto"/>
              </w:rPr>
              <w:t>Change in restricted cash</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(22,750)</w:t>
            </w:r>
          </w:p>
        </w:tc>
      </w:tr>
      <w:tr>
        <w:trPr>
          <w:trHeight w:val="203"/>
        </w:trPr>
        <w:tc>
          <w:tcPr>
            <w:tcW w:w="5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investments in:</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920" w:type="dxa"/>
            <w:vAlign w:val="bottom"/>
          </w:tcPr>
          <w:p>
            <w:pPr>
              <w:ind w:left="380"/>
              <w:spacing w:after="0"/>
              <w:rPr>
                <w:sz w:val="20"/>
                <w:szCs w:val="20"/>
                <w:color w:val="auto"/>
              </w:rPr>
            </w:pPr>
            <w:r>
              <w:rPr>
                <w:rFonts w:ascii="Arial" w:cs="Arial" w:eastAsia="Arial" w:hAnsi="Arial"/>
                <w:sz w:val="16"/>
                <w:szCs w:val="16"/>
                <w:color w:val="auto"/>
              </w:rPr>
              <w:t>Portfolio investments</w:t>
            </w: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(280)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(10,514,101)</w:t>
            </w:r>
          </w:p>
        </w:tc>
      </w:tr>
      <w:tr>
        <w:trPr>
          <w:trHeight w:val="203"/>
        </w:trPr>
        <w:tc>
          <w:tcPr>
            <w:tcW w:w="59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United States treasury bills</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(160,054,378)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(59,999,523)</w:t>
            </w:r>
          </w:p>
        </w:tc>
      </w:tr>
      <w:tr>
        <w:trPr>
          <w:trHeight w:val="203"/>
        </w:trPr>
        <w:tc>
          <w:tcPr>
            <w:tcW w:w="5920" w:type="dxa"/>
            <w:vAlign w:val="bottom"/>
          </w:tcPr>
          <w:p>
            <w:pPr>
              <w:ind w:left="200"/>
              <w:spacing w:after="0"/>
              <w:rPr>
                <w:sz w:val="20"/>
                <w:szCs w:val="20"/>
                <w:color w:val="auto"/>
              </w:rPr>
            </w:pPr>
            <w:r>
              <w:rPr>
                <w:rFonts w:ascii="Arial" w:cs="Arial" w:eastAsia="Arial" w:hAnsi="Arial"/>
                <w:sz w:val="16"/>
                <w:szCs w:val="16"/>
                <w:color w:val="auto"/>
              </w:rPr>
              <w:t>Proceeds from sales or maturity of investments in:</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9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Portfolio investments</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6,972,598</w:t>
            </w:r>
          </w:p>
        </w:tc>
      </w:tr>
      <w:tr>
        <w:trPr>
          <w:trHeight w:val="203"/>
        </w:trPr>
        <w:tc>
          <w:tcPr>
            <w:tcW w:w="5920" w:type="dxa"/>
            <w:vAlign w:val="bottom"/>
          </w:tcPr>
          <w:p>
            <w:pPr>
              <w:ind w:left="380"/>
              <w:spacing w:after="0"/>
              <w:rPr>
                <w:sz w:val="20"/>
                <w:szCs w:val="20"/>
                <w:color w:val="auto"/>
              </w:rPr>
            </w:pPr>
            <w:r>
              <w:rPr>
                <w:rFonts w:ascii="Arial" w:cs="Arial" w:eastAsia="Arial" w:hAnsi="Arial"/>
                <w:sz w:val="16"/>
                <w:szCs w:val="16"/>
                <w:color w:val="auto"/>
              </w:rPr>
              <w:t>United States treasury bills</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90,000,000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60,000,000</w:t>
            </w:r>
          </w:p>
        </w:tc>
      </w:tr>
      <w:tr>
        <w:trPr>
          <w:trHeight w:val="203"/>
        </w:trPr>
        <w:tc>
          <w:tcPr>
            <w:tcW w:w="59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United States treasuries strips</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1,834,000</w:t>
            </w: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color w:val="auto"/>
              </w:rPr>
              <w:t>Change in operating assets and liabilities:</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3"/>
        </w:trPr>
        <w:tc>
          <w:tcPr>
            <w:tcW w:w="5920" w:type="dxa"/>
            <w:vAlign w:val="bottom"/>
            <w:shd w:val="clear" w:color="auto" w:fill="CCEEFF"/>
          </w:tcPr>
          <w:p>
            <w:pPr>
              <w:ind w:left="200"/>
              <w:spacing w:after="0" w:line="242" w:lineRule="exact"/>
              <w:rPr>
                <w:sz w:val="20"/>
                <w:szCs w:val="20"/>
                <w:color w:val="auto"/>
              </w:rPr>
            </w:pPr>
            <w:r>
              <w:rPr>
                <w:rFonts w:ascii="Arial" w:cs="Arial" w:eastAsia="Arial" w:hAnsi="Arial"/>
                <w:sz w:val="16"/>
                <w:szCs w:val="16"/>
                <w:color w:val="auto"/>
              </w:rPr>
              <w:t>Due from GSV Asset Management</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219,147</w:t>
            </w:r>
          </w:p>
        </w:tc>
      </w:tr>
      <w:tr>
        <w:trPr>
          <w:trHeight w:val="243"/>
        </w:trPr>
        <w:tc>
          <w:tcPr>
            <w:tcW w:w="5920" w:type="dxa"/>
            <w:vAlign w:val="bottom"/>
          </w:tcPr>
          <w:p>
            <w:pPr>
              <w:ind w:left="200"/>
              <w:spacing w:after="0" w:line="242" w:lineRule="exact"/>
              <w:rPr>
                <w:sz w:val="20"/>
                <w:szCs w:val="20"/>
                <w:color w:val="auto"/>
              </w:rPr>
            </w:pPr>
            <w:r>
              <w:rPr>
                <w:rFonts w:ascii="Arial" w:cs="Arial" w:eastAsia="Arial" w:hAnsi="Arial"/>
                <w:sz w:val="16"/>
                <w:szCs w:val="16"/>
                <w:color w:val="auto"/>
              </w:rPr>
              <w:t>Due from portfolio companies</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3,879</w:t>
            </w:r>
          </w:p>
        </w:tc>
      </w:tr>
      <w:tr>
        <w:trPr>
          <w:trHeight w:val="203"/>
        </w:trPr>
        <w:tc>
          <w:tcPr>
            <w:tcW w:w="5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assets</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141,386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64,106</w:t>
            </w:r>
          </w:p>
        </w:tc>
      </w:tr>
      <w:tr>
        <w:trPr>
          <w:trHeight w:val="203"/>
        </w:trPr>
        <w:tc>
          <w:tcPr>
            <w:tcW w:w="5920" w:type="dxa"/>
            <w:vAlign w:val="bottom"/>
          </w:tcPr>
          <w:p>
            <w:pPr>
              <w:ind w:left="200"/>
              <w:spacing w:after="0"/>
              <w:rPr>
                <w:sz w:val="20"/>
                <w:szCs w:val="20"/>
                <w:color w:val="auto"/>
              </w:rPr>
            </w:pPr>
            <w:r>
              <w:rPr>
                <w:rFonts w:ascii="Arial" w:cs="Arial" w:eastAsia="Arial" w:hAnsi="Arial"/>
                <w:sz w:val="16"/>
                <w:szCs w:val="16"/>
                <w:color w:val="auto"/>
              </w:rPr>
              <w:t>Interest and dividends receivable</w:t>
            </w: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(244,154)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(40,265)</w:t>
            </w:r>
          </w:p>
        </w:tc>
      </w:tr>
      <w:tr>
        <w:trPr>
          <w:trHeight w:val="243"/>
        </w:trPr>
        <w:tc>
          <w:tcPr>
            <w:tcW w:w="5920" w:type="dxa"/>
            <w:vAlign w:val="bottom"/>
            <w:shd w:val="clear" w:color="auto" w:fill="CCEEFF"/>
          </w:tcPr>
          <w:p>
            <w:pPr>
              <w:ind w:left="200"/>
              <w:spacing w:after="0" w:line="242" w:lineRule="exact"/>
              <w:rPr>
                <w:sz w:val="20"/>
                <w:szCs w:val="20"/>
                <w:color w:val="auto"/>
              </w:rPr>
            </w:pPr>
            <w:r>
              <w:rPr>
                <w:rFonts w:ascii="Arial" w:cs="Arial" w:eastAsia="Arial" w:hAnsi="Arial"/>
                <w:sz w:val="16"/>
                <w:szCs w:val="16"/>
                <w:color w:val="auto"/>
              </w:rPr>
              <w:t>Due to GSV Asset Management</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(74,218)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(4,514,739)</w:t>
            </w:r>
          </w:p>
        </w:tc>
      </w:tr>
      <w:tr>
        <w:trPr>
          <w:trHeight w:val="203"/>
        </w:trPr>
        <w:tc>
          <w:tcPr>
            <w:tcW w:w="5920" w:type="dxa"/>
            <w:vAlign w:val="bottom"/>
          </w:tcPr>
          <w:p>
            <w:pPr>
              <w:ind w:left="200"/>
              <w:spacing w:after="0"/>
              <w:rPr>
                <w:sz w:val="20"/>
                <w:szCs w:val="20"/>
                <w:color w:val="auto"/>
              </w:rPr>
            </w:pPr>
            <w:r>
              <w:rPr>
                <w:rFonts w:ascii="Arial" w:cs="Arial" w:eastAsia="Arial" w:hAnsi="Arial"/>
                <w:sz w:val="16"/>
                <w:szCs w:val="16"/>
                <w:color w:val="auto"/>
              </w:rPr>
              <w:t>Payable for securities purchased</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62,985,140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243</w:t>
            </w:r>
          </w:p>
        </w:tc>
      </w:tr>
      <w:tr>
        <w:trPr>
          <w:trHeight w:val="203"/>
        </w:trPr>
        <w:tc>
          <w:tcPr>
            <w:tcW w:w="5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 and accrued expenses</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(92,553)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161,510</w:t>
            </w:r>
          </w:p>
        </w:tc>
      </w:tr>
      <w:tr>
        <w:trPr>
          <w:trHeight w:val="243"/>
        </w:trPr>
        <w:tc>
          <w:tcPr>
            <w:tcW w:w="5920" w:type="dxa"/>
            <w:vAlign w:val="bottom"/>
          </w:tcPr>
          <w:p>
            <w:pPr>
              <w:ind w:left="200"/>
              <w:spacing w:after="0" w:line="242" w:lineRule="exact"/>
              <w:rPr>
                <w:sz w:val="20"/>
                <w:szCs w:val="20"/>
                <w:color w:val="auto"/>
              </w:rPr>
            </w:pPr>
            <w:r>
              <w:rPr>
                <w:rFonts w:ascii="Arial" w:cs="Arial" w:eastAsia="Arial" w:hAnsi="Arial"/>
                <w:sz w:val="16"/>
                <w:szCs w:val="16"/>
                <w:color w:val="auto"/>
              </w:rPr>
              <w:t>Accrued incentive fees</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4,148,133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(8,025,808)</w:t>
            </w:r>
          </w:p>
        </w:tc>
      </w:tr>
      <w:tr>
        <w:trPr>
          <w:trHeight w:val="243"/>
        </w:trPr>
        <w:tc>
          <w:tcPr>
            <w:tcW w:w="5920" w:type="dxa"/>
            <w:vAlign w:val="bottom"/>
            <w:shd w:val="clear" w:color="auto" w:fill="CCEEFF"/>
          </w:tcPr>
          <w:p>
            <w:pPr>
              <w:ind w:left="200"/>
              <w:spacing w:after="0" w:line="242" w:lineRule="exact"/>
              <w:rPr>
                <w:sz w:val="20"/>
                <w:szCs w:val="20"/>
                <w:color w:val="auto"/>
              </w:rPr>
            </w:pPr>
            <w:r>
              <w:rPr>
                <w:rFonts w:ascii="Arial" w:cs="Arial" w:eastAsia="Arial" w:hAnsi="Arial"/>
                <w:sz w:val="16"/>
                <w:szCs w:val="16"/>
                <w:color w:val="auto"/>
              </w:rPr>
              <w:t>Accrued management fees</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(127,626)</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(99,951)</w:t>
            </w:r>
          </w:p>
        </w:tc>
      </w:tr>
      <w:tr>
        <w:trPr>
          <w:trHeight w:val="203"/>
        </w:trPr>
        <w:tc>
          <w:tcPr>
            <w:tcW w:w="5920" w:type="dxa"/>
            <w:vAlign w:val="bottom"/>
          </w:tcPr>
          <w:p>
            <w:pPr>
              <w:ind w:left="200"/>
              <w:spacing w:after="0"/>
              <w:rPr>
                <w:sz w:val="20"/>
                <w:szCs w:val="20"/>
                <w:color w:val="auto"/>
              </w:rPr>
            </w:pPr>
            <w:r>
              <w:rPr>
                <w:rFonts w:ascii="Arial" w:cs="Arial" w:eastAsia="Arial" w:hAnsi="Arial"/>
                <w:sz w:val="16"/>
                <w:szCs w:val="16"/>
                <w:color w:val="auto"/>
              </w:rPr>
              <w:t>Accrued interest payable</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5,166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92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Net Cash Used in Operating Activities</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(13,588,490)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(14,392,583)</w:t>
            </w:r>
          </w:p>
        </w:tc>
      </w:tr>
      <w:tr>
        <w:trPr>
          <w:trHeight w:val="196"/>
        </w:trPr>
        <w:tc>
          <w:tcPr>
            <w:tcW w:w="592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under credit facility</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8,000,000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3,500,000</w:t>
            </w: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color w:val="auto"/>
              </w:rPr>
              <w:t>Deferred credit facility costs</w:t>
            </w: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(100,313)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offering costs</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(41,261)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59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7,858,426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3,500,000</w:t>
            </w:r>
          </w:p>
        </w:tc>
      </w:tr>
      <w:tr>
        <w:trPr>
          <w:trHeight w:val="20"/>
        </w:trPr>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Decrease in Cash Balance</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(5,730,064)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(10,892,583)</w:t>
            </w: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color w:val="auto"/>
              </w:rPr>
              <w:t>Cash Balance at Beginning of Period</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8,332,634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13,349,877</w:t>
            </w:r>
          </w:p>
        </w:tc>
      </w:tr>
      <w:tr>
        <w:trPr>
          <w:trHeight w:val="20"/>
        </w:trPr>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Balance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2,602,570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2,457,294</w:t>
            </w:r>
          </w:p>
        </w:tc>
      </w:tr>
      <w:tr>
        <w:trPr>
          <w:trHeight w:val="196"/>
        </w:trPr>
        <w:tc>
          <w:tcPr>
            <w:tcW w:w="592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Supplemental Information:</w:t>
            </w: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1,832,654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1,811,250</w:t>
            </w:r>
          </w:p>
        </w:tc>
      </w:tr>
      <w:tr>
        <w:trPr>
          <w:trHeight w:val="206"/>
        </w:trPr>
        <w:tc>
          <w:tcPr>
            <w:tcW w:w="5920" w:type="dxa"/>
            <w:vAlign w:val="bottom"/>
          </w:tcPr>
          <w:p>
            <w:pPr>
              <w:ind w:left="20"/>
              <w:spacing w:after="0"/>
              <w:rPr>
                <w:sz w:val="20"/>
                <w:szCs w:val="20"/>
                <w:color w:val="auto"/>
              </w:rPr>
            </w:pPr>
            <w:r>
              <w:rPr>
                <w:rFonts w:ascii="Arial" w:cs="Arial" w:eastAsia="Arial" w:hAnsi="Arial"/>
                <w:sz w:val="16"/>
                <w:szCs w:val="16"/>
                <w:color w:val="auto"/>
              </w:rPr>
              <w:t>Taxes Paid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46,490</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-1459865</wp:posOffset>
            </wp:positionV>
            <wp:extent cx="521398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-936625</wp:posOffset>
            </wp:positionV>
            <wp:extent cx="521398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-396240</wp:posOffset>
            </wp:positionV>
            <wp:extent cx="521398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168910</wp:posOffset>
            </wp:positionV>
            <wp:extent cx="6172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200" w:right="1959" w:hanging="2172"/>
        <w:spacing w:after="0" w:line="995" w:lineRule="auto"/>
        <w:tabs>
          <w:tab w:leader="none" w:pos="30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This balance is a related-party transaction. Refer to “Note 2 — Related-Party Arrangements” for more detail. </w:t>
      </w:r>
      <w:r>
        <w:rPr>
          <w:rFonts w:ascii="Arial" w:cs="Arial" w:eastAsia="Arial" w:hAnsi="Arial"/>
          <w:sz w:val="16"/>
          <w:szCs w:val="16"/>
          <w:i w:val="1"/>
          <w:iCs w:val="1"/>
          <w:color w:val="auto"/>
        </w:rPr>
        <w:t>See accompanying notes to condensed consolidated financial statements.</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 w:name="page9"/>
    <w:bookmarkEnd w:id="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057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Headquarters/Industry</w:t>
            </w:r>
          </w:p>
        </w:tc>
        <w:tc>
          <w:tcPr>
            <w:tcW w:w="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9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gridSpan w:val="12"/>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60" w:type="dxa"/>
            <w:vAlign w:val="bottom"/>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Principal</w:t>
            </w: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69"/>
        </w:trPr>
        <w:tc>
          <w:tcPr>
            <w:tcW w:w="2660" w:type="dxa"/>
            <w:vAlign w:val="bottom"/>
            <w:gridSpan w:val="12"/>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Palantir Technologies, Inc.</w:t>
            </w:r>
          </w:p>
        </w:tc>
        <w:tc>
          <w:tcPr>
            <w:tcW w:w="6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5"/>
              </w:rPr>
              <w:t>Palo Alto, CA</w:t>
            </w:r>
          </w:p>
        </w:tc>
        <w:tc>
          <w:tcPr>
            <w:tcW w:w="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G</w:t>
            </w:r>
          </w:p>
        </w:tc>
        <w:tc>
          <w:tcPr>
            <w:tcW w:w="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Data Analysis</w:t>
            </w: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326,797</w:t>
            </w:r>
          </w:p>
        </w:tc>
        <w:tc>
          <w:tcPr>
            <w:tcW w:w="900" w:type="dxa"/>
            <w:vAlign w:val="bottom"/>
          </w:tcPr>
          <w:p>
            <w:pPr>
              <w:jc w:val="right"/>
              <w:spacing w:after="0"/>
              <w:rPr>
                <w:sz w:val="20"/>
                <w:szCs w:val="20"/>
                <w:color w:val="auto"/>
              </w:rPr>
            </w:pPr>
            <w:r>
              <w:rPr>
                <w:rFonts w:ascii="Arial" w:cs="Arial" w:eastAsia="Arial" w:hAnsi="Arial"/>
                <w:sz w:val="18"/>
                <w:szCs w:val="18"/>
                <w:color w:val="auto"/>
                <w:w w:val="92"/>
              </w:rPr>
              <w:t>$ 1,008,968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$ 1,980,798</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Common shares, Class A</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5,773,690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16,189,935</w:t>
            </w:r>
          </w:p>
        </w:tc>
        <w:tc>
          <w:tcPr>
            <w:tcW w:w="10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34,995,779</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11"/>
          </w:tcPr>
          <w:p>
            <w:pPr>
              <w:ind w:left="1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17,198,903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36,976,577</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169"/>
        </w:trPr>
        <w:tc>
          <w:tcPr>
            <w:tcW w:w="2660" w:type="dxa"/>
            <w:vAlign w:val="bottom"/>
            <w:gridSpan w:val="12"/>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Spotify Technology S.A.**</w:t>
            </w:r>
          </w:p>
        </w:tc>
        <w:tc>
          <w:tcPr>
            <w:tcW w:w="6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Stockholm, Sweden</w:t>
            </w:r>
          </w:p>
        </w:tc>
        <w:tc>
          <w:tcPr>
            <w:tcW w:w="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660" w:type="dxa"/>
            <w:vAlign w:val="bottom"/>
            <w:gridSpan w:val="12"/>
          </w:tcPr>
          <w:p>
            <w:pPr>
              <w:ind w:left="20"/>
              <w:spacing w:after="0" w:line="201" w:lineRule="exact"/>
              <w:rPr>
                <w:sz w:val="20"/>
                <w:szCs w:val="20"/>
                <w:color w:val="auto"/>
              </w:rPr>
            </w:pPr>
            <w:r>
              <w:rPr>
                <w:rFonts w:ascii="Arial" w:cs="Arial" w:eastAsia="Arial" w:hAnsi="Arial"/>
                <w:sz w:val="18"/>
                <w:szCs w:val="18"/>
                <w:color w:val="auto"/>
              </w:rPr>
              <w:t>Common shares</w:t>
            </w:r>
          </w:p>
        </w:tc>
        <w:tc>
          <w:tcPr>
            <w:tcW w:w="60" w:type="dxa"/>
            <w:vAlign w:val="bottom"/>
          </w:tcPr>
          <w:p>
            <w:pPr>
              <w:spacing w:after="0"/>
              <w:rPr>
                <w:sz w:val="17"/>
                <w:szCs w:val="17"/>
                <w:color w:val="auto"/>
              </w:rPr>
            </w:pPr>
          </w:p>
        </w:tc>
        <w:tc>
          <w:tcPr>
            <w:tcW w:w="1820" w:type="dxa"/>
            <w:vAlign w:val="bottom"/>
          </w:tcPr>
          <w:p>
            <w:pPr>
              <w:jc w:val="center"/>
              <w:spacing w:after="0" w:line="201" w:lineRule="exact"/>
              <w:rPr>
                <w:sz w:val="20"/>
                <w:szCs w:val="20"/>
                <w:color w:val="auto"/>
              </w:rPr>
            </w:pPr>
            <w:r>
              <w:rPr>
                <w:rFonts w:ascii="Arial" w:cs="Arial" w:eastAsia="Arial" w:hAnsi="Arial"/>
                <w:sz w:val="18"/>
                <w:szCs w:val="18"/>
                <w:color w:val="auto"/>
                <w:w w:val="91"/>
              </w:rPr>
              <w:t>On-Demand Music</w:t>
            </w: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Streaming</w:t>
            </w: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9,541</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13,599,572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27,033,199</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16"/>
        </w:trPr>
        <w:tc>
          <w:tcPr>
            <w:tcW w:w="2660" w:type="dxa"/>
            <w:vAlign w:val="bottom"/>
            <w:gridSpan w:val="12"/>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JAMF Holdings, Inc.</w:t>
            </w:r>
            <w:r>
              <w:rPr>
                <w:rFonts w:ascii="Arial" w:cs="Arial" w:eastAsia="Arial" w:hAnsi="Arial"/>
                <w:sz w:val="25"/>
                <w:szCs w:val="25"/>
                <w:b w:val="1"/>
                <w:bCs w:val="1"/>
                <w:color w:val="auto"/>
                <w:vertAlign w:val="superscript"/>
              </w:rPr>
              <w:t>(14)</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Minneapolis, MN</w:t>
            </w:r>
          </w:p>
        </w:tc>
        <w:tc>
          <w:tcPr>
            <w:tcW w:w="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660" w:type="dxa"/>
            <w:vAlign w:val="bottom"/>
            <w:gridSpan w:val="12"/>
          </w:tcPr>
          <w:p>
            <w:pPr>
              <w:ind w:left="20"/>
              <w:spacing w:after="0" w:line="201" w:lineRule="exact"/>
              <w:rPr>
                <w:sz w:val="20"/>
                <w:szCs w:val="20"/>
                <w:color w:val="auto"/>
              </w:rPr>
            </w:pPr>
            <w:r>
              <w:rPr>
                <w:rFonts w:ascii="Arial" w:cs="Arial" w:eastAsia="Arial" w:hAnsi="Arial"/>
                <w:sz w:val="18"/>
                <w:szCs w:val="18"/>
                <w:color w:val="auto"/>
              </w:rPr>
              <w:t>Preferred shares, Series B</w:t>
            </w:r>
          </w:p>
        </w:tc>
        <w:tc>
          <w:tcPr>
            <w:tcW w:w="60" w:type="dxa"/>
            <w:vAlign w:val="bottom"/>
          </w:tcPr>
          <w:p>
            <w:pPr>
              <w:spacing w:after="0"/>
              <w:rPr>
                <w:sz w:val="17"/>
                <w:szCs w:val="17"/>
                <w:color w:val="auto"/>
              </w:rPr>
            </w:pPr>
          </w:p>
        </w:tc>
        <w:tc>
          <w:tcPr>
            <w:tcW w:w="1820" w:type="dxa"/>
            <w:vAlign w:val="bottom"/>
          </w:tcPr>
          <w:p>
            <w:pPr>
              <w:jc w:val="center"/>
              <w:spacing w:after="0" w:line="201" w:lineRule="exact"/>
              <w:rPr>
                <w:sz w:val="20"/>
                <w:szCs w:val="20"/>
                <w:color w:val="auto"/>
              </w:rPr>
            </w:pPr>
            <w:r>
              <w:rPr>
                <w:rFonts w:ascii="Arial" w:cs="Arial" w:eastAsia="Arial" w:hAnsi="Arial"/>
                <w:sz w:val="18"/>
                <w:szCs w:val="18"/>
                <w:color w:val="auto"/>
                <w:w w:val="95"/>
              </w:rPr>
              <w:t>Mobile Device</w:t>
            </w: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Management</w:t>
            </w: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1,468,800</w:t>
            </w:r>
          </w:p>
        </w:tc>
        <w:tc>
          <w:tcPr>
            <w:tcW w:w="900" w:type="dxa"/>
            <w:vAlign w:val="bottom"/>
          </w:tcPr>
          <w:p>
            <w:pPr>
              <w:jc w:val="right"/>
              <w:spacing w:after="0"/>
              <w:rPr>
                <w:sz w:val="20"/>
                <w:szCs w:val="20"/>
                <w:color w:val="auto"/>
              </w:rPr>
            </w:pPr>
            <w:r>
              <w:rPr>
                <w:rFonts w:ascii="Arial" w:cs="Arial" w:eastAsia="Arial" w:hAnsi="Arial"/>
                <w:sz w:val="18"/>
                <w:szCs w:val="18"/>
                <w:color w:val="auto"/>
              </w:rPr>
              <w:t>9,999,928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20,575,952</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176"/>
        </w:trPr>
        <w:tc>
          <w:tcPr>
            <w:tcW w:w="2660" w:type="dxa"/>
            <w:vAlign w:val="bottom"/>
            <w:gridSpan w:val="1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Coursera, Inc.</w:t>
            </w:r>
          </w:p>
        </w:tc>
        <w:tc>
          <w:tcPr>
            <w:tcW w:w="6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Mountain View, CA</w:t>
            </w:r>
          </w:p>
        </w:tc>
        <w:tc>
          <w:tcPr>
            <w:tcW w:w="6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B</w:t>
            </w:r>
          </w:p>
        </w:tc>
        <w:tc>
          <w:tcPr>
            <w:tcW w:w="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Online Education</w:t>
            </w: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2,961,399</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14,519,519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18,364,441</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176"/>
        </w:trPr>
        <w:tc>
          <w:tcPr>
            <w:tcW w:w="2660" w:type="dxa"/>
            <w:vAlign w:val="bottom"/>
            <w:gridSpan w:val="1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Dropbox, Inc.</w:t>
            </w:r>
          </w:p>
        </w:tc>
        <w:tc>
          <w:tcPr>
            <w:tcW w:w="6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San Francisco, CA</w:t>
            </w:r>
          </w:p>
        </w:tc>
        <w:tc>
          <w:tcPr>
            <w:tcW w:w="6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660" w:type="dxa"/>
            <w:vAlign w:val="bottom"/>
            <w:gridSpan w:val="12"/>
          </w:tcPr>
          <w:p>
            <w:pPr>
              <w:ind w:left="20"/>
              <w:spacing w:after="0" w:line="201" w:lineRule="exact"/>
              <w:rPr>
                <w:sz w:val="20"/>
                <w:szCs w:val="20"/>
                <w:color w:val="auto"/>
              </w:rPr>
            </w:pPr>
            <w:r>
              <w:rPr>
                <w:rFonts w:ascii="Arial" w:cs="Arial" w:eastAsia="Arial" w:hAnsi="Arial"/>
                <w:sz w:val="18"/>
                <w:szCs w:val="18"/>
                <w:color w:val="auto"/>
              </w:rPr>
              <w:t>Preferred shares, Series A-1</w:t>
            </w:r>
          </w:p>
        </w:tc>
        <w:tc>
          <w:tcPr>
            <w:tcW w:w="60" w:type="dxa"/>
            <w:vAlign w:val="bottom"/>
          </w:tcPr>
          <w:p>
            <w:pPr>
              <w:spacing w:after="0"/>
              <w:rPr>
                <w:sz w:val="17"/>
                <w:szCs w:val="17"/>
                <w:color w:val="auto"/>
              </w:rPr>
            </w:pPr>
          </w:p>
        </w:tc>
        <w:tc>
          <w:tcPr>
            <w:tcW w:w="1820" w:type="dxa"/>
            <w:vAlign w:val="bottom"/>
          </w:tcPr>
          <w:p>
            <w:pPr>
              <w:jc w:val="center"/>
              <w:spacing w:after="0" w:line="201" w:lineRule="exact"/>
              <w:rPr>
                <w:sz w:val="20"/>
                <w:szCs w:val="20"/>
                <w:color w:val="auto"/>
              </w:rPr>
            </w:pPr>
            <w:r>
              <w:rPr>
                <w:rFonts w:ascii="Arial" w:cs="Arial" w:eastAsia="Arial" w:hAnsi="Arial"/>
                <w:sz w:val="18"/>
                <w:szCs w:val="18"/>
                <w:color w:val="auto"/>
                <w:w w:val="93"/>
              </w:rPr>
              <w:t>Cloud Computing</w:t>
            </w: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Services</w:t>
            </w: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552,486</w:t>
            </w:r>
          </w:p>
        </w:tc>
        <w:tc>
          <w:tcPr>
            <w:tcW w:w="900" w:type="dxa"/>
            <w:vAlign w:val="bottom"/>
          </w:tcPr>
          <w:p>
            <w:pPr>
              <w:jc w:val="right"/>
              <w:spacing w:after="0"/>
              <w:rPr>
                <w:sz w:val="20"/>
                <w:szCs w:val="20"/>
                <w:color w:val="auto"/>
              </w:rPr>
            </w:pPr>
            <w:r>
              <w:rPr>
                <w:rFonts w:ascii="Arial" w:cs="Arial" w:eastAsia="Arial" w:hAnsi="Arial"/>
                <w:sz w:val="18"/>
                <w:szCs w:val="18"/>
                <w:color w:val="auto"/>
              </w:rPr>
              <w:t>5,015,773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6,287,859</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760,000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8,641,153</w:t>
            </w:r>
          </w:p>
        </w:tc>
        <w:tc>
          <w:tcPr>
            <w:tcW w:w="10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8,649,582</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11"/>
          </w:tcPr>
          <w:p>
            <w:pPr>
              <w:ind w:left="1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13,656,926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14,937,441</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169"/>
        </w:trPr>
        <w:tc>
          <w:tcPr>
            <w:tcW w:w="2660" w:type="dxa"/>
            <w:vAlign w:val="bottom"/>
            <w:gridSpan w:val="12"/>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Chegg, Inc.**</w:t>
            </w:r>
          </w:p>
        </w:tc>
        <w:tc>
          <w:tcPr>
            <w:tcW w:w="6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Santa Clara, CA</w:t>
            </w:r>
          </w:p>
        </w:tc>
        <w:tc>
          <w:tcPr>
            <w:tcW w:w="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gridSpan w:val="12"/>
          </w:tcPr>
          <w:p>
            <w:pPr>
              <w:ind w:left="20"/>
              <w:spacing w:after="0" w:line="202" w:lineRule="exact"/>
              <w:rPr>
                <w:sz w:val="20"/>
                <w:szCs w:val="20"/>
                <w:color w:val="auto"/>
              </w:rPr>
            </w:pPr>
            <w:r>
              <w:rPr>
                <w:rFonts w:ascii="Arial" w:cs="Arial" w:eastAsia="Arial" w:hAnsi="Arial"/>
                <w:sz w:val="15"/>
                <w:szCs w:val="15"/>
                <w:color w:val="auto"/>
              </w:rPr>
              <w:t>Common shares</w:t>
            </w:r>
            <w:r>
              <w:rPr>
                <w:rFonts w:ascii="Arial" w:cs="Arial" w:eastAsia="Arial" w:hAnsi="Arial"/>
                <w:sz w:val="23"/>
                <w:szCs w:val="23"/>
                <w:color w:val="auto"/>
                <w:vertAlign w:val="superscript"/>
              </w:rPr>
              <w:t>(13)</w:t>
            </w:r>
          </w:p>
        </w:tc>
        <w:tc>
          <w:tcPr>
            <w:tcW w:w="6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color w:val="auto"/>
                <w:w w:val="91"/>
              </w:rPr>
              <w:t>Online Education</w:t>
            </w:r>
          </w:p>
        </w:tc>
        <w:tc>
          <w:tcPr>
            <w:tcW w:w="1000" w:type="dxa"/>
            <w:vAlign w:val="bottom"/>
            <w:gridSpan w:val="2"/>
            <w:vMerge w:val="restart"/>
          </w:tcPr>
          <w:p>
            <w:pPr>
              <w:jc w:val="right"/>
              <w:ind w:right="48"/>
              <w:spacing w:after="0"/>
              <w:rPr>
                <w:sz w:val="20"/>
                <w:szCs w:val="20"/>
                <w:color w:val="auto"/>
              </w:rPr>
            </w:pPr>
            <w:r>
              <w:rPr>
                <w:rFonts w:ascii="Arial" w:cs="Arial" w:eastAsia="Arial" w:hAnsi="Arial"/>
                <w:sz w:val="18"/>
                <w:szCs w:val="18"/>
                <w:color w:val="auto"/>
              </w:rPr>
              <w:t>1,182,792</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7"/>
              </w:rPr>
              <w:t>14,022,863</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14,536,514</w:t>
            </w:r>
          </w:p>
        </w:tc>
        <w:tc>
          <w:tcPr>
            <w:tcW w:w="7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Services</w:t>
            </w:r>
          </w:p>
        </w:tc>
        <w:tc>
          <w:tcPr>
            <w:tcW w:w="100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60" w:type="dxa"/>
            <w:vAlign w:val="bottom"/>
            <w:gridSpan w:val="1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General Assembly Space, Inc.</w:t>
            </w:r>
          </w:p>
        </w:tc>
        <w:tc>
          <w:tcPr>
            <w:tcW w:w="6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7"/>
              </w:rPr>
              <w:t>New York, NY</w:t>
            </w:r>
          </w:p>
        </w:tc>
        <w:tc>
          <w:tcPr>
            <w:tcW w:w="6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C</w:t>
            </w:r>
          </w:p>
        </w:tc>
        <w:tc>
          <w:tcPr>
            <w:tcW w:w="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Online Education</w:t>
            </w: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126,552</w:t>
            </w:r>
          </w:p>
        </w:tc>
        <w:tc>
          <w:tcPr>
            <w:tcW w:w="900" w:type="dxa"/>
            <w:vAlign w:val="bottom"/>
          </w:tcPr>
          <w:p>
            <w:pPr>
              <w:jc w:val="right"/>
              <w:spacing w:after="0"/>
              <w:rPr>
                <w:sz w:val="20"/>
                <w:szCs w:val="20"/>
                <w:color w:val="auto"/>
              </w:rPr>
            </w:pPr>
            <w:r>
              <w:rPr>
                <w:rFonts w:ascii="Arial" w:cs="Arial" w:eastAsia="Arial" w:hAnsi="Arial"/>
                <w:sz w:val="18"/>
                <w:szCs w:val="18"/>
                <w:color w:val="auto"/>
              </w:rPr>
              <w:t>2,999,979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6,314,946</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133,213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2,999,983</w:t>
            </w:r>
          </w:p>
        </w:tc>
        <w:tc>
          <w:tcPr>
            <w:tcW w:w="10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6,647,329</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11"/>
          </w:tcPr>
          <w:p>
            <w:pPr>
              <w:ind w:left="1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5,999,962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12,962,275</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169"/>
        </w:trPr>
        <w:tc>
          <w:tcPr>
            <w:tcW w:w="2660" w:type="dxa"/>
            <w:vAlign w:val="bottom"/>
            <w:gridSpan w:val="12"/>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Course Hero, Inc.</w:t>
            </w:r>
          </w:p>
        </w:tc>
        <w:tc>
          <w:tcPr>
            <w:tcW w:w="6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3"/>
              </w:rPr>
              <w:t>Redwood City, CA</w:t>
            </w:r>
          </w:p>
        </w:tc>
        <w:tc>
          <w:tcPr>
            <w:tcW w:w="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A</w:t>
            </w:r>
          </w:p>
        </w:tc>
        <w:tc>
          <w:tcPr>
            <w:tcW w:w="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Online Education</w:t>
            </w: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2,145,509</w:t>
            </w:r>
          </w:p>
        </w:tc>
        <w:tc>
          <w:tcPr>
            <w:tcW w:w="900" w:type="dxa"/>
            <w:vAlign w:val="bottom"/>
          </w:tcPr>
          <w:p>
            <w:pPr>
              <w:jc w:val="right"/>
              <w:spacing w:after="0"/>
              <w:rPr>
                <w:sz w:val="20"/>
                <w:szCs w:val="20"/>
                <w:color w:val="auto"/>
              </w:rPr>
            </w:pPr>
            <w:r>
              <w:rPr>
                <w:rFonts w:ascii="Arial" w:cs="Arial" w:eastAsia="Arial" w:hAnsi="Arial"/>
                <w:sz w:val="18"/>
                <w:szCs w:val="18"/>
                <w:color w:val="auto"/>
              </w:rPr>
              <w:t>5,000,001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10,532,304</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176"/>
        </w:trPr>
        <w:tc>
          <w:tcPr>
            <w:tcW w:w="2660" w:type="dxa"/>
            <w:vAlign w:val="bottom"/>
            <w:gridSpan w:val="1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Lytro, Inc.</w:t>
            </w:r>
          </w:p>
        </w:tc>
        <w:tc>
          <w:tcPr>
            <w:tcW w:w="6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Mountain View, CA</w:t>
            </w:r>
          </w:p>
        </w:tc>
        <w:tc>
          <w:tcPr>
            <w:tcW w:w="6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660" w:type="dxa"/>
            <w:vAlign w:val="bottom"/>
            <w:gridSpan w:val="12"/>
          </w:tcPr>
          <w:p>
            <w:pPr>
              <w:ind w:left="20"/>
              <w:spacing w:after="0" w:line="201" w:lineRule="exact"/>
              <w:rPr>
                <w:sz w:val="20"/>
                <w:szCs w:val="20"/>
                <w:color w:val="auto"/>
              </w:rPr>
            </w:pPr>
            <w:r>
              <w:rPr>
                <w:rFonts w:ascii="Arial" w:cs="Arial" w:eastAsia="Arial" w:hAnsi="Arial"/>
                <w:sz w:val="18"/>
                <w:szCs w:val="18"/>
                <w:color w:val="auto"/>
              </w:rPr>
              <w:t>Preferred shares, Series D</w:t>
            </w:r>
          </w:p>
        </w:tc>
        <w:tc>
          <w:tcPr>
            <w:tcW w:w="60" w:type="dxa"/>
            <w:vAlign w:val="bottom"/>
          </w:tcPr>
          <w:p>
            <w:pPr>
              <w:spacing w:after="0"/>
              <w:rPr>
                <w:sz w:val="17"/>
                <w:szCs w:val="17"/>
                <w:color w:val="auto"/>
              </w:rPr>
            </w:pPr>
          </w:p>
        </w:tc>
        <w:tc>
          <w:tcPr>
            <w:tcW w:w="1820" w:type="dxa"/>
            <w:vAlign w:val="bottom"/>
          </w:tcPr>
          <w:p>
            <w:pPr>
              <w:jc w:val="center"/>
              <w:spacing w:after="0" w:line="201" w:lineRule="exact"/>
              <w:rPr>
                <w:sz w:val="20"/>
                <w:szCs w:val="20"/>
                <w:color w:val="auto"/>
              </w:rPr>
            </w:pPr>
            <w:r>
              <w:rPr>
                <w:rFonts w:ascii="Arial" w:cs="Arial" w:eastAsia="Arial" w:hAnsi="Arial"/>
                <w:sz w:val="18"/>
                <w:szCs w:val="18"/>
                <w:color w:val="auto"/>
                <w:w w:val="95"/>
              </w:rPr>
              <w:t>Light Field Imaging</w:t>
            </w: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Platform</w:t>
            </w: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159,160</w:t>
            </w:r>
          </w:p>
        </w:tc>
        <w:tc>
          <w:tcPr>
            <w:tcW w:w="900" w:type="dxa"/>
            <w:vAlign w:val="bottom"/>
          </w:tcPr>
          <w:p>
            <w:pPr>
              <w:jc w:val="right"/>
              <w:spacing w:after="0"/>
              <w:rPr>
                <w:sz w:val="20"/>
                <w:szCs w:val="20"/>
                <w:color w:val="auto"/>
              </w:rPr>
            </w:pPr>
            <w:r>
              <w:rPr>
                <w:rFonts w:ascii="Arial" w:cs="Arial" w:eastAsia="Arial" w:hAnsi="Arial"/>
                <w:sz w:val="18"/>
                <w:szCs w:val="18"/>
                <w:color w:val="auto"/>
              </w:rPr>
              <w:t>502,081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500,001</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Preferred shares, Series C-1</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3,378,379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10,000,002</w:t>
            </w:r>
          </w:p>
        </w:tc>
        <w:tc>
          <w:tcPr>
            <w:tcW w:w="10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10,000,002</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11"/>
          </w:tcPr>
          <w:p>
            <w:pPr>
              <w:ind w:left="1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10,502,083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10,500,003</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0"/>
        </w:trPr>
        <w:tc>
          <w:tcPr>
            <w:tcW w:w="2660" w:type="dxa"/>
            <w:vAlign w:val="bottom"/>
            <w:gridSpan w:val="12"/>
            <w:shd w:val="clear" w:color="auto" w:fill="CCEEFF"/>
          </w:tcPr>
          <w:p>
            <w:pPr>
              <w:ind w:left="20"/>
              <w:spacing w:after="0" w:line="210" w:lineRule="exact"/>
              <w:rPr>
                <w:sz w:val="20"/>
                <w:szCs w:val="20"/>
                <w:color w:val="auto"/>
              </w:rPr>
            </w:pPr>
            <w:r>
              <w:rPr>
                <w:rFonts w:ascii="Arial" w:cs="Arial" w:eastAsia="Arial" w:hAnsi="Arial"/>
                <w:sz w:val="15"/>
                <w:szCs w:val="15"/>
                <w:b w:val="1"/>
                <w:bCs w:val="1"/>
                <w:color w:val="auto"/>
              </w:rPr>
              <w:t>Ozy Media, Inc.</w:t>
            </w:r>
            <w:r>
              <w:rPr>
                <w:rFonts w:ascii="Arial" w:cs="Arial" w:eastAsia="Arial" w:hAnsi="Arial"/>
                <w:sz w:val="24"/>
                <w:szCs w:val="24"/>
                <w:b w:val="1"/>
                <w:bCs w:val="1"/>
                <w:color w:val="auto"/>
                <w:vertAlign w:val="superscript"/>
              </w:rPr>
              <w:t>(1)</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Mountain View, CA</w:t>
            </w:r>
          </w:p>
        </w:tc>
        <w:tc>
          <w:tcPr>
            <w:tcW w:w="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660" w:type="dxa"/>
            <w:vAlign w:val="bottom"/>
            <w:gridSpan w:val="12"/>
          </w:tcPr>
          <w:p>
            <w:pPr>
              <w:ind w:left="20"/>
              <w:spacing w:after="0" w:line="201" w:lineRule="exact"/>
              <w:rPr>
                <w:sz w:val="20"/>
                <w:szCs w:val="20"/>
                <w:color w:val="auto"/>
              </w:rPr>
            </w:pPr>
            <w:r>
              <w:rPr>
                <w:rFonts w:ascii="Arial" w:cs="Arial" w:eastAsia="Arial" w:hAnsi="Arial"/>
                <w:sz w:val="18"/>
                <w:szCs w:val="18"/>
                <w:color w:val="auto"/>
              </w:rPr>
              <w:t>Convertible Promissory Note 5%</w:t>
            </w:r>
          </w:p>
        </w:tc>
        <w:tc>
          <w:tcPr>
            <w:tcW w:w="60" w:type="dxa"/>
            <w:vAlign w:val="bottom"/>
          </w:tcPr>
          <w:p>
            <w:pPr>
              <w:spacing w:after="0"/>
              <w:rPr>
                <w:sz w:val="17"/>
                <w:szCs w:val="17"/>
                <w:color w:val="auto"/>
              </w:rPr>
            </w:pPr>
          </w:p>
        </w:tc>
        <w:tc>
          <w:tcPr>
            <w:tcW w:w="1820" w:type="dxa"/>
            <w:vAlign w:val="bottom"/>
          </w:tcPr>
          <w:p>
            <w:pPr>
              <w:jc w:val="center"/>
              <w:spacing w:after="0" w:line="201" w:lineRule="exact"/>
              <w:rPr>
                <w:sz w:val="20"/>
                <w:szCs w:val="20"/>
                <w:color w:val="auto"/>
              </w:rPr>
            </w:pPr>
            <w:r>
              <w:rPr>
                <w:rFonts w:ascii="Arial" w:cs="Arial" w:eastAsia="Arial" w:hAnsi="Arial"/>
                <w:sz w:val="18"/>
                <w:szCs w:val="18"/>
                <w:color w:val="auto"/>
                <w:w w:val="95"/>
              </w:rPr>
              <w:t>Digital Media Platform</w:t>
            </w: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gridSpan w:val="11"/>
          </w:tcPr>
          <w:p>
            <w:pPr>
              <w:ind w:left="180"/>
              <w:spacing w:after="0"/>
              <w:rPr>
                <w:sz w:val="20"/>
                <w:szCs w:val="20"/>
                <w:color w:val="auto"/>
              </w:rPr>
            </w:pPr>
            <w:r>
              <w:rPr>
                <w:rFonts w:ascii="Arial" w:cs="Arial" w:eastAsia="Arial" w:hAnsi="Arial"/>
                <w:sz w:val="18"/>
                <w:szCs w:val="18"/>
                <w:color w:val="auto"/>
              </w:rPr>
              <w:t>Due 2/28/2018***</w:t>
            </w:r>
          </w:p>
        </w:tc>
        <w:tc>
          <w:tcPr>
            <w:tcW w:w="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w w:val="95"/>
              </w:rPr>
              <w:t>$2,000,000</w:t>
            </w:r>
          </w:p>
        </w:tc>
        <w:tc>
          <w:tcPr>
            <w:tcW w:w="900" w:type="dxa"/>
            <w:vAlign w:val="bottom"/>
          </w:tcPr>
          <w:p>
            <w:pPr>
              <w:jc w:val="right"/>
              <w:spacing w:after="0"/>
              <w:rPr>
                <w:sz w:val="20"/>
                <w:szCs w:val="20"/>
                <w:color w:val="auto"/>
              </w:rPr>
            </w:pPr>
            <w:r>
              <w:rPr>
                <w:rFonts w:ascii="Arial" w:cs="Arial" w:eastAsia="Arial" w:hAnsi="Arial"/>
                <w:sz w:val="18"/>
                <w:szCs w:val="18"/>
                <w:color w:val="auto"/>
              </w:rPr>
              <w:t>2,000,000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2,000,000</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Preferred shares, Series B</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922,509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4,999,999</w:t>
            </w:r>
          </w:p>
        </w:tc>
        <w:tc>
          <w:tcPr>
            <w:tcW w:w="10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4,999,999</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66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A</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1,090,909</w:t>
            </w:r>
          </w:p>
        </w:tc>
        <w:tc>
          <w:tcPr>
            <w:tcW w:w="900" w:type="dxa"/>
            <w:vAlign w:val="bottom"/>
          </w:tcPr>
          <w:p>
            <w:pPr>
              <w:jc w:val="right"/>
              <w:spacing w:after="0"/>
              <w:rPr>
                <w:sz w:val="20"/>
                <w:szCs w:val="20"/>
                <w:color w:val="auto"/>
              </w:rPr>
            </w:pPr>
            <w:r>
              <w:rPr>
                <w:rFonts w:ascii="Arial" w:cs="Arial" w:eastAsia="Arial" w:hAnsi="Arial"/>
                <w:sz w:val="18"/>
                <w:szCs w:val="18"/>
                <w:color w:val="auto"/>
              </w:rPr>
              <w:t>3,000,200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Preferred shares, Series Seed</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11"/>
          </w:tcPr>
          <w:p>
            <w:pPr>
              <w:ind w:left="1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10,500,199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10,499,999</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0"/>
        </w:trPr>
        <w:tc>
          <w:tcPr>
            <w:tcW w:w="2660" w:type="dxa"/>
            <w:vAlign w:val="bottom"/>
            <w:gridSpan w:val="12"/>
            <w:shd w:val="clear" w:color="auto" w:fill="CCEEFF"/>
          </w:tcPr>
          <w:p>
            <w:pPr>
              <w:ind w:left="20"/>
              <w:spacing w:after="0" w:line="210" w:lineRule="exact"/>
              <w:rPr>
                <w:sz w:val="20"/>
                <w:szCs w:val="20"/>
                <w:color w:val="auto"/>
              </w:rPr>
            </w:pPr>
            <w:r>
              <w:rPr>
                <w:rFonts w:ascii="Arial" w:cs="Arial" w:eastAsia="Arial" w:hAnsi="Arial"/>
                <w:sz w:val="15"/>
                <w:szCs w:val="15"/>
                <w:b w:val="1"/>
                <w:bCs w:val="1"/>
                <w:color w:val="auto"/>
              </w:rPr>
              <w:t>StormWind, LLC</w:t>
            </w:r>
            <w:r>
              <w:rPr>
                <w:rFonts w:ascii="Arial" w:cs="Arial" w:eastAsia="Arial" w:hAnsi="Arial"/>
                <w:sz w:val="24"/>
                <w:szCs w:val="24"/>
                <w:b w:val="1"/>
                <w:bCs w:val="1"/>
                <w:color w:val="auto"/>
                <w:vertAlign w:val="superscript"/>
              </w:rPr>
              <w:t>(2)(5)</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Scottsdale, AZ</w:t>
            </w:r>
          </w:p>
        </w:tc>
        <w:tc>
          <w:tcPr>
            <w:tcW w:w="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C</w:t>
            </w:r>
          </w:p>
        </w:tc>
        <w:tc>
          <w:tcPr>
            <w:tcW w:w="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Interactive Learning</w:t>
            </w: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2,779,134</w:t>
            </w:r>
          </w:p>
        </w:tc>
        <w:tc>
          <w:tcPr>
            <w:tcW w:w="900" w:type="dxa"/>
            <w:vAlign w:val="bottom"/>
          </w:tcPr>
          <w:p>
            <w:pPr>
              <w:jc w:val="right"/>
              <w:spacing w:after="0"/>
              <w:rPr>
                <w:sz w:val="20"/>
                <w:szCs w:val="20"/>
                <w:color w:val="auto"/>
              </w:rPr>
            </w:pPr>
            <w:r>
              <w:rPr>
                <w:rFonts w:ascii="Arial" w:cs="Arial" w:eastAsia="Arial" w:hAnsi="Arial"/>
                <w:sz w:val="18"/>
                <w:szCs w:val="18"/>
                <w:color w:val="auto"/>
              </w:rPr>
              <w:t>4,000,787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4,650,838</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Preferred shares, Series B</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3,279,629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2,019,687</w:t>
            </w:r>
          </w:p>
        </w:tc>
        <w:tc>
          <w:tcPr>
            <w:tcW w:w="10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4,470,403</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66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A</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366,666</w:t>
            </w:r>
          </w:p>
        </w:tc>
        <w:tc>
          <w:tcPr>
            <w:tcW w:w="900" w:type="dxa"/>
            <w:vAlign w:val="bottom"/>
          </w:tcPr>
          <w:p>
            <w:pPr>
              <w:jc w:val="right"/>
              <w:spacing w:after="0"/>
              <w:rPr>
                <w:sz w:val="20"/>
                <w:szCs w:val="20"/>
                <w:color w:val="auto"/>
              </w:rPr>
            </w:pPr>
            <w:r>
              <w:rPr>
                <w:rFonts w:ascii="Arial" w:cs="Arial" w:eastAsia="Arial" w:hAnsi="Arial"/>
                <w:sz w:val="18"/>
                <w:szCs w:val="18"/>
                <w:color w:val="auto"/>
              </w:rPr>
              <w:t>110,000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499,796</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640" w:type="dxa"/>
            <w:vAlign w:val="bottom"/>
            <w:gridSpan w:val="11"/>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6,130,474</w:t>
            </w:r>
          </w:p>
        </w:tc>
        <w:tc>
          <w:tcPr>
            <w:tcW w:w="10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9,621,037</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gridSpan w:val="12"/>
          </w:tcPr>
          <w:p>
            <w:pPr>
              <w:ind w:left="20"/>
              <w:spacing w:after="0" w:line="210" w:lineRule="exact"/>
              <w:rPr>
                <w:sz w:val="20"/>
                <w:szCs w:val="20"/>
                <w:color w:val="auto"/>
              </w:rPr>
            </w:pPr>
            <w:r>
              <w:rPr>
                <w:rFonts w:ascii="Arial" w:cs="Arial" w:eastAsia="Arial" w:hAnsi="Arial"/>
                <w:sz w:val="15"/>
                <w:szCs w:val="15"/>
                <w:b w:val="1"/>
                <w:bCs w:val="1"/>
                <w:color w:val="auto"/>
              </w:rPr>
              <w:t>Curious.com, Inc.</w:t>
            </w:r>
            <w:r>
              <w:rPr>
                <w:rFonts w:ascii="Arial" w:cs="Arial" w:eastAsia="Arial" w:hAnsi="Arial"/>
                <w:sz w:val="24"/>
                <w:szCs w:val="24"/>
                <w:b w:val="1"/>
                <w:bCs w:val="1"/>
                <w:color w:val="auto"/>
                <w:vertAlign w:val="superscript"/>
              </w:rPr>
              <w:t>(1)</w:t>
            </w: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3"/>
              </w:rPr>
              <w:t>Menlo Park, CA</w:t>
            </w: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Preferred shares, Series B</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Online Education</w:t>
            </w:r>
          </w:p>
        </w:tc>
        <w:tc>
          <w:tcPr>
            <w:tcW w:w="100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3,407,834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12,000,006</w:t>
            </w:r>
          </w:p>
        </w:tc>
        <w:tc>
          <w:tcPr>
            <w:tcW w:w="10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8,933,329</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-5968365</wp:posOffset>
            </wp:positionV>
            <wp:extent cx="521398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-4141470</wp:posOffset>
            </wp:positionV>
            <wp:extent cx="5213985"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-3163570</wp:posOffset>
            </wp:positionV>
            <wp:extent cx="521398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-2186305</wp:posOffset>
            </wp:positionV>
            <wp:extent cx="521398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-1183005</wp:posOffset>
            </wp:positionV>
            <wp:extent cx="521398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-307975</wp:posOffset>
            </wp:positionV>
            <wp:extent cx="521398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 w:name="page10"/>
    <w:bookmarkEnd w:id="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057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5"/>
              </w:rPr>
              <w:t>Headquarters/Industry</w:t>
            </w:r>
          </w:p>
        </w:tc>
        <w:tc>
          <w:tcPr>
            <w:tcW w:w="920" w:type="dxa"/>
            <w:vAlign w:val="bottom"/>
          </w:tcPr>
          <w:p>
            <w:pPr>
              <w:jc w:val="right"/>
              <w:ind w:right="21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660" w:type="dxa"/>
            <w:vAlign w:val="bottom"/>
            <w:gridSpan w:val="12"/>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6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920" w:type="dxa"/>
            <w:vAlign w:val="bottom"/>
          </w:tcPr>
          <w:p>
            <w:pPr>
              <w:jc w:val="right"/>
              <w:ind w:right="171"/>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1"/>
              </w:rPr>
              <w:t>Net Assets</w:t>
            </w:r>
          </w:p>
        </w:tc>
        <w:tc>
          <w:tcPr>
            <w:tcW w:w="0" w:type="dxa"/>
            <w:vAlign w:val="bottom"/>
          </w:tcPr>
          <w:p>
            <w:pPr>
              <w:spacing w:after="0"/>
              <w:rPr>
                <w:sz w:val="1"/>
                <w:szCs w:val="1"/>
                <w:color w:val="auto"/>
              </w:rPr>
            </w:pPr>
          </w:p>
        </w:tc>
      </w:tr>
      <w:tr>
        <w:trPr>
          <w:trHeight w:val="169"/>
        </w:trPr>
        <w:tc>
          <w:tcPr>
            <w:tcW w:w="2660" w:type="dxa"/>
            <w:vAlign w:val="bottom"/>
            <w:tcBorders>
              <w:top w:val="single" w:sz="8" w:color="auto"/>
            </w:tcBorders>
            <w:gridSpan w:val="12"/>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w w:val="98"/>
              </w:rPr>
              <w:t>NestGSV, Inc. (d/b/a GSV Labs,</w:t>
            </w:r>
          </w:p>
        </w:tc>
        <w:tc>
          <w:tcPr>
            <w:tcW w:w="60" w:type="dxa"/>
            <w:vAlign w:val="bottom"/>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shd w:val="clear" w:color="auto" w:fill="CCEEFF"/>
          </w:tcPr>
          <w:p>
            <w:pPr>
              <w:spacing w:after="0"/>
              <w:rPr>
                <w:sz w:val="20"/>
                <w:szCs w:val="20"/>
                <w:color w:val="auto"/>
              </w:rPr>
            </w:pPr>
          </w:p>
        </w:tc>
        <w:tc>
          <w:tcPr>
            <w:tcW w:w="2440" w:type="dxa"/>
            <w:vAlign w:val="bottom"/>
            <w:tcBorders>
              <w:top w:val="single" w:sz="8" w:color="auto"/>
            </w:tcBorders>
            <w:gridSpan w:val="10"/>
            <w:shd w:val="clear" w:color="auto" w:fill="CCEEFF"/>
          </w:tcPr>
          <w:p>
            <w:pPr>
              <w:ind w:left="180"/>
              <w:spacing w:after="0" w:line="236" w:lineRule="exact"/>
              <w:rPr>
                <w:sz w:val="20"/>
                <w:szCs w:val="20"/>
                <w:color w:val="auto"/>
              </w:rPr>
            </w:pPr>
            <w:r>
              <w:rPr>
                <w:rFonts w:ascii="Arial" w:cs="Arial" w:eastAsia="Arial" w:hAnsi="Arial"/>
                <w:sz w:val="17"/>
                <w:szCs w:val="17"/>
                <w:b w:val="1"/>
                <w:bCs w:val="1"/>
                <w:color w:val="auto"/>
              </w:rPr>
              <w:t>Inc.)</w:t>
            </w:r>
            <w:r>
              <w:rPr>
                <w:rFonts w:ascii="Arial" w:cs="Arial" w:eastAsia="Arial" w:hAnsi="Arial"/>
                <w:sz w:val="27"/>
                <w:szCs w:val="27"/>
                <w:b w:val="1"/>
                <w:bCs w:val="1"/>
                <w:color w:val="auto"/>
                <w:vertAlign w:val="superscript"/>
              </w:rPr>
              <w:t>(2)</w:t>
            </w:r>
          </w:p>
        </w:tc>
        <w:tc>
          <w:tcPr>
            <w:tcW w:w="2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980" w:type="dxa"/>
            <w:vAlign w:val="bottom"/>
            <w:tcBorders>
              <w:top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3"/>
              </w:rPr>
              <w:t>Redwood City, CA</w:t>
            </w:r>
          </w:p>
        </w:tc>
        <w:tc>
          <w:tcPr>
            <w:tcW w:w="92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left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left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660" w:type="dxa"/>
            <w:vAlign w:val="bottom"/>
            <w:gridSpan w:val="12"/>
          </w:tcPr>
          <w:p>
            <w:pPr>
              <w:ind w:left="20"/>
              <w:spacing w:after="0" w:line="201" w:lineRule="exact"/>
              <w:rPr>
                <w:sz w:val="20"/>
                <w:szCs w:val="20"/>
                <w:color w:val="auto"/>
              </w:rPr>
            </w:pPr>
            <w:r>
              <w:rPr>
                <w:rFonts w:ascii="Arial" w:cs="Arial" w:eastAsia="Arial" w:hAnsi="Arial"/>
                <w:sz w:val="18"/>
                <w:szCs w:val="18"/>
                <w:color w:val="auto"/>
              </w:rPr>
              <w:t>Convertible Promissory Note 8%</w:t>
            </w:r>
          </w:p>
        </w:tc>
        <w:tc>
          <w:tcPr>
            <w:tcW w:w="60" w:type="dxa"/>
            <w:vAlign w:val="bottom"/>
          </w:tcPr>
          <w:p>
            <w:pPr>
              <w:spacing w:after="0"/>
              <w:rPr>
                <w:sz w:val="17"/>
                <w:szCs w:val="17"/>
                <w:color w:val="auto"/>
              </w:rPr>
            </w:pPr>
          </w:p>
        </w:tc>
        <w:tc>
          <w:tcPr>
            <w:tcW w:w="1980" w:type="dxa"/>
            <w:vAlign w:val="bottom"/>
            <w:gridSpan w:val="3"/>
          </w:tcPr>
          <w:p>
            <w:pPr>
              <w:jc w:val="center"/>
              <w:ind w:right="140"/>
              <w:spacing w:after="0" w:line="201" w:lineRule="exact"/>
              <w:rPr>
                <w:sz w:val="20"/>
                <w:szCs w:val="20"/>
                <w:color w:val="auto"/>
              </w:rPr>
            </w:pPr>
            <w:r>
              <w:rPr>
                <w:rFonts w:ascii="Arial" w:cs="Arial" w:eastAsia="Arial" w:hAnsi="Arial"/>
                <w:sz w:val="18"/>
                <w:szCs w:val="18"/>
                <w:color w:val="auto"/>
                <w:w w:val="94"/>
              </w:rPr>
              <w:t>Global Innovation</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11"/>
          </w:tcPr>
          <w:p>
            <w:pPr>
              <w:ind w:left="180"/>
              <w:spacing w:after="0"/>
              <w:rPr>
                <w:sz w:val="20"/>
                <w:szCs w:val="20"/>
                <w:color w:val="auto"/>
              </w:rPr>
            </w:pPr>
            <w:r>
              <w:rPr>
                <w:rFonts w:ascii="Arial" w:cs="Arial" w:eastAsia="Arial" w:hAnsi="Arial"/>
                <w:sz w:val="18"/>
                <w:szCs w:val="18"/>
                <w:color w:val="auto"/>
              </w:rPr>
              <w:t>Due</w:t>
            </w:r>
          </w:p>
        </w:tc>
        <w:tc>
          <w:tcPr>
            <w:tcW w:w="60" w:type="dxa"/>
            <w:vAlign w:val="bottom"/>
          </w:tcPr>
          <w:p>
            <w:pPr>
              <w:spacing w:after="0"/>
              <w:rPr>
                <w:sz w:val="18"/>
                <w:szCs w:val="18"/>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Platform</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gridSpan w:val="6"/>
          </w:tcPr>
          <w:p>
            <w:pPr>
              <w:ind w:left="200"/>
              <w:spacing w:after="0"/>
              <w:rPr>
                <w:sz w:val="20"/>
                <w:szCs w:val="20"/>
                <w:color w:val="auto"/>
              </w:rPr>
            </w:pPr>
            <w:r>
              <w:rPr>
                <w:rFonts w:ascii="Arial" w:cs="Arial" w:eastAsia="Arial" w:hAnsi="Arial"/>
                <w:sz w:val="18"/>
                <w:szCs w:val="18"/>
                <w:color w:val="auto"/>
              </w:rPr>
              <w:t>7/31/2017***</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514,889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510,420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508,141</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2"/>
        </w:trPr>
        <w:tc>
          <w:tcPr>
            <w:tcW w:w="2660" w:type="dxa"/>
            <w:vAlign w:val="bottom"/>
            <w:gridSpan w:val="12"/>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Unsecured Promissory Note 12%</w:t>
            </w:r>
          </w:p>
        </w:tc>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640" w:type="dxa"/>
            <w:vAlign w:val="bottom"/>
            <w:gridSpan w:val="11"/>
            <w:shd w:val="clear" w:color="auto" w:fill="CCEEFF"/>
          </w:tcPr>
          <w:p>
            <w:pPr>
              <w:ind w:left="180"/>
              <w:spacing w:after="0"/>
              <w:rPr>
                <w:sz w:val="20"/>
                <w:szCs w:val="20"/>
                <w:color w:val="auto"/>
              </w:rPr>
            </w:pPr>
            <w:r>
              <w:rPr>
                <w:rFonts w:ascii="Arial" w:cs="Arial" w:eastAsia="Arial" w:hAnsi="Arial"/>
                <w:sz w:val="18"/>
                <w:szCs w:val="18"/>
                <w:color w:val="auto"/>
              </w:rPr>
              <w:t>Due</w:t>
            </w:r>
          </w:p>
        </w:tc>
        <w:tc>
          <w:tcPr>
            <w:tcW w:w="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760" w:type="dxa"/>
            <w:vAlign w:val="bottom"/>
            <w:gridSpan w:val="8"/>
            <w:shd w:val="clear" w:color="auto" w:fill="CCEEFF"/>
          </w:tcPr>
          <w:p>
            <w:pPr>
              <w:ind w:left="200"/>
              <w:spacing w:after="0" w:line="266" w:lineRule="exact"/>
              <w:rPr>
                <w:sz w:val="20"/>
                <w:szCs w:val="20"/>
                <w:color w:val="auto"/>
              </w:rPr>
            </w:pPr>
            <w:r>
              <w:rPr>
                <w:rFonts w:ascii="Arial" w:cs="Arial" w:eastAsia="Arial" w:hAnsi="Arial"/>
                <w:sz w:val="18"/>
                <w:szCs w:val="18"/>
                <w:color w:val="auto"/>
              </w:rPr>
              <w:t>11/29/2017***</w:t>
            </w:r>
            <w:r>
              <w:rPr>
                <w:rFonts w:ascii="Arial" w:cs="Arial" w:eastAsia="Arial" w:hAnsi="Arial"/>
                <w:sz w:val="30"/>
                <w:szCs w:val="30"/>
                <w:color w:val="auto"/>
                <w:vertAlign w:val="superscript"/>
              </w:rPr>
              <w:t>(11)</w:t>
            </w: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526,000</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467,198</w:t>
            </w:r>
          </w:p>
        </w:tc>
        <w:tc>
          <w:tcPr>
            <w:tcW w:w="10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467,200</w:t>
            </w:r>
          </w:p>
        </w:tc>
        <w:tc>
          <w:tcPr>
            <w:tcW w:w="8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66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A-4</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3,720,424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4,904,498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4,873,755</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Preferred shares, Series A-3</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1,561,625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2,005,730</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1,702,171</w:t>
            </w:r>
          </w:p>
        </w:tc>
        <w:tc>
          <w:tcPr>
            <w:tcW w:w="8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266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A-2</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450,001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605,500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297,000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Preferred shares, Series A-1</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1,000,000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1,021,778</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490,000</w:t>
            </w:r>
          </w:p>
        </w:tc>
        <w:tc>
          <w:tcPr>
            <w:tcW w:w="8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660" w:type="dxa"/>
            <w:vAlign w:val="bottom"/>
            <w:gridSpan w:val="12"/>
          </w:tcPr>
          <w:p>
            <w:pPr>
              <w:ind w:left="20"/>
              <w:spacing w:after="0"/>
              <w:rPr>
                <w:sz w:val="20"/>
                <w:szCs w:val="20"/>
                <w:color w:val="auto"/>
              </w:rPr>
            </w:pPr>
            <w:r>
              <w:rPr>
                <w:rFonts w:ascii="Arial" w:cs="Arial" w:eastAsia="Arial" w:hAnsi="Arial"/>
                <w:sz w:val="18"/>
                <w:szCs w:val="18"/>
                <w:color w:val="auto"/>
              </w:rPr>
              <w:t>Common shares</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60" w:type="dxa"/>
            <w:vAlign w:val="bottom"/>
            <w:gridSpan w:val="12"/>
            <w:shd w:val="clear" w:color="auto" w:fill="CCEEFF"/>
          </w:tcPr>
          <w:p>
            <w:pPr>
              <w:ind w:left="20"/>
              <w:spacing w:after="0" w:line="201" w:lineRule="exact"/>
              <w:rPr>
                <w:sz w:val="20"/>
                <w:szCs w:val="20"/>
                <w:color w:val="auto"/>
              </w:rPr>
            </w:pPr>
            <w:r>
              <w:rPr>
                <w:rFonts w:ascii="Arial" w:cs="Arial" w:eastAsia="Arial" w:hAnsi="Arial"/>
                <w:sz w:val="18"/>
                <w:szCs w:val="18"/>
                <w:color w:val="auto"/>
              </w:rPr>
              <w:t>Preferred Warrants Series A-3 –</w:t>
            </w:r>
          </w:p>
        </w:tc>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60" w:type="dxa"/>
            <w:vAlign w:val="bottom"/>
            <w:gridSpan w:val="10"/>
            <w:shd w:val="clear" w:color="auto" w:fill="CCEEFF"/>
          </w:tcPr>
          <w:p>
            <w:pPr>
              <w:ind w:left="40"/>
              <w:spacing w:after="0"/>
              <w:rPr>
                <w:sz w:val="20"/>
                <w:szCs w:val="20"/>
                <w:color w:val="auto"/>
              </w:rPr>
            </w:pPr>
            <w:r>
              <w:rPr>
                <w:rFonts w:ascii="Arial" w:cs="Arial" w:eastAsia="Arial" w:hAnsi="Arial"/>
                <w:sz w:val="18"/>
                <w:szCs w:val="18"/>
                <w:color w:val="auto"/>
                <w:w w:val="99"/>
              </w:rPr>
              <w:t>Strike Price $1.33 – Expiration</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640" w:type="dxa"/>
            <w:vAlign w:val="bottom"/>
            <w:gridSpan w:val="11"/>
            <w:shd w:val="clear" w:color="auto" w:fill="CCEEFF"/>
          </w:tcPr>
          <w:p>
            <w:pPr>
              <w:ind w:left="180"/>
              <w:spacing w:after="0"/>
              <w:rPr>
                <w:sz w:val="20"/>
                <w:szCs w:val="20"/>
                <w:color w:val="auto"/>
              </w:rPr>
            </w:pPr>
            <w:r>
              <w:rPr>
                <w:rFonts w:ascii="Arial" w:cs="Arial" w:eastAsia="Arial" w:hAnsi="Arial"/>
                <w:sz w:val="18"/>
                <w:szCs w:val="18"/>
                <w:color w:val="auto"/>
              </w:rPr>
              <w:t>Date 4/4/2019</w:t>
            </w:r>
          </w:p>
        </w:tc>
        <w:tc>
          <w:tcPr>
            <w:tcW w:w="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187,500</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w:t>
            </w:r>
          </w:p>
        </w:tc>
        <w:tc>
          <w:tcPr>
            <w:tcW w:w="8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2"/>
        </w:trPr>
        <w:tc>
          <w:tcPr>
            <w:tcW w:w="2660" w:type="dxa"/>
            <w:vAlign w:val="bottom"/>
            <w:gridSpan w:val="12"/>
          </w:tcPr>
          <w:p>
            <w:pPr>
              <w:ind w:left="20"/>
              <w:spacing w:after="0" w:line="201" w:lineRule="exact"/>
              <w:rPr>
                <w:sz w:val="20"/>
                <w:szCs w:val="20"/>
                <w:color w:val="auto"/>
              </w:rPr>
            </w:pPr>
            <w:r>
              <w:rPr>
                <w:rFonts w:ascii="Arial" w:cs="Arial" w:eastAsia="Arial" w:hAnsi="Arial"/>
                <w:sz w:val="18"/>
                <w:szCs w:val="18"/>
                <w:color w:val="auto"/>
              </w:rPr>
              <w:t>Preferred Warrants Series A-4 –</w:t>
            </w:r>
          </w:p>
        </w:tc>
        <w:tc>
          <w:tcPr>
            <w:tcW w:w="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10"/>
          </w:tcPr>
          <w:p>
            <w:pPr>
              <w:ind w:left="40"/>
              <w:spacing w:after="0"/>
              <w:rPr>
                <w:sz w:val="20"/>
                <w:szCs w:val="20"/>
                <w:color w:val="auto"/>
              </w:rPr>
            </w:pPr>
            <w:r>
              <w:rPr>
                <w:rFonts w:ascii="Arial" w:cs="Arial" w:eastAsia="Arial" w:hAnsi="Arial"/>
                <w:sz w:val="18"/>
                <w:szCs w:val="18"/>
                <w:color w:val="auto"/>
                <w:w w:val="99"/>
              </w:rPr>
              <w:t>Strike Price $1.33 – Expiration</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gridSpan w:val="11"/>
          </w:tcPr>
          <w:p>
            <w:pPr>
              <w:ind w:left="180"/>
              <w:spacing w:after="0"/>
              <w:rPr>
                <w:sz w:val="20"/>
                <w:szCs w:val="20"/>
                <w:color w:val="auto"/>
              </w:rPr>
            </w:pPr>
            <w:r>
              <w:rPr>
                <w:rFonts w:ascii="Arial" w:cs="Arial" w:eastAsia="Arial" w:hAnsi="Arial"/>
                <w:sz w:val="18"/>
                <w:szCs w:val="18"/>
                <w:color w:val="auto"/>
              </w:rPr>
              <w:t>Date 10/6/2019</w:t>
            </w:r>
          </w:p>
        </w:tc>
        <w:tc>
          <w:tcPr>
            <w:tcW w:w="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150,000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2"/>
        </w:trPr>
        <w:tc>
          <w:tcPr>
            <w:tcW w:w="2660" w:type="dxa"/>
            <w:vAlign w:val="bottom"/>
            <w:gridSpan w:val="12"/>
            <w:shd w:val="clear" w:color="auto" w:fill="CCEEFF"/>
          </w:tcPr>
          <w:p>
            <w:pPr>
              <w:ind w:left="20"/>
              <w:spacing w:after="0" w:line="201" w:lineRule="exact"/>
              <w:rPr>
                <w:sz w:val="20"/>
                <w:szCs w:val="20"/>
                <w:color w:val="auto"/>
              </w:rPr>
            </w:pPr>
            <w:r>
              <w:rPr>
                <w:rFonts w:ascii="Arial" w:cs="Arial" w:eastAsia="Arial" w:hAnsi="Arial"/>
                <w:sz w:val="18"/>
                <w:szCs w:val="18"/>
                <w:color w:val="auto"/>
              </w:rPr>
              <w:t>Preferred Warrants Series A-4 –</w:t>
            </w:r>
          </w:p>
        </w:tc>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60" w:type="dxa"/>
            <w:vAlign w:val="bottom"/>
            <w:gridSpan w:val="10"/>
            <w:shd w:val="clear" w:color="auto" w:fill="CCEEFF"/>
          </w:tcPr>
          <w:p>
            <w:pPr>
              <w:ind w:left="40"/>
              <w:spacing w:after="0"/>
              <w:rPr>
                <w:sz w:val="20"/>
                <w:szCs w:val="20"/>
                <w:color w:val="auto"/>
              </w:rPr>
            </w:pPr>
            <w:r>
              <w:rPr>
                <w:rFonts w:ascii="Arial" w:cs="Arial" w:eastAsia="Arial" w:hAnsi="Arial"/>
                <w:sz w:val="18"/>
                <w:szCs w:val="18"/>
                <w:color w:val="auto"/>
                <w:w w:val="99"/>
              </w:rPr>
              <w:t>Strike Price $1.33 – Expiration</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640" w:type="dxa"/>
            <w:vAlign w:val="bottom"/>
            <w:gridSpan w:val="11"/>
            <w:shd w:val="clear" w:color="auto" w:fill="CCEEFF"/>
          </w:tcPr>
          <w:p>
            <w:pPr>
              <w:ind w:left="180"/>
              <w:spacing w:after="0"/>
              <w:rPr>
                <w:sz w:val="20"/>
                <w:szCs w:val="20"/>
                <w:color w:val="auto"/>
              </w:rPr>
            </w:pPr>
            <w:r>
              <w:rPr>
                <w:rFonts w:ascii="Arial" w:cs="Arial" w:eastAsia="Arial" w:hAnsi="Arial"/>
                <w:sz w:val="18"/>
                <w:szCs w:val="18"/>
                <w:color w:val="auto"/>
              </w:rPr>
              <w:t>Date 7/18/2021</w:t>
            </w:r>
          </w:p>
        </w:tc>
        <w:tc>
          <w:tcPr>
            <w:tcW w:w="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74,380</w:t>
            </w:r>
          </w:p>
        </w:tc>
        <w:tc>
          <w:tcPr>
            <w:tcW w:w="10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8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2"/>
        </w:trPr>
        <w:tc>
          <w:tcPr>
            <w:tcW w:w="2660" w:type="dxa"/>
            <w:vAlign w:val="bottom"/>
            <w:gridSpan w:val="12"/>
          </w:tcPr>
          <w:p>
            <w:pPr>
              <w:ind w:left="20"/>
              <w:spacing w:after="0" w:line="201" w:lineRule="exact"/>
              <w:rPr>
                <w:sz w:val="20"/>
                <w:szCs w:val="20"/>
                <w:color w:val="auto"/>
              </w:rPr>
            </w:pPr>
            <w:r>
              <w:rPr>
                <w:rFonts w:ascii="Arial" w:cs="Arial" w:eastAsia="Arial" w:hAnsi="Arial"/>
                <w:sz w:val="18"/>
                <w:szCs w:val="18"/>
                <w:color w:val="auto"/>
              </w:rPr>
              <w:t>Preferred Warrants Series A-4 –</w:t>
            </w:r>
          </w:p>
        </w:tc>
        <w:tc>
          <w:tcPr>
            <w:tcW w:w="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10"/>
          </w:tcPr>
          <w:p>
            <w:pPr>
              <w:ind w:left="40"/>
              <w:spacing w:after="0"/>
              <w:rPr>
                <w:sz w:val="20"/>
                <w:szCs w:val="20"/>
                <w:color w:val="auto"/>
              </w:rPr>
            </w:pPr>
            <w:r>
              <w:rPr>
                <w:rFonts w:ascii="Arial" w:cs="Arial" w:eastAsia="Arial" w:hAnsi="Arial"/>
                <w:sz w:val="18"/>
                <w:szCs w:val="18"/>
                <w:color w:val="auto"/>
                <w:w w:val="99"/>
              </w:rPr>
              <w:t>Strike Price $1.33 – Expiration</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gridSpan w:val="11"/>
          </w:tcPr>
          <w:p>
            <w:pPr>
              <w:ind w:left="180"/>
              <w:spacing w:after="0"/>
              <w:rPr>
                <w:sz w:val="20"/>
                <w:szCs w:val="20"/>
                <w:color w:val="auto"/>
              </w:rPr>
            </w:pPr>
            <w:r>
              <w:rPr>
                <w:rFonts w:ascii="Arial" w:cs="Arial" w:eastAsia="Arial" w:hAnsi="Arial"/>
                <w:sz w:val="18"/>
                <w:szCs w:val="18"/>
                <w:color w:val="auto"/>
              </w:rPr>
              <w:t>Date 11/29/2021</w:t>
            </w:r>
          </w:p>
        </w:tc>
        <w:tc>
          <w:tcPr>
            <w:tcW w:w="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35,000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2"/>
        </w:trPr>
        <w:tc>
          <w:tcPr>
            <w:tcW w:w="2660" w:type="dxa"/>
            <w:vAlign w:val="bottom"/>
            <w:gridSpan w:val="12"/>
            <w:shd w:val="clear" w:color="auto" w:fill="CCEEFF"/>
          </w:tcPr>
          <w:p>
            <w:pPr>
              <w:ind w:left="20"/>
              <w:spacing w:after="0" w:line="201" w:lineRule="exact"/>
              <w:rPr>
                <w:sz w:val="20"/>
                <w:szCs w:val="20"/>
                <w:color w:val="auto"/>
              </w:rPr>
            </w:pPr>
            <w:r>
              <w:rPr>
                <w:rFonts w:ascii="Arial" w:cs="Arial" w:eastAsia="Arial" w:hAnsi="Arial"/>
                <w:sz w:val="18"/>
                <w:szCs w:val="18"/>
                <w:color w:val="auto"/>
                <w:w w:val="92"/>
              </w:rPr>
              <w:t>Preferred Warrant Series B – Strike</w:t>
            </w:r>
          </w:p>
        </w:tc>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640" w:type="dxa"/>
            <w:vAlign w:val="bottom"/>
            <w:gridSpan w:val="11"/>
            <w:shd w:val="clear" w:color="auto" w:fill="CCEEFF"/>
          </w:tcPr>
          <w:p>
            <w:pPr>
              <w:ind w:left="180"/>
              <w:spacing w:after="0"/>
              <w:rPr>
                <w:sz w:val="20"/>
                <w:szCs w:val="20"/>
                <w:color w:val="auto"/>
              </w:rPr>
            </w:pPr>
            <w:r>
              <w:rPr>
                <w:rFonts w:ascii="Arial" w:cs="Arial" w:eastAsia="Arial" w:hAnsi="Arial"/>
                <w:sz w:val="18"/>
                <w:szCs w:val="18"/>
                <w:color w:val="auto"/>
              </w:rPr>
              <w:t>Price $2.31, Expiration Date</w:t>
            </w:r>
          </w:p>
        </w:tc>
        <w:tc>
          <w:tcPr>
            <w:tcW w:w="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240" w:type="dxa"/>
            <w:vAlign w:val="bottom"/>
            <w:gridSpan w:val="6"/>
            <w:shd w:val="clear" w:color="auto" w:fill="CCEEFF"/>
          </w:tcPr>
          <w:p>
            <w:pPr>
              <w:ind w:left="200"/>
              <w:spacing w:after="0" w:line="266" w:lineRule="exact"/>
              <w:rPr>
                <w:sz w:val="20"/>
                <w:szCs w:val="20"/>
                <w:color w:val="auto"/>
              </w:rPr>
            </w:pPr>
            <w:r>
              <w:rPr>
                <w:rFonts w:ascii="Arial" w:cs="Arial" w:eastAsia="Arial" w:hAnsi="Arial"/>
                <w:sz w:val="18"/>
                <w:szCs w:val="18"/>
                <w:color w:val="auto"/>
                <w:w w:val="88"/>
              </w:rPr>
              <w:t>6/30/2022</w:t>
            </w:r>
            <w:r>
              <w:rPr>
                <w:rFonts w:ascii="Arial" w:cs="Arial" w:eastAsia="Arial" w:hAnsi="Arial"/>
                <w:sz w:val="30"/>
                <w:szCs w:val="30"/>
                <w:color w:val="auto"/>
                <w:w w:val="88"/>
                <w:vertAlign w:val="superscript"/>
              </w:rPr>
              <w:t>(11)</w:t>
            </w:r>
          </w:p>
        </w:tc>
        <w:tc>
          <w:tcPr>
            <w:tcW w:w="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70,379</w:t>
            </w:r>
          </w:p>
        </w:tc>
        <w:tc>
          <w:tcPr>
            <w:tcW w:w="10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8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11"/>
          </w:tcPr>
          <w:p>
            <w:pPr>
              <w:ind w:left="1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9,690,158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8,705,142</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169"/>
        </w:trPr>
        <w:tc>
          <w:tcPr>
            <w:tcW w:w="2660" w:type="dxa"/>
            <w:vAlign w:val="bottom"/>
            <w:gridSpan w:val="12"/>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Lyft, Inc.</w:t>
            </w:r>
          </w:p>
        </w:tc>
        <w:tc>
          <w:tcPr>
            <w:tcW w:w="6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jc w:val="center"/>
              <w:ind w:right="140"/>
              <w:spacing w:after="0" w:line="170" w:lineRule="exact"/>
              <w:rPr>
                <w:sz w:val="20"/>
                <w:szCs w:val="20"/>
                <w:color w:val="auto"/>
              </w:rPr>
            </w:pPr>
            <w:r>
              <w:rPr>
                <w:rFonts w:ascii="Arial" w:cs="Arial" w:eastAsia="Arial" w:hAnsi="Arial"/>
                <w:sz w:val="18"/>
                <w:szCs w:val="18"/>
                <w:color w:val="auto"/>
                <w:w w:val="90"/>
              </w:rPr>
              <w:t>San Francisco, CA</w:t>
            </w:r>
          </w:p>
        </w:tc>
        <w:tc>
          <w:tcPr>
            <w:tcW w:w="92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660" w:type="dxa"/>
            <w:vAlign w:val="bottom"/>
            <w:gridSpan w:val="12"/>
          </w:tcPr>
          <w:p>
            <w:pPr>
              <w:ind w:left="20"/>
              <w:spacing w:after="0" w:line="201" w:lineRule="exact"/>
              <w:rPr>
                <w:sz w:val="20"/>
                <w:szCs w:val="20"/>
                <w:color w:val="auto"/>
              </w:rPr>
            </w:pPr>
            <w:r>
              <w:rPr>
                <w:rFonts w:ascii="Arial" w:cs="Arial" w:eastAsia="Arial" w:hAnsi="Arial"/>
                <w:sz w:val="18"/>
                <w:szCs w:val="18"/>
                <w:color w:val="auto"/>
              </w:rPr>
              <w:t>Preferred shares, Series E</w:t>
            </w:r>
          </w:p>
        </w:tc>
        <w:tc>
          <w:tcPr>
            <w:tcW w:w="60" w:type="dxa"/>
            <w:vAlign w:val="bottom"/>
          </w:tcPr>
          <w:p>
            <w:pPr>
              <w:spacing w:after="0"/>
              <w:rPr>
                <w:sz w:val="17"/>
                <w:szCs w:val="17"/>
                <w:color w:val="auto"/>
              </w:rPr>
            </w:pPr>
          </w:p>
        </w:tc>
        <w:tc>
          <w:tcPr>
            <w:tcW w:w="1980" w:type="dxa"/>
            <w:vAlign w:val="bottom"/>
            <w:gridSpan w:val="3"/>
          </w:tcPr>
          <w:p>
            <w:pPr>
              <w:jc w:val="center"/>
              <w:ind w:right="120"/>
              <w:spacing w:after="0" w:line="201" w:lineRule="exact"/>
              <w:rPr>
                <w:sz w:val="20"/>
                <w:szCs w:val="20"/>
                <w:color w:val="auto"/>
              </w:rPr>
            </w:pPr>
            <w:r>
              <w:rPr>
                <w:rFonts w:ascii="Arial" w:cs="Arial" w:eastAsia="Arial" w:hAnsi="Arial"/>
                <w:sz w:val="18"/>
                <w:szCs w:val="18"/>
                <w:color w:val="auto"/>
                <w:w w:val="91"/>
              </w:rPr>
              <w:t>On-Demand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Transportation</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128,563</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2,503,585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3,599,764</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Preferred shares, Series D</w:t>
            </w:r>
          </w:p>
        </w:tc>
        <w:tc>
          <w:tcPr>
            <w:tcW w:w="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9"/>
              </w:rPr>
              <w:t>Services</w:t>
            </w:r>
          </w:p>
        </w:tc>
        <w:tc>
          <w:tcPr>
            <w:tcW w:w="92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176,266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1,792,749</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4,829,688</w:t>
            </w:r>
          </w:p>
        </w:tc>
        <w:tc>
          <w:tcPr>
            <w:tcW w:w="8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11"/>
          </w:tcPr>
          <w:p>
            <w:pPr>
              <w:ind w:left="1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4,296,334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8,429,452</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0"/>
        </w:trPr>
        <w:tc>
          <w:tcPr>
            <w:tcW w:w="2660" w:type="dxa"/>
            <w:vAlign w:val="bottom"/>
            <w:gridSpan w:val="12"/>
            <w:shd w:val="clear" w:color="auto" w:fill="CCEEFF"/>
          </w:tcPr>
          <w:p>
            <w:pPr>
              <w:ind w:left="20"/>
              <w:spacing w:after="0" w:line="210" w:lineRule="exact"/>
              <w:rPr>
                <w:sz w:val="20"/>
                <w:szCs w:val="20"/>
                <w:color w:val="auto"/>
              </w:rPr>
            </w:pPr>
            <w:r>
              <w:rPr>
                <w:rFonts w:ascii="Arial" w:cs="Arial" w:eastAsia="Arial" w:hAnsi="Arial"/>
                <w:sz w:val="15"/>
                <w:szCs w:val="15"/>
                <w:b w:val="1"/>
                <w:bCs w:val="1"/>
                <w:color w:val="auto"/>
              </w:rPr>
              <w:t>Declara, Inc.</w:t>
            </w:r>
            <w:r>
              <w:rPr>
                <w:rFonts w:ascii="Arial" w:cs="Arial" w:eastAsia="Arial" w:hAnsi="Arial"/>
                <w:sz w:val="24"/>
                <w:szCs w:val="24"/>
                <w:b w:val="1"/>
                <w:bCs w:val="1"/>
                <w:color w:val="auto"/>
                <w:vertAlign w:val="superscript"/>
              </w:rPr>
              <w:t>(1)</w:t>
            </w:r>
          </w:p>
        </w:tc>
        <w:tc>
          <w:tcPr>
            <w:tcW w:w="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5"/>
              </w:rPr>
              <w:t>Palo Alto, CA</w:t>
            </w: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gridSpan w:val="12"/>
          </w:tcPr>
          <w:p>
            <w:pPr>
              <w:ind w:left="20"/>
              <w:spacing w:after="0" w:line="202" w:lineRule="exact"/>
              <w:rPr>
                <w:sz w:val="20"/>
                <w:szCs w:val="20"/>
                <w:color w:val="auto"/>
              </w:rPr>
            </w:pPr>
            <w:r>
              <w:rPr>
                <w:rFonts w:ascii="Arial" w:cs="Arial" w:eastAsia="Arial" w:hAnsi="Arial"/>
                <w:sz w:val="18"/>
                <w:szCs w:val="18"/>
                <w:color w:val="auto"/>
              </w:rPr>
              <w:t>Convertible Promissory Note 9%</w:t>
            </w:r>
          </w:p>
        </w:tc>
        <w:tc>
          <w:tcPr>
            <w:tcW w:w="60" w:type="dxa"/>
            <w:vAlign w:val="bottom"/>
          </w:tcPr>
          <w:p>
            <w:pPr>
              <w:spacing w:after="0"/>
              <w:rPr>
                <w:sz w:val="17"/>
                <w:szCs w:val="17"/>
                <w:color w:val="auto"/>
              </w:rPr>
            </w:pPr>
          </w:p>
        </w:tc>
        <w:tc>
          <w:tcPr>
            <w:tcW w:w="1980" w:type="dxa"/>
            <w:vAlign w:val="bottom"/>
            <w:gridSpan w:val="3"/>
          </w:tcPr>
          <w:p>
            <w:pPr>
              <w:jc w:val="center"/>
              <w:ind w:right="140"/>
              <w:spacing w:after="0" w:line="202" w:lineRule="exact"/>
              <w:rPr>
                <w:sz w:val="20"/>
                <w:szCs w:val="20"/>
                <w:color w:val="auto"/>
              </w:rPr>
            </w:pPr>
            <w:r>
              <w:rPr>
                <w:rFonts w:ascii="Arial" w:cs="Arial" w:eastAsia="Arial" w:hAnsi="Arial"/>
                <w:sz w:val="18"/>
                <w:szCs w:val="18"/>
                <w:color w:val="auto"/>
                <w:w w:val="92"/>
              </w:rPr>
              <w:t>Social Cognitive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40" w:type="dxa"/>
            <w:vAlign w:val="bottom"/>
            <w:gridSpan w:val="11"/>
          </w:tcPr>
          <w:p>
            <w:pPr>
              <w:ind w:left="180"/>
              <w:spacing w:after="0"/>
              <w:rPr>
                <w:sz w:val="20"/>
                <w:szCs w:val="20"/>
                <w:color w:val="auto"/>
              </w:rPr>
            </w:pPr>
            <w:r>
              <w:rPr>
                <w:rFonts w:ascii="Arial" w:cs="Arial" w:eastAsia="Arial" w:hAnsi="Arial"/>
                <w:sz w:val="18"/>
                <w:szCs w:val="18"/>
                <w:color w:val="auto"/>
              </w:rPr>
              <w:t>Due</w:t>
            </w:r>
          </w:p>
        </w:tc>
        <w:tc>
          <w:tcPr>
            <w:tcW w:w="60" w:type="dxa"/>
            <w:vAlign w:val="bottom"/>
          </w:tcPr>
          <w:p>
            <w:pPr>
              <w:spacing w:after="0"/>
              <w:rPr>
                <w:sz w:val="19"/>
                <w:szCs w:val="19"/>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Learning</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760" w:type="dxa"/>
            <w:vAlign w:val="bottom"/>
            <w:gridSpan w:val="8"/>
          </w:tcPr>
          <w:p>
            <w:pPr>
              <w:ind w:left="200"/>
              <w:spacing w:after="0" w:line="266" w:lineRule="exact"/>
              <w:rPr>
                <w:sz w:val="20"/>
                <w:szCs w:val="20"/>
                <w:color w:val="auto"/>
              </w:rPr>
            </w:pPr>
            <w:r>
              <w:rPr>
                <w:rFonts w:ascii="Arial" w:cs="Arial" w:eastAsia="Arial" w:hAnsi="Arial"/>
                <w:sz w:val="18"/>
                <w:szCs w:val="18"/>
                <w:color w:val="auto"/>
              </w:rPr>
              <w:t>12/31/2017***</w:t>
            </w:r>
            <w:r>
              <w:rPr>
                <w:rFonts w:ascii="Arial" w:cs="Arial" w:eastAsia="Arial" w:hAnsi="Arial"/>
                <w:sz w:val="30"/>
                <w:szCs w:val="30"/>
                <w:color w:val="auto"/>
                <w:vertAlign w:val="superscript"/>
              </w:rPr>
              <w:t>(12)</w:t>
            </w: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2,120,658</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2,120,658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2,827,020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Preferred shares, Series A</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10,716,390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9,999,999</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4,393,720</w:t>
            </w:r>
          </w:p>
        </w:tc>
        <w:tc>
          <w:tcPr>
            <w:tcW w:w="8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11"/>
          </w:tcPr>
          <w:p>
            <w:pPr>
              <w:ind w:left="1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12,120,657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7,220,740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169"/>
        </w:trPr>
        <w:tc>
          <w:tcPr>
            <w:tcW w:w="2660" w:type="dxa"/>
            <w:vAlign w:val="bottom"/>
            <w:gridSpan w:val="12"/>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SugarCRM, Inc.</w:t>
            </w:r>
          </w:p>
        </w:tc>
        <w:tc>
          <w:tcPr>
            <w:tcW w:w="6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jc w:val="center"/>
              <w:ind w:right="120"/>
              <w:spacing w:after="0" w:line="170" w:lineRule="exact"/>
              <w:rPr>
                <w:sz w:val="20"/>
                <w:szCs w:val="20"/>
                <w:color w:val="auto"/>
              </w:rPr>
            </w:pPr>
            <w:r>
              <w:rPr>
                <w:rFonts w:ascii="Arial" w:cs="Arial" w:eastAsia="Arial" w:hAnsi="Arial"/>
                <w:sz w:val="18"/>
                <w:szCs w:val="18"/>
                <w:color w:val="auto"/>
                <w:w w:val="93"/>
              </w:rPr>
              <w:t>Cupertino, CA</w:t>
            </w:r>
          </w:p>
        </w:tc>
        <w:tc>
          <w:tcPr>
            <w:tcW w:w="92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E</w:t>
            </w:r>
          </w:p>
        </w:tc>
        <w:tc>
          <w:tcPr>
            <w:tcW w:w="60" w:type="dxa"/>
            <w:vAlign w:val="bottom"/>
          </w:tcPr>
          <w:p>
            <w:pPr>
              <w:spacing w:after="0"/>
              <w:rPr>
                <w:sz w:val="18"/>
                <w:szCs w:val="18"/>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Customer Relationship</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373,134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1,500,522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2,537,800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0"/>
              </w:rPr>
              <w:t>Manager</w:t>
            </w:r>
          </w:p>
        </w:tc>
        <w:tc>
          <w:tcPr>
            <w:tcW w:w="92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1,524,799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5,476,502</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4,240,940</w:t>
            </w:r>
          </w:p>
        </w:tc>
        <w:tc>
          <w:tcPr>
            <w:tcW w:w="8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11"/>
          </w:tcPr>
          <w:p>
            <w:pPr>
              <w:ind w:left="1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6,977,024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6,778,740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0"/>
        </w:trPr>
        <w:tc>
          <w:tcPr>
            <w:tcW w:w="2660" w:type="dxa"/>
            <w:vAlign w:val="bottom"/>
            <w:gridSpan w:val="12"/>
            <w:shd w:val="clear" w:color="auto" w:fill="CCEEFF"/>
          </w:tcPr>
          <w:p>
            <w:pPr>
              <w:ind w:left="20"/>
              <w:spacing w:after="0" w:line="210" w:lineRule="exact"/>
              <w:rPr>
                <w:sz w:val="20"/>
                <w:szCs w:val="20"/>
                <w:color w:val="auto"/>
              </w:rPr>
            </w:pPr>
            <w:r>
              <w:rPr>
                <w:rFonts w:ascii="Arial" w:cs="Arial" w:eastAsia="Arial" w:hAnsi="Arial"/>
                <w:sz w:val="15"/>
                <w:szCs w:val="15"/>
                <w:b w:val="1"/>
                <w:bCs w:val="1"/>
                <w:color w:val="auto"/>
              </w:rPr>
              <w:t>Avenues Global Holdings, LLC</w:t>
            </w:r>
            <w:r>
              <w:rPr>
                <w:rFonts w:ascii="Arial" w:cs="Arial" w:eastAsia="Arial" w:hAnsi="Arial"/>
                <w:sz w:val="24"/>
                <w:szCs w:val="24"/>
                <w:b w:val="1"/>
                <w:bCs w:val="1"/>
                <w:color w:val="auto"/>
                <w:vertAlign w:val="superscript"/>
              </w:rPr>
              <w:t>(3)</w:t>
            </w:r>
          </w:p>
        </w:tc>
        <w:tc>
          <w:tcPr>
            <w:tcW w:w="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7"/>
              </w:rPr>
              <w:t>New York, NY</w:t>
            </w: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660" w:type="dxa"/>
            <w:vAlign w:val="bottom"/>
            <w:gridSpan w:val="12"/>
          </w:tcPr>
          <w:p>
            <w:pPr>
              <w:ind w:left="20"/>
              <w:spacing w:after="0" w:line="201" w:lineRule="exact"/>
              <w:rPr>
                <w:sz w:val="20"/>
                <w:szCs w:val="20"/>
                <w:color w:val="auto"/>
              </w:rPr>
            </w:pPr>
            <w:r>
              <w:rPr>
                <w:rFonts w:ascii="Arial" w:cs="Arial" w:eastAsia="Arial" w:hAnsi="Arial"/>
                <w:sz w:val="18"/>
                <w:szCs w:val="18"/>
                <w:color w:val="auto"/>
                <w:w w:val="95"/>
              </w:rPr>
              <w:t>Preferred shares, Junior Preferred</w:t>
            </w:r>
          </w:p>
        </w:tc>
        <w:tc>
          <w:tcPr>
            <w:tcW w:w="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gridSpan w:val="11"/>
          </w:tcPr>
          <w:p>
            <w:pPr>
              <w:ind w:left="180"/>
              <w:spacing w:after="0"/>
              <w:rPr>
                <w:sz w:val="20"/>
                <w:szCs w:val="20"/>
                <w:color w:val="auto"/>
              </w:rPr>
            </w:pPr>
            <w:r>
              <w:rPr>
                <w:rFonts w:ascii="Arial" w:cs="Arial" w:eastAsia="Arial" w:hAnsi="Arial"/>
                <w:sz w:val="18"/>
                <w:szCs w:val="18"/>
                <w:color w:val="auto"/>
              </w:rPr>
              <w:t>Stock</w:t>
            </w:r>
          </w:p>
        </w:tc>
        <w:tc>
          <w:tcPr>
            <w:tcW w:w="60" w:type="dxa"/>
            <w:vAlign w:val="bottom"/>
          </w:tcPr>
          <w:p>
            <w:pPr>
              <w:spacing w:after="0"/>
              <w:rPr>
                <w:sz w:val="20"/>
                <w:szCs w:val="20"/>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Globally-focused</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88"/>
              </w:rPr>
              <w:t>10,014,270</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10,151,854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5,873,369</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1"/>
              </w:rPr>
              <w:t>Private School</w:t>
            </w: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60" w:type="dxa"/>
            <w:vAlign w:val="bottom"/>
            <w:gridSpan w:val="12"/>
          </w:tcPr>
          <w:p>
            <w:pPr>
              <w:ind w:left="20"/>
              <w:spacing w:after="0" w:line="176" w:lineRule="exact"/>
              <w:rPr>
                <w:sz w:val="20"/>
                <w:szCs w:val="20"/>
                <w:color w:val="auto"/>
              </w:rPr>
            </w:pPr>
            <w:r>
              <w:rPr>
                <w:rFonts w:ascii="Arial" w:cs="Arial" w:eastAsia="Arial" w:hAnsi="Arial"/>
                <w:sz w:val="18"/>
                <w:szCs w:val="18"/>
                <w:b w:val="1"/>
                <w:bCs w:val="1"/>
                <w:color w:val="auto"/>
              </w:rPr>
              <w:t>Enjoy Technology, Inc.</w:t>
            </w:r>
          </w:p>
        </w:tc>
        <w:tc>
          <w:tcPr>
            <w:tcW w:w="60" w:type="dxa"/>
            <w:vAlign w:val="bottom"/>
          </w:tcPr>
          <w:p>
            <w:pPr>
              <w:spacing w:after="0"/>
              <w:rPr>
                <w:sz w:val="15"/>
                <w:szCs w:val="15"/>
                <w:color w:val="auto"/>
              </w:rPr>
            </w:pPr>
          </w:p>
        </w:tc>
        <w:tc>
          <w:tcPr>
            <w:tcW w:w="1980" w:type="dxa"/>
            <w:vAlign w:val="bottom"/>
            <w:gridSpan w:val="3"/>
          </w:tcPr>
          <w:p>
            <w:pPr>
              <w:jc w:val="center"/>
              <w:ind w:right="120"/>
              <w:spacing w:after="0" w:line="176" w:lineRule="exact"/>
              <w:rPr>
                <w:sz w:val="20"/>
                <w:szCs w:val="20"/>
                <w:color w:val="auto"/>
              </w:rPr>
            </w:pPr>
            <w:r>
              <w:rPr>
                <w:rFonts w:ascii="Arial" w:cs="Arial" w:eastAsia="Arial" w:hAnsi="Arial"/>
                <w:sz w:val="18"/>
                <w:szCs w:val="18"/>
                <w:color w:val="auto"/>
                <w:w w:val="93"/>
              </w:rPr>
              <w:t>Menlo Park, CA</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660" w:type="dxa"/>
            <w:vAlign w:val="bottom"/>
            <w:gridSpan w:val="12"/>
            <w:shd w:val="clear" w:color="auto" w:fill="CCEEFF"/>
          </w:tcPr>
          <w:p>
            <w:pPr>
              <w:ind w:left="20"/>
              <w:spacing w:after="0" w:line="201" w:lineRule="exact"/>
              <w:rPr>
                <w:sz w:val="20"/>
                <w:szCs w:val="20"/>
                <w:color w:val="auto"/>
              </w:rPr>
            </w:pPr>
            <w:r>
              <w:rPr>
                <w:rFonts w:ascii="Arial" w:cs="Arial" w:eastAsia="Arial" w:hAnsi="Arial"/>
                <w:sz w:val="18"/>
                <w:szCs w:val="18"/>
                <w:color w:val="auto"/>
              </w:rPr>
              <w:t>Preferred shares, Series B</w:t>
            </w:r>
          </w:p>
        </w:tc>
        <w:tc>
          <w:tcPr>
            <w:tcW w:w="60" w:type="dxa"/>
            <w:vAlign w:val="bottom"/>
            <w:shd w:val="clear" w:color="auto" w:fill="CCEEFF"/>
          </w:tcPr>
          <w:p>
            <w:pPr>
              <w:spacing w:after="0"/>
              <w:rPr>
                <w:sz w:val="17"/>
                <w:szCs w:val="17"/>
                <w:color w:val="auto"/>
              </w:rPr>
            </w:pPr>
          </w:p>
        </w:tc>
        <w:tc>
          <w:tcPr>
            <w:tcW w:w="1980" w:type="dxa"/>
            <w:vAlign w:val="bottom"/>
            <w:gridSpan w:val="3"/>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On-Demand</w:t>
            </w:r>
          </w:p>
        </w:tc>
        <w:tc>
          <w:tcPr>
            <w:tcW w:w="9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8"/>
              </w:rPr>
              <w:t>Commerce</w:t>
            </w:r>
          </w:p>
        </w:tc>
        <w:tc>
          <w:tcPr>
            <w:tcW w:w="92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1,681,520</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4,000,280</w:t>
            </w:r>
          </w:p>
        </w:tc>
        <w:tc>
          <w:tcPr>
            <w:tcW w:w="10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4,000,000</w:t>
            </w:r>
          </w:p>
        </w:tc>
        <w:tc>
          <w:tcPr>
            <w:tcW w:w="8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66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A</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879,198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1,002,440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1,297,975</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640" w:type="dxa"/>
            <w:vAlign w:val="bottom"/>
            <w:gridSpan w:val="11"/>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5,002,720</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5,297,975</w:t>
            </w:r>
          </w:p>
        </w:tc>
        <w:tc>
          <w:tcPr>
            <w:tcW w:w="8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169"/>
        </w:trPr>
        <w:tc>
          <w:tcPr>
            <w:tcW w:w="2660" w:type="dxa"/>
            <w:vAlign w:val="bottom"/>
            <w:tcBorders>
              <w:top w:val="single" w:sz="8" w:color="CCEEFF"/>
            </w:tcBorders>
            <w:gridSpan w:val="12"/>
          </w:tcPr>
          <w:p>
            <w:pPr>
              <w:ind w:left="20"/>
              <w:spacing w:after="0" w:line="170" w:lineRule="exact"/>
              <w:rPr>
                <w:sz w:val="20"/>
                <w:szCs w:val="20"/>
                <w:color w:val="auto"/>
              </w:rPr>
            </w:pPr>
            <w:r>
              <w:rPr>
                <w:rFonts w:ascii="Arial" w:cs="Arial" w:eastAsia="Arial" w:hAnsi="Arial"/>
                <w:sz w:val="18"/>
                <w:szCs w:val="18"/>
                <w:b w:val="1"/>
                <w:bCs w:val="1"/>
                <w:color w:val="auto"/>
                <w:highlight w:val="white"/>
                <w:w w:val="95"/>
              </w:rPr>
              <w:t>Snap Inc. (f/k/a Snapchat, Inc.)**</w:t>
            </w:r>
          </w:p>
        </w:tc>
        <w:tc>
          <w:tcPr>
            <w:tcW w:w="60" w:type="dxa"/>
            <w:vAlign w:val="bottom"/>
            <w:tcBorders>
              <w:top w:val="single" w:sz="8" w:color="CCEEFF"/>
            </w:tcBorders>
          </w:tcPr>
          <w:p>
            <w:pPr>
              <w:spacing w:after="0"/>
              <w:rPr>
                <w:sz w:val="14"/>
                <w:szCs w:val="14"/>
                <w:color w:val="auto"/>
              </w:rPr>
            </w:pPr>
          </w:p>
        </w:tc>
        <w:tc>
          <w:tcPr>
            <w:tcW w:w="1980" w:type="dxa"/>
            <w:vAlign w:val="bottom"/>
            <w:tcBorders>
              <w:top w:val="single" w:sz="8" w:color="CCEEFF"/>
            </w:tcBorders>
            <w:gridSpan w:val="3"/>
          </w:tcPr>
          <w:p>
            <w:pPr>
              <w:jc w:val="center"/>
              <w:ind w:right="120"/>
              <w:spacing w:after="0" w:line="170" w:lineRule="exact"/>
              <w:rPr>
                <w:sz w:val="20"/>
                <w:szCs w:val="20"/>
                <w:color w:val="auto"/>
              </w:rPr>
            </w:pPr>
            <w:r>
              <w:rPr>
                <w:rFonts w:ascii="Arial" w:cs="Arial" w:eastAsia="Arial" w:hAnsi="Arial"/>
                <w:sz w:val="18"/>
                <w:szCs w:val="18"/>
                <w:color w:val="auto"/>
                <w:w w:val="91"/>
              </w:rPr>
              <w:t>Venice, CA</w:t>
            </w:r>
          </w:p>
        </w:tc>
        <w:tc>
          <w:tcPr>
            <w:tcW w:w="9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660" w:type="dxa"/>
            <w:vAlign w:val="bottom"/>
            <w:gridSpan w:val="12"/>
            <w:shd w:val="clear" w:color="auto" w:fill="CCEEFF"/>
          </w:tcPr>
          <w:p>
            <w:pPr>
              <w:ind w:left="20"/>
              <w:spacing w:after="0" w:line="256" w:lineRule="exact"/>
              <w:rPr>
                <w:sz w:val="20"/>
                <w:szCs w:val="20"/>
                <w:color w:val="auto"/>
              </w:rPr>
            </w:pPr>
            <w:r>
              <w:rPr>
                <w:rFonts w:ascii="Arial" w:cs="Arial" w:eastAsia="Arial" w:hAnsi="Arial"/>
                <w:sz w:val="18"/>
                <w:szCs w:val="18"/>
                <w:color w:val="auto"/>
              </w:rPr>
              <w:t>Common shares, Class A</w:t>
            </w:r>
            <w:r>
              <w:rPr>
                <w:rFonts w:ascii="Arial" w:cs="Arial" w:eastAsia="Arial" w:hAnsi="Arial"/>
                <w:sz w:val="29"/>
                <w:szCs w:val="29"/>
                <w:color w:val="auto"/>
                <w:vertAlign w:val="superscript"/>
              </w:rPr>
              <w:t>(9)</w:t>
            </w:r>
          </w:p>
        </w:tc>
        <w:tc>
          <w:tcPr>
            <w:tcW w:w="60" w:type="dxa"/>
            <w:vAlign w:val="bottom"/>
            <w:shd w:val="clear" w:color="auto" w:fill="CCEEFF"/>
          </w:tcPr>
          <w:p>
            <w:pPr>
              <w:spacing w:after="0"/>
              <w:rPr>
                <w:sz w:val="22"/>
                <w:szCs w:val="22"/>
                <w:color w:val="auto"/>
              </w:rPr>
            </w:pPr>
          </w:p>
        </w:tc>
        <w:tc>
          <w:tcPr>
            <w:tcW w:w="19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2"/>
              </w:rPr>
              <w:t>Social Communication</w:t>
            </w:r>
          </w:p>
        </w:tc>
        <w:tc>
          <w:tcPr>
            <w:tcW w:w="92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130,208</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2,001,135</w:t>
            </w:r>
          </w:p>
        </w:tc>
        <w:tc>
          <w:tcPr>
            <w:tcW w:w="10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2,313,796</w:t>
            </w:r>
          </w:p>
        </w:tc>
        <w:tc>
          <w:tcPr>
            <w:tcW w:w="8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57"/>
        </w:trPr>
        <w:tc>
          <w:tcPr>
            <w:tcW w:w="2660" w:type="dxa"/>
            <w:vAlign w:val="bottom"/>
            <w:gridSpan w:val="12"/>
          </w:tcPr>
          <w:p>
            <w:pPr>
              <w:ind w:left="20"/>
              <w:spacing w:after="0" w:line="256" w:lineRule="exact"/>
              <w:rPr>
                <w:sz w:val="20"/>
                <w:szCs w:val="20"/>
                <w:color w:val="auto"/>
              </w:rPr>
            </w:pPr>
            <w:r>
              <w:rPr>
                <w:rFonts w:ascii="Arial" w:cs="Arial" w:eastAsia="Arial" w:hAnsi="Arial"/>
                <w:sz w:val="18"/>
                <w:szCs w:val="18"/>
                <w:color w:val="auto"/>
              </w:rPr>
              <w:t>Common shares, Class B</w:t>
            </w:r>
            <w:r>
              <w:rPr>
                <w:rFonts w:ascii="Arial" w:cs="Arial" w:eastAsia="Arial" w:hAnsi="Arial"/>
                <w:sz w:val="29"/>
                <w:szCs w:val="29"/>
                <w:color w:val="auto"/>
                <w:vertAlign w:val="superscript"/>
              </w:rPr>
              <w:t>(9)</w:t>
            </w:r>
          </w:p>
        </w:tc>
        <w:tc>
          <w:tcPr>
            <w:tcW w:w="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130,208</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2,001,135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2,313,796</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640" w:type="dxa"/>
            <w:vAlign w:val="bottom"/>
            <w:gridSpan w:val="11"/>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4,002,270</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4,627,592</w:t>
            </w:r>
          </w:p>
        </w:tc>
        <w:tc>
          <w:tcPr>
            <w:tcW w:w="8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169"/>
        </w:trPr>
        <w:tc>
          <w:tcPr>
            <w:tcW w:w="2660" w:type="dxa"/>
            <w:vAlign w:val="bottom"/>
            <w:tcBorders>
              <w:top w:val="single" w:sz="8" w:color="CCEEFF"/>
            </w:tcBorders>
            <w:gridSpan w:val="12"/>
          </w:tcPr>
          <w:p>
            <w:pPr>
              <w:ind w:left="20"/>
              <w:spacing w:after="0" w:line="170" w:lineRule="exact"/>
              <w:rPr>
                <w:sz w:val="20"/>
                <w:szCs w:val="20"/>
                <w:color w:val="auto"/>
              </w:rPr>
            </w:pPr>
            <w:r>
              <w:rPr>
                <w:rFonts w:ascii="Arial" w:cs="Arial" w:eastAsia="Arial" w:hAnsi="Arial"/>
                <w:sz w:val="18"/>
                <w:szCs w:val="18"/>
                <w:b w:val="1"/>
                <w:bCs w:val="1"/>
                <w:color w:val="auto"/>
              </w:rPr>
              <w:t>Parchment, Inc.</w:t>
            </w:r>
          </w:p>
        </w:tc>
        <w:tc>
          <w:tcPr>
            <w:tcW w:w="60" w:type="dxa"/>
            <w:vAlign w:val="bottom"/>
            <w:tcBorders>
              <w:top w:val="single" w:sz="8" w:color="CCEEFF"/>
            </w:tcBorders>
          </w:tcPr>
          <w:p>
            <w:pPr>
              <w:spacing w:after="0"/>
              <w:rPr>
                <w:sz w:val="14"/>
                <w:szCs w:val="14"/>
                <w:color w:val="auto"/>
              </w:rPr>
            </w:pPr>
          </w:p>
        </w:tc>
        <w:tc>
          <w:tcPr>
            <w:tcW w:w="1980" w:type="dxa"/>
            <w:vAlign w:val="bottom"/>
            <w:tcBorders>
              <w:top w:val="single" w:sz="8" w:color="CCEEFF"/>
            </w:tcBorders>
            <w:gridSpan w:val="3"/>
          </w:tcPr>
          <w:p>
            <w:pPr>
              <w:jc w:val="center"/>
              <w:ind w:right="120"/>
              <w:spacing w:after="0" w:line="170" w:lineRule="exact"/>
              <w:rPr>
                <w:sz w:val="20"/>
                <w:szCs w:val="20"/>
                <w:color w:val="auto"/>
              </w:rPr>
            </w:pPr>
            <w:r>
              <w:rPr>
                <w:rFonts w:ascii="Arial" w:cs="Arial" w:eastAsia="Arial" w:hAnsi="Arial"/>
                <w:sz w:val="18"/>
                <w:szCs w:val="18"/>
                <w:color w:val="auto"/>
                <w:w w:val="90"/>
              </w:rPr>
              <w:t>Scottsdale, AZ</w:t>
            </w:r>
          </w:p>
        </w:tc>
        <w:tc>
          <w:tcPr>
            <w:tcW w:w="9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Preferred shares, Series D</w:t>
            </w:r>
          </w:p>
        </w:tc>
        <w:tc>
          <w:tcPr>
            <w:tcW w:w="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E-Transcript Exchange</w:t>
            </w:r>
          </w:p>
        </w:tc>
        <w:tc>
          <w:tcPr>
            <w:tcW w:w="92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3,200,512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4,000,982</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4,544,727</w:t>
            </w:r>
          </w:p>
        </w:tc>
        <w:tc>
          <w:tcPr>
            <w:tcW w:w="82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-4484370</wp:posOffset>
            </wp:positionV>
            <wp:extent cx="525716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5716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-3781425</wp:posOffset>
            </wp:positionV>
            <wp:extent cx="5257165"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5716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-2889250</wp:posOffset>
            </wp:positionV>
            <wp:extent cx="5257165"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5716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-2323465</wp:posOffset>
            </wp:positionV>
            <wp:extent cx="5257165"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57165" cy="154305"/>
                    </a:xfrm>
                    <a:prstGeom prst="rect">
                      <a:avLst/>
                    </a:prstGeom>
                    <a:noFill/>
                  </pic:spPr>
                </pic:pic>
              </a:graphicData>
            </a:graphic>
          </wp:anchor>
        </w:drawing>
        <w:drawing>
          <wp:anchor simplePos="0" relativeHeight="251657728" behindDoc="1" locked="0" layoutInCell="0" allowOverlap="1">
            <wp:simplePos x="0" y="0"/>
            <wp:positionH relativeFrom="column">
              <wp:posOffset>1687195</wp:posOffset>
            </wp:positionH>
            <wp:positionV relativeFrom="paragraph">
              <wp:posOffset>-899795</wp:posOffset>
            </wp:positionV>
            <wp:extent cx="3576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7632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-282575</wp:posOffset>
            </wp:positionV>
            <wp:extent cx="525716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57165" cy="146050"/>
                    </a:xfrm>
                    <a:prstGeom prst="rect">
                      <a:avLst/>
                    </a:prstGeom>
                    <a:noFill/>
                  </pic:spPr>
                </pic:pic>
              </a:graphicData>
            </a:graphic>
          </wp:anchor>
        </w:drawing>
      </w:r>
    </w:p>
    <w:p>
      <w:pPr>
        <w:sectPr>
          <w:pgSz w:w="11900" w:h="16838" w:orient="portrait"/>
          <w:cols w:equalWidth="0" w:num="1">
            <w:col w:w="10099"/>
          </w:cols>
          <w:pgMar w:left="360" w:top="792" w:right="1440" w:bottom="211" w:gutter="0" w:footer="0" w:header="0"/>
        </w:sectPr>
      </w:pPr>
    </w:p>
    <w:bookmarkStart w:id="10" w:name="page11"/>
    <w:bookmarkEnd w:id="10"/>
    <w:p>
      <w:pPr>
        <w:ind w:left="1120"/>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112395</wp:posOffset>
            </wp:positionV>
            <wp:extent cx="6114415"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1" w:name="page12"/>
    <w:bookmarkEnd w:id="1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-36195</wp:posOffset>
            </wp:positionV>
            <wp:extent cx="51542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Headquarters/Industry</w:t>
            </w:r>
          </w:p>
        </w:tc>
        <w:tc>
          <w:tcPr>
            <w:tcW w:w="6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920" w:type="dxa"/>
            <w:vAlign w:val="bottom"/>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8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gridSpan w:val="14"/>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60" w:type="dxa"/>
            <w:vAlign w:val="bottom"/>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Principal</w:t>
            </w: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210"/>
        </w:trPr>
        <w:tc>
          <w:tcPr>
            <w:tcW w:w="2660" w:type="dxa"/>
            <w:vAlign w:val="bottom"/>
            <w:tcBorders>
              <w:left w:val="single" w:sz="8" w:color="CCEEFF"/>
            </w:tcBorders>
            <w:gridSpan w:val="14"/>
            <w:shd w:val="clear" w:color="auto" w:fill="CCEEFF"/>
          </w:tcPr>
          <w:p>
            <w:pPr>
              <w:ind w:left="20"/>
              <w:spacing w:after="0" w:line="210" w:lineRule="exact"/>
              <w:rPr>
                <w:sz w:val="20"/>
                <w:szCs w:val="20"/>
                <w:color w:val="auto"/>
              </w:rPr>
            </w:pPr>
            <w:r>
              <w:rPr>
                <w:rFonts w:ascii="Arial" w:cs="Arial" w:eastAsia="Arial" w:hAnsi="Arial"/>
                <w:sz w:val="15"/>
                <w:szCs w:val="15"/>
                <w:b w:val="1"/>
                <w:bCs w:val="1"/>
                <w:color w:val="auto"/>
              </w:rPr>
              <w:t>Whittle Schools, LLC</w:t>
            </w:r>
            <w:r>
              <w:rPr>
                <w:rFonts w:ascii="Arial" w:cs="Arial" w:eastAsia="Arial" w:hAnsi="Arial"/>
                <w:sz w:val="24"/>
                <w:szCs w:val="24"/>
                <w:b w:val="1"/>
                <w:bCs w:val="1"/>
                <w:color w:val="auto"/>
                <w:vertAlign w:val="superscript"/>
              </w:rPr>
              <w:t>(1)(4)</w:t>
            </w:r>
          </w:p>
        </w:tc>
        <w:tc>
          <w:tcPr>
            <w:tcW w:w="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7"/>
              </w:rPr>
              <w:t>New York, NY</w:t>
            </w:r>
          </w:p>
        </w:tc>
        <w:tc>
          <w:tcPr>
            <w:tcW w:w="92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B</w:t>
            </w:r>
          </w:p>
        </w:tc>
        <w:tc>
          <w:tcPr>
            <w:tcW w:w="60" w:type="dxa"/>
            <w:vAlign w:val="bottom"/>
          </w:tcPr>
          <w:p>
            <w:pPr>
              <w:spacing w:after="0"/>
              <w:rPr>
                <w:sz w:val="18"/>
                <w:szCs w:val="18"/>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Globally-focused</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3,000,000</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$3,000,000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660" w:type="dxa"/>
            <w:vAlign w:val="bottom"/>
            <w:tcBorders>
              <w:left w:val="single" w:sz="8" w:color="CCEEFF"/>
            </w:tcBorders>
            <w:gridSpan w:val="14"/>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1"/>
              </w:rPr>
              <w:t>Private School</w:t>
            </w:r>
          </w:p>
        </w:tc>
        <w:tc>
          <w:tcPr>
            <w:tcW w:w="9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1,577,097</w:t>
            </w: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8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gridSpan w:val="14"/>
          </w:tcPr>
          <w:p>
            <w:pPr>
              <w:ind w:left="20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4,577,097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4,500,000</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169"/>
        </w:trPr>
        <w:tc>
          <w:tcPr>
            <w:tcW w:w="2660" w:type="dxa"/>
            <w:vAlign w:val="bottom"/>
            <w:tcBorders>
              <w:left w:val="single" w:sz="8" w:color="CCEEFF"/>
            </w:tcBorders>
            <w:gridSpan w:val="14"/>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Dataminr, Inc.</w:t>
            </w:r>
          </w:p>
        </w:tc>
        <w:tc>
          <w:tcPr>
            <w:tcW w:w="6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jc w:val="center"/>
              <w:ind w:right="120"/>
              <w:spacing w:after="0" w:line="170" w:lineRule="exact"/>
              <w:rPr>
                <w:sz w:val="20"/>
                <w:szCs w:val="20"/>
                <w:color w:val="auto"/>
              </w:rPr>
            </w:pPr>
            <w:r>
              <w:rPr>
                <w:rFonts w:ascii="Arial" w:cs="Arial" w:eastAsia="Arial" w:hAnsi="Arial"/>
                <w:sz w:val="18"/>
                <w:szCs w:val="18"/>
                <w:color w:val="auto"/>
                <w:w w:val="97"/>
              </w:rPr>
              <w:t>New York, NY</w:t>
            </w:r>
          </w:p>
        </w:tc>
        <w:tc>
          <w:tcPr>
            <w:tcW w:w="920" w:type="dxa"/>
            <w:vAlign w:val="bottom"/>
            <w:tcBorders>
              <w:right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C</w:t>
            </w:r>
          </w:p>
        </w:tc>
        <w:tc>
          <w:tcPr>
            <w:tcW w:w="60" w:type="dxa"/>
            <w:vAlign w:val="bottom"/>
          </w:tcPr>
          <w:p>
            <w:pPr>
              <w:spacing w:after="0"/>
              <w:rPr>
                <w:sz w:val="18"/>
                <w:szCs w:val="18"/>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Social Media Analytics</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301,369</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1,100,909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1,099,997</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2660" w:type="dxa"/>
            <w:vAlign w:val="bottom"/>
            <w:tcBorders>
              <w:left w:val="single" w:sz="8" w:color="CCEEFF"/>
            </w:tcBorders>
            <w:gridSpan w:val="14"/>
            <w:shd w:val="clear" w:color="auto" w:fill="CCEEFF"/>
          </w:tcPr>
          <w:p>
            <w:pPr>
              <w:ind w:left="20"/>
              <w:spacing w:after="0"/>
              <w:rPr>
                <w:sz w:val="20"/>
                <w:szCs w:val="20"/>
                <w:color w:val="auto"/>
              </w:rPr>
            </w:pPr>
            <w:r>
              <w:rPr>
                <w:rFonts w:ascii="Arial" w:cs="Arial" w:eastAsia="Arial" w:hAnsi="Arial"/>
                <w:sz w:val="18"/>
                <w:szCs w:val="18"/>
                <w:color w:val="auto"/>
              </w:rPr>
              <w:t>Preferred shares, Series B</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904,977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2,063,356</w:t>
            </w: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2,841,628</w:t>
            </w:r>
          </w:p>
        </w:tc>
        <w:tc>
          <w:tcPr>
            <w:tcW w:w="8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gridSpan w:val="14"/>
          </w:tcPr>
          <w:p>
            <w:pPr>
              <w:ind w:left="20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3,164,265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3,941,625</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69"/>
        </w:trPr>
        <w:tc>
          <w:tcPr>
            <w:tcW w:w="2660" w:type="dxa"/>
            <w:vAlign w:val="bottom"/>
            <w:tcBorders>
              <w:left w:val="single" w:sz="8" w:color="CCEEFF"/>
            </w:tcBorders>
            <w:gridSpan w:val="14"/>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Knewton, Inc.</w:t>
            </w:r>
          </w:p>
        </w:tc>
        <w:tc>
          <w:tcPr>
            <w:tcW w:w="6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jc w:val="center"/>
              <w:ind w:right="120"/>
              <w:spacing w:after="0" w:line="170" w:lineRule="exact"/>
              <w:rPr>
                <w:sz w:val="20"/>
                <w:szCs w:val="20"/>
                <w:color w:val="auto"/>
              </w:rPr>
            </w:pPr>
            <w:r>
              <w:rPr>
                <w:rFonts w:ascii="Arial" w:cs="Arial" w:eastAsia="Arial" w:hAnsi="Arial"/>
                <w:sz w:val="18"/>
                <w:szCs w:val="18"/>
                <w:color w:val="auto"/>
                <w:w w:val="97"/>
              </w:rPr>
              <w:t>New York, NY</w:t>
            </w:r>
          </w:p>
        </w:tc>
        <w:tc>
          <w:tcPr>
            <w:tcW w:w="920" w:type="dxa"/>
            <w:vAlign w:val="bottom"/>
            <w:tcBorders>
              <w:right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E</w:t>
            </w:r>
          </w:p>
        </w:tc>
        <w:tc>
          <w:tcPr>
            <w:tcW w:w="60" w:type="dxa"/>
            <w:vAlign w:val="bottom"/>
          </w:tcPr>
          <w:p>
            <w:pPr>
              <w:spacing w:after="0"/>
              <w:rPr>
                <w:sz w:val="18"/>
                <w:szCs w:val="18"/>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Online Education</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375,985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4,999,999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3,737,291</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660" w:type="dxa"/>
            <w:vAlign w:val="bottom"/>
            <w:tcBorders>
              <w:left w:val="single" w:sz="8" w:color="CCEEFF"/>
            </w:tcBorders>
            <w:gridSpan w:val="14"/>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CUX, Inc. (d/b/a CorpU)</w:t>
            </w:r>
            <w:r>
              <w:rPr>
                <w:rFonts w:ascii="Arial" w:cs="Arial" w:eastAsia="Arial" w:hAnsi="Arial"/>
                <w:sz w:val="25"/>
                <w:szCs w:val="25"/>
                <w:b w:val="1"/>
                <w:bCs w:val="1"/>
                <w:color w:val="auto"/>
                <w:vertAlign w:val="superscript"/>
              </w:rPr>
              <w:t>(1)</w:t>
            </w:r>
          </w:p>
        </w:tc>
        <w:tc>
          <w:tcPr>
            <w:tcW w:w="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0"/>
              </w:rPr>
              <w:t>Philadelphia, PA</w:t>
            </w:r>
          </w:p>
        </w:tc>
        <w:tc>
          <w:tcPr>
            <w:tcW w:w="92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gridSpan w:val="14"/>
          </w:tcPr>
          <w:p>
            <w:pPr>
              <w:ind w:left="20"/>
              <w:spacing w:after="0" w:line="202" w:lineRule="exact"/>
              <w:rPr>
                <w:sz w:val="20"/>
                <w:szCs w:val="20"/>
                <w:color w:val="auto"/>
              </w:rPr>
            </w:pPr>
            <w:r>
              <w:rPr>
                <w:rFonts w:ascii="Arial" w:cs="Arial" w:eastAsia="Arial" w:hAnsi="Arial"/>
                <w:sz w:val="18"/>
                <w:szCs w:val="18"/>
                <w:color w:val="auto"/>
              </w:rPr>
              <w:t>Senior Subordinated Convertible</w:t>
            </w:r>
          </w:p>
        </w:tc>
        <w:tc>
          <w:tcPr>
            <w:tcW w:w="60" w:type="dxa"/>
            <w:vAlign w:val="bottom"/>
          </w:tcPr>
          <w:p>
            <w:pPr>
              <w:spacing w:after="0"/>
              <w:rPr>
                <w:sz w:val="17"/>
                <w:szCs w:val="17"/>
                <w:color w:val="auto"/>
              </w:rPr>
            </w:pPr>
          </w:p>
        </w:tc>
        <w:tc>
          <w:tcPr>
            <w:tcW w:w="1980" w:type="dxa"/>
            <w:vAlign w:val="bottom"/>
            <w:gridSpan w:val="3"/>
          </w:tcPr>
          <w:p>
            <w:pPr>
              <w:jc w:val="center"/>
              <w:ind w:right="120"/>
              <w:spacing w:after="0" w:line="202" w:lineRule="exact"/>
              <w:rPr>
                <w:sz w:val="20"/>
                <w:szCs w:val="20"/>
                <w:color w:val="auto"/>
              </w:rPr>
            </w:pPr>
            <w:r>
              <w:rPr>
                <w:rFonts w:ascii="Arial" w:cs="Arial" w:eastAsia="Arial" w:hAnsi="Arial"/>
                <w:sz w:val="18"/>
                <w:szCs w:val="18"/>
                <w:color w:val="auto"/>
                <w:w w:val="90"/>
              </w:rPr>
              <w:t>Corporate Education</w:t>
            </w: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60" w:type="dxa"/>
            <w:vAlign w:val="bottom"/>
            <w:gridSpan w:val="14"/>
          </w:tcPr>
          <w:p>
            <w:pPr>
              <w:ind w:left="200"/>
              <w:spacing w:after="0"/>
              <w:rPr>
                <w:sz w:val="20"/>
                <w:szCs w:val="20"/>
                <w:color w:val="auto"/>
              </w:rPr>
            </w:pPr>
            <w:r>
              <w:rPr>
                <w:rFonts w:ascii="Arial" w:cs="Arial" w:eastAsia="Arial" w:hAnsi="Arial"/>
                <w:sz w:val="18"/>
                <w:szCs w:val="18"/>
                <w:color w:val="auto"/>
              </w:rPr>
              <w:t>Promissory Note 8%, Due</w:t>
            </w:r>
          </w:p>
        </w:tc>
        <w:tc>
          <w:tcPr>
            <w:tcW w:w="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680" w:type="dxa"/>
            <w:vAlign w:val="bottom"/>
            <w:gridSpan w:val="7"/>
          </w:tcPr>
          <w:p>
            <w:pPr>
              <w:ind w:left="200"/>
              <w:spacing w:after="0" w:line="266" w:lineRule="exact"/>
              <w:rPr>
                <w:sz w:val="20"/>
                <w:szCs w:val="20"/>
                <w:color w:val="auto"/>
              </w:rPr>
            </w:pPr>
            <w:r>
              <w:rPr>
                <w:rFonts w:ascii="Arial" w:cs="Arial" w:eastAsia="Arial" w:hAnsi="Arial"/>
                <w:sz w:val="18"/>
                <w:szCs w:val="18"/>
                <w:color w:val="auto"/>
              </w:rPr>
              <w:t>11/26/2018***</w:t>
            </w:r>
            <w:r>
              <w:rPr>
                <w:rFonts w:ascii="Arial" w:cs="Arial" w:eastAsia="Arial" w:hAnsi="Arial"/>
                <w:sz w:val="30"/>
                <w:szCs w:val="30"/>
                <w:color w:val="auto"/>
                <w:vertAlign w:val="superscript"/>
              </w:rPr>
              <w:t>(7)</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1,166,400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1,166,400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1,166,400</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2"/>
        </w:trPr>
        <w:tc>
          <w:tcPr>
            <w:tcW w:w="2660" w:type="dxa"/>
            <w:vAlign w:val="bottom"/>
            <w:tcBorders>
              <w:left w:val="single" w:sz="8" w:color="CCEEFF"/>
            </w:tcBorders>
            <w:gridSpan w:val="14"/>
            <w:shd w:val="clear" w:color="auto" w:fill="CCEEFF"/>
          </w:tcPr>
          <w:p>
            <w:pPr>
              <w:ind w:left="20"/>
              <w:spacing w:after="0" w:line="201" w:lineRule="exact"/>
              <w:rPr>
                <w:sz w:val="20"/>
                <w:szCs w:val="20"/>
                <w:color w:val="auto"/>
              </w:rPr>
            </w:pPr>
            <w:r>
              <w:rPr>
                <w:rFonts w:ascii="Arial" w:cs="Arial" w:eastAsia="Arial" w:hAnsi="Arial"/>
                <w:sz w:val="18"/>
                <w:szCs w:val="18"/>
                <w:color w:val="auto"/>
                <w:w w:val="90"/>
              </w:rPr>
              <w:t>Convertible preferred shares, Series</w:t>
            </w:r>
          </w:p>
        </w:tc>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tcBorders>
              <w:left w:val="single" w:sz="8" w:color="CCEEFF"/>
            </w:tcBorders>
            <w:gridSpan w:val="14"/>
            <w:shd w:val="clear" w:color="auto" w:fill="CCEEFF"/>
          </w:tcPr>
          <w:p>
            <w:pPr>
              <w:ind w:left="200"/>
              <w:spacing w:after="0"/>
              <w:rPr>
                <w:sz w:val="20"/>
                <w:szCs w:val="20"/>
                <w:color w:val="auto"/>
              </w:rPr>
            </w:pPr>
            <w:r>
              <w:rPr>
                <w:rFonts w:ascii="Arial" w:cs="Arial" w:eastAsia="Arial" w:hAnsi="Arial"/>
                <w:sz w:val="18"/>
                <w:szCs w:val="18"/>
                <w:color w:val="auto"/>
              </w:rPr>
              <w:t>D</w:t>
            </w:r>
          </w:p>
        </w:tc>
        <w:tc>
          <w:tcPr>
            <w:tcW w:w="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169,033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778,607</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775,861</w:t>
            </w:r>
          </w:p>
        </w:tc>
        <w:tc>
          <w:tcPr>
            <w:tcW w:w="8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2"/>
        </w:trPr>
        <w:tc>
          <w:tcPr>
            <w:tcW w:w="2660" w:type="dxa"/>
            <w:vAlign w:val="bottom"/>
            <w:gridSpan w:val="14"/>
          </w:tcPr>
          <w:p>
            <w:pPr>
              <w:ind w:left="20"/>
              <w:spacing w:after="0" w:line="201" w:lineRule="exact"/>
              <w:rPr>
                <w:sz w:val="20"/>
                <w:szCs w:val="20"/>
                <w:color w:val="auto"/>
              </w:rPr>
            </w:pPr>
            <w:r>
              <w:rPr>
                <w:rFonts w:ascii="Arial" w:cs="Arial" w:eastAsia="Arial" w:hAnsi="Arial"/>
                <w:sz w:val="18"/>
                <w:szCs w:val="18"/>
                <w:color w:val="auto"/>
                <w:w w:val="90"/>
              </w:rPr>
              <w:t>Convertible preferred shares, Series</w:t>
            </w:r>
          </w:p>
        </w:tc>
        <w:tc>
          <w:tcPr>
            <w:tcW w:w="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gridSpan w:val="14"/>
          </w:tcPr>
          <w:p>
            <w:pPr>
              <w:ind w:left="200"/>
              <w:spacing w:after="0"/>
              <w:rPr>
                <w:sz w:val="20"/>
                <w:szCs w:val="20"/>
                <w:color w:val="auto"/>
              </w:rPr>
            </w:pPr>
            <w:r>
              <w:rPr>
                <w:rFonts w:ascii="Arial" w:cs="Arial" w:eastAsia="Arial" w:hAnsi="Arial"/>
                <w:sz w:val="18"/>
                <w:szCs w:val="18"/>
                <w:color w:val="auto"/>
              </w:rPr>
              <w:t>C</w:t>
            </w:r>
          </w:p>
        </w:tc>
        <w:tc>
          <w:tcPr>
            <w:tcW w:w="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615,763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2,006,077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1,169,950</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2"/>
        </w:trPr>
        <w:tc>
          <w:tcPr>
            <w:tcW w:w="2660" w:type="dxa"/>
            <w:vAlign w:val="bottom"/>
            <w:tcBorders>
              <w:left w:val="single" w:sz="8" w:color="CCEEFF"/>
            </w:tcBorders>
            <w:gridSpan w:val="14"/>
            <w:shd w:val="clear" w:color="auto" w:fill="CCEEFF"/>
          </w:tcPr>
          <w:p>
            <w:pPr>
              <w:ind w:left="20"/>
              <w:spacing w:after="0" w:line="201" w:lineRule="exact"/>
              <w:rPr>
                <w:sz w:val="20"/>
                <w:szCs w:val="20"/>
                <w:color w:val="auto"/>
              </w:rPr>
            </w:pPr>
            <w:r>
              <w:rPr>
                <w:rFonts w:ascii="Arial" w:cs="Arial" w:eastAsia="Arial" w:hAnsi="Arial"/>
                <w:sz w:val="18"/>
                <w:szCs w:val="18"/>
                <w:color w:val="auto"/>
                <w:w w:val="89"/>
              </w:rPr>
              <w:t>Preferred Warrants Series D – Strike</w:t>
            </w:r>
          </w:p>
        </w:tc>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Borders>
              <w:left w:val="single" w:sz="8" w:color="CCEEFF"/>
            </w:tcBorders>
            <w:gridSpan w:val="14"/>
            <w:shd w:val="clear" w:color="auto" w:fill="CCEEFF"/>
          </w:tcPr>
          <w:p>
            <w:pPr>
              <w:ind w:left="200"/>
              <w:spacing w:after="0"/>
              <w:rPr>
                <w:sz w:val="20"/>
                <w:szCs w:val="20"/>
                <w:color w:val="auto"/>
              </w:rPr>
            </w:pPr>
            <w:r>
              <w:rPr>
                <w:rFonts w:ascii="Arial" w:cs="Arial" w:eastAsia="Arial" w:hAnsi="Arial"/>
                <w:sz w:val="18"/>
                <w:szCs w:val="18"/>
                <w:color w:val="auto"/>
              </w:rPr>
              <w:t>Price $4.59 – Expiration Date</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Borders>
              <w:lef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2/25/2018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20" w:type="dxa"/>
            <w:vAlign w:val="bottom"/>
            <w:tcBorders>
              <w:left w:val="single" w:sz="8" w:color="CCEEFF"/>
            </w:tcBorders>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gridSpan w:val="14"/>
          </w:tcPr>
          <w:p>
            <w:pPr>
              <w:ind w:left="20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3,951,084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3,116,606</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69"/>
        </w:trPr>
        <w:tc>
          <w:tcPr>
            <w:tcW w:w="2660" w:type="dxa"/>
            <w:vAlign w:val="bottom"/>
            <w:tcBorders>
              <w:left w:val="single" w:sz="8" w:color="CCEEFF"/>
            </w:tcBorders>
            <w:gridSpan w:val="14"/>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A Place for Rover Inc. (f/k/a</w:t>
            </w:r>
          </w:p>
        </w:tc>
        <w:tc>
          <w:tcPr>
            <w:tcW w:w="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180" w:type="dxa"/>
            <w:vAlign w:val="bottom"/>
            <w:tcBorders>
              <w:top w:val="single" w:sz="8" w:color="auto"/>
              <w:left w:val="single" w:sz="8" w:color="CCEEFF"/>
            </w:tcBorders>
            <w:gridSpan w:val="11"/>
            <w:shd w:val="clear" w:color="auto" w:fill="CCEEFF"/>
          </w:tcPr>
          <w:p>
            <w:pPr>
              <w:ind w:left="200"/>
              <w:spacing w:after="0" w:line="236" w:lineRule="exact"/>
              <w:rPr>
                <w:sz w:val="20"/>
                <w:szCs w:val="20"/>
                <w:color w:val="auto"/>
              </w:rPr>
            </w:pPr>
            <w:r>
              <w:rPr>
                <w:rFonts w:ascii="Arial" w:cs="Arial" w:eastAsia="Arial" w:hAnsi="Arial"/>
                <w:sz w:val="17"/>
                <w:szCs w:val="17"/>
                <w:b w:val="1"/>
                <w:bCs w:val="1"/>
                <w:color w:val="auto"/>
              </w:rPr>
              <w:t>DogVacay, Inc.)</w:t>
            </w:r>
            <w:r>
              <w:rPr>
                <w:rFonts w:ascii="Arial" w:cs="Arial" w:eastAsia="Arial" w:hAnsi="Arial"/>
                <w:sz w:val="27"/>
                <w:szCs w:val="27"/>
                <w:b w:val="1"/>
                <w:bCs w:val="1"/>
                <w:color w:val="auto"/>
                <w:vertAlign w:val="superscript"/>
              </w:rPr>
              <w:t>(10)</w:t>
            </w:r>
          </w:p>
        </w:tc>
        <w:tc>
          <w:tcPr>
            <w:tcW w:w="480" w:type="dxa"/>
            <w:vAlign w:val="bottom"/>
            <w:tcBorders>
              <w:top w:val="single" w:sz="8" w:color="CCEEFF"/>
            </w:tcBorders>
            <w:gridSpan w:val="3"/>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980" w:type="dxa"/>
            <w:vAlign w:val="bottom"/>
            <w:tcBorders>
              <w:top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Seattle, WA</w:t>
            </w:r>
          </w:p>
        </w:tc>
        <w:tc>
          <w:tcPr>
            <w:tcW w:w="920" w:type="dxa"/>
            <w:vAlign w:val="bottom"/>
            <w:tcBorders>
              <w:top w:val="single" w:sz="8" w:color="CCEEFF"/>
              <w:right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left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left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660" w:type="dxa"/>
            <w:vAlign w:val="bottom"/>
            <w:gridSpan w:val="14"/>
          </w:tcPr>
          <w:p>
            <w:pPr>
              <w:ind w:left="20"/>
              <w:spacing w:after="0" w:line="201" w:lineRule="exact"/>
              <w:rPr>
                <w:sz w:val="20"/>
                <w:szCs w:val="20"/>
                <w:color w:val="auto"/>
              </w:rPr>
            </w:pPr>
            <w:r>
              <w:rPr>
                <w:rFonts w:ascii="Arial" w:cs="Arial" w:eastAsia="Arial" w:hAnsi="Arial"/>
                <w:sz w:val="18"/>
                <w:szCs w:val="18"/>
                <w:color w:val="auto"/>
              </w:rPr>
              <w:t>Common shares</w:t>
            </w:r>
          </w:p>
        </w:tc>
        <w:tc>
          <w:tcPr>
            <w:tcW w:w="60" w:type="dxa"/>
            <w:vAlign w:val="bottom"/>
          </w:tcPr>
          <w:p>
            <w:pPr>
              <w:spacing w:after="0"/>
              <w:rPr>
                <w:sz w:val="17"/>
                <w:szCs w:val="17"/>
                <w:color w:val="auto"/>
              </w:rPr>
            </w:pPr>
          </w:p>
        </w:tc>
        <w:tc>
          <w:tcPr>
            <w:tcW w:w="1980" w:type="dxa"/>
            <w:vAlign w:val="bottom"/>
            <w:gridSpan w:val="3"/>
          </w:tcPr>
          <w:p>
            <w:pPr>
              <w:jc w:val="center"/>
              <w:ind w:right="120"/>
              <w:spacing w:after="0" w:line="201" w:lineRule="exact"/>
              <w:rPr>
                <w:sz w:val="20"/>
                <w:szCs w:val="20"/>
                <w:color w:val="auto"/>
              </w:rPr>
            </w:pPr>
            <w:r>
              <w:rPr>
                <w:rFonts w:ascii="Arial" w:cs="Arial" w:eastAsia="Arial" w:hAnsi="Arial"/>
                <w:sz w:val="18"/>
                <w:szCs w:val="18"/>
                <w:color w:val="auto"/>
                <w:w w:val="87"/>
              </w:rPr>
              <w:t>Peer-to-Peer Pet</w:t>
            </w: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Services</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707,991</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2,506,119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2,500,047</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76"/>
        </w:trPr>
        <w:tc>
          <w:tcPr>
            <w:tcW w:w="2660" w:type="dxa"/>
            <w:vAlign w:val="bottom"/>
            <w:tcBorders>
              <w:left w:val="single" w:sz="8" w:color="CCEEFF"/>
            </w:tcBorders>
            <w:gridSpan w:val="14"/>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Aspiration Partners, Inc.</w:t>
            </w:r>
          </w:p>
        </w:tc>
        <w:tc>
          <w:tcPr>
            <w:tcW w:w="60" w:type="dxa"/>
            <w:vAlign w:val="bottom"/>
            <w:shd w:val="clear" w:color="auto" w:fill="CCEEFF"/>
          </w:tcPr>
          <w:p>
            <w:pPr>
              <w:spacing w:after="0"/>
              <w:rPr>
                <w:sz w:val="15"/>
                <w:szCs w:val="15"/>
                <w:color w:val="auto"/>
              </w:rPr>
            </w:pPr>
          </w:p>
        </w:tc>
        <w:tc>
          <w:tcPr>
            <w:tcW w:w="1980" w:type="dxa"/>
            <w:vAlign w:val="bottom"/>
            <w:gridSpan w:val="3"/>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4"/>
              </w:rPr>
              <w:t>Marina Del Rey, CA</w:t>
            </w:r>
          </w:p>
        </w:tc>
        <w:tc>
          <w:tcPr>
            <w:tcW w:w="92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A</w:t>
            </w:r>
          </w:p>
        </w:tc>
        <w:tc>
          <w:tcPr>
            <w:tcW w:w="60" w:type="dxa"/>
            <w:vAlign w:val="bottom"/>
          </w:tcPr>
          <w:p>
            <w:pPr>
              <w:spacing w:after="0"/>
              <w:rPr>
                <w:sz w:val="18"/>
                <w:szCs w:val="18"/>
                <w:color w:val="auto"/>
              </w:rPr>
            </w:pPr>
          </w:p>
        </w:tc>
        <w:tc>
          <w:tcPr>
            <w:tcW w:w="198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Financial Services</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540,270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1,001,815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2,352,615</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76"/>
        </w:trPr>
        <w:tc>
          <w:tcPr>
            <w:tcW w:w="2660" w:type="dxa"/>
            <w:vAlign w:val="bottom"/>
            <w:tcBorders>
              <w:left w:val="single" w:sz="8" w:color="CCEEFF"/>
            </w:tcBorders>
            <w:gridSpan w:val="14"/>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SharesPost, Inc.</w:t>
            </w:r>
          </w:p>
        </w:tc>
        <w:tc>
          <w:tcPr>
            <w:tcW w:w="60" w:type="dxa"/>
            <w:vAlign w:val="bottom"/>
            <w:shd w:val="clear" w:color="auto" w:fill="CCEEFF"/>
          </w:tcPr>
          <w:p>
            <w:pPr>
              <w:spacing w:after="0"/>
              <w:rPr>
                <w:sz w:val="15"/>
                <w:szCs w:val="15"/>
                <w:color w:val="auto"/>
              </w:rPr>
            </w:pPr>
          </w:p>
        </w:tc>
        <w:tc>
          <w:tcPr>
            <w:tcW w:w="1980" w:type="dxa"/>
            <w:vAlign w:val="bottom"/>
            <w:gridSpan w:val="3"/>
            <w:shd w:val="clear" w:color="auto" w:fill="CCEEFF"/>
          </w:tcPr>
          <w:p>
            <w:pPr>
              <w:jc w:val="center"/>
              <w:ind w:right="140"/>
              <w:spacing w:after="0" w:line="176" w:lineRule="exact"/>
              <w:rPr>
                <w:sz w:val="20"/>
                <w:szCs w:val="20"/>
                <w:color w:val="auto"/>
              </w:rPr>
            </w:pPr>
            <w:r>
              <w:rPr>
                <w:rFonts w:ascii="Arial" w:cs="Arial" w:eastAsia="Arial" w:hAnsi="Arial"/>
                <w:sz w:val="18"/>
                <w:szCs w:val="18"/>
                <w:color w:val="auto"/>
                <w:w w:val="90"/>
              </w:rPr>
              <w:t>San Francisco, CA</w:t>
            </w:r>
          </w:p>
        </w:tc>
        <w:tc>
          <w:tcPr>
            <w:tcW w:w="92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660" w:type="dxa"/>
            <w:vAlign w:val="bottom"/>
            <w:gridSpan w:val="14"/>
          </w:tcPr>
          <w:p>
            <w:pPr>
              <w:ind w:left="20"/>
              <w:spacing w:after="0" w:line="201" w:lineRule="exact"/>
              <w:rPr>
                <w:sz w:val="20"/>
                <w:szCs w:val="20"/>
                <w:color w:val="auto"/>
              </w:rPr>
            </w:pPr>
            <w:r>
              <w:rPr>
                <w:rFonts w:ascii="Arial" w:cs="Arial" w:eastAsia="Arial" w:hAnsi="Arial"/>
                <w:sz w:val="18"/>
                <w:szCs w:val="18"/>
                <w:color w:val="auto"/>
              </w:rPr>
              <w:t>Preferred shares, Series B</w:t>
            </w:r>
          </w:p>
        </w:tc>
        <w:tc>
          <w:tcPr>
            <w:tcW w:w="60" w:type="dxa"/>
            <w:vAlign w:val="bottom"/>
          </w:tcPr>
          <w:p>
            <w:pPr>
              <w:spacing w:after="0"/>
              <w:rPr>
                <w:sz w:val="17"/>
                <w:szCs w:val="17"/>
                <w:color w:val="auto"/>
              </w:rPr>
            </w:pPr>
          </w:p>
        </w:tc>
        <w:tc>
          <w:tcPr>
            <w:tcW w:w="1980" w:type="dxa"/>
            <w:vAlign w:val="bottom"/>
            <w:gridSpan w:val="3"/>
          </w:tcPr>
          <w:p>
            <w:pPr>
              <w:jc w:val="center"/>
              <w:ind w:right="140"/>
              <w:spacing w:after="0" w:line="201" w:lineRule="exact"/>
              <w:rPr>
                <w:sz w:val="20"/>
                <w:szCs w:val="20"/>
                <w:color w:val="auto"/>
              </w:rPr>
            </w:pPr>
            <w:r>
              <w:rPr>
                <w:rFonts w:ascii="Arial" w:cs="Arial" w:eastAsia="Arial" w:hAnsi="Arial"/>
                <w:sz w:val="18"/>
                <w:szCs w:val="18"/>
                <w:color w:val="auto"/>
                <w:w w:val="92"/>
              </w:rPr>
              <w:t>Online Marketplace</w:t>
            </w: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Finance</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1,771,653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2,259,716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2,249,999</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2"/>
        </w:trPr>
        <w:tc>
          <w:tcPr>
            <w:tcW w:w="2660" w:type="dxa"/>
            <w:vAlign w:val="bottom"/>
            <w:tcBorders>
              <w:left w:val="single" w:sz="8" w:color="CCEEFF"/>
            </w:tcBorders>
            <w:gridSpan w:val="14"/>
            <w:shd w:val="clear" w:color="auto" w:fill="CCEEFF"/>
          </w:tcPr>
          <w:p>
            <w:pPr>
              <w:ind w:left="20"/>
              <w:spacing w:after="0" w:line="201" w:lineRule="exact"/>
              <w:rPr>
                <w:sz w:val="20"/>
                <w:szCs w:val="20"/>
                <w:color w:val="auto"/>
              </w:rPr>
            </w:pPr>
            <w:r>
              <w:rPr>
                <w:rFonts w:ascii="Arial" w:cs="Arial" w:eastAsia="Arial" w:hAnsi="Arial"/>
                <w:sz w:val="18"/>
                <w:szCs w:val="18"/>
                <w:color w:val="auto"/>
              </w:rPr>
              <w:t>Common warrants, $0.13 Strike</w:t>
            </w:r>
          </w:p>
        </w:tc>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tcBorders>
              <w:left w:val="single" w:sz="8" w:color="CCEEFF"/>
            </w:tcBorders>
            <w:gridSpan w:val="14"/>
            <w:shd w:val="clear" w:color="auto" w:fill="CCEEFF"/>
          </w:tcPr>
          <w:p>
            <w:pPr>
              <w:ind w:left="200"/>
              <w:spacing w:after="0"/>
              <w:rPr>
                <w:sz w:val="20"/>
                <w:szCs w:val="20"/>
                <w:color w:val="auto"/>
              </w:rPr>
            </w:pPr>
            <w:r>
              <w:rPr>
                <w:rFonts w:ascii="Arial" w:cs="Arial" w:eastAsia="Arial" w:hAnsi="Arial"/>
                <w:sz w:val="18"/>
                <w:szCs w:val="18"/>
                <w:color w:val="auto"/>
                <w:w w:val="94"/>
              </w:rPr>
              <w:t>Price, Expiration Date 6/15/2018</w:t>
            </w:r>
          </w:p>
        </w:tc>
        <w:tc>
          <w:tcPr>
            <w:tcW w:w="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770,934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23,128</w:t>
            </w:r>
          </w:p>
        </w:tc>
        <w:tc>
          <w:tcPr>
            <w:tcW w:w="100" w:type="dxa"/>
            <w:vAlign w:val="bottom"/>
            <w:tcBorders>
              <w:left w:val="single" w:sz="8" w:color="CCEEFF"/>
            </w:tcBorders>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69,384</w:t>
            </w:r>
          </w:p>
        </w:tc>
        <w:tc>
          <w:tcPr>
            <w:tcW w:w="8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gridSpan w:val="14"/>
          </w:tcPr>
          <w:p>
            <w:pPr>
              <w:ind w:left="20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2,282,844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2,319,383</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69"/>
        </w:trPr>
        <w:tc>
          <w:tcPr>
            <w:tcW w:w="2660" w:type="dxa"/>
            <w:vAlign w:val="bottom"/>
            <w:tcBorders>
              <w:left w:val="single" w:sz="8" w:color="CCEEFF"/>
            </w:tcBorders>
            <w:gridSpan w:val="14"/>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DreamBox Learning, Inc.</w:t>
            </w:r>
          </w:p>
        </w:tc>
        <w:tc>
          <w:tcPr>
            <w:tcW w:w="6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jc w:val="center"/>
              <w:ind w:right="120"/>
              <w:spacing w:after="0" w:line="170" w:lineRule="exact"/>
              <w:rPr>
                <w:sz w:val="20"/>
                <w:szCs w:val="20"/>
                <w:color w:val="auto"/>
              </w:rPr>
            </w:pPr>
            <w:r>
              <w:rPr>
                <w:rFonts w:ascii="Arial" w:cs="Arial" w:eastAsia="Arial" w:hAnsi="Arial"/>
                <w:sz w:val="18"/>
                <w:szCs w:val="18"/>
                <w:color w:val="auto"/>
                <w:w w:val="94"/>
              </w:rPr>
              <w:t>Bellevue, WA</w:t>
            </w:r>
          </w:p>
        </w:tc>
        <w:tc>
          <w:tcPr>
            <w:tcW w:w="920" w:type="dxa"/>
            <w:vAlign w:val="bottom"/>
            <w:tcBorders>
              <w:right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A-1</w:t>
            </w:r>
          </w:p>
        </w:tc>
        <w:tc>
          <w:tcPr>
            <w:tcW w:w="60" w:type="dxa"/>
            <w:vAlign w:val="bottom"/>
          </w:tcPr>
          <w:p>
            <w:pPr>
              <w:spacing w:after="0"/>
              <w:rPr>
                <w:sz w:val="18"/>
                <w:szCs w:val="18"/>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Education Technology</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7,159,221</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1,502,362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1,503,436</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2660" w:type="dxa"/>
            <w:vAlign w:val="bottom"/>
            <w:tcBorders>
              <w:left w:val="single" w:sz="8" w:color="CCEEFF"/>
            </w:tcBorders>
            <w:gridSpan w:val="14"/>
            <w:shd w:val="clear" w:color="auto" w:fill="CCEEFF"/>
          </w:tcPr>
          <w:p>
            <w:pPr>
              <w:ind w:left="20"/>
              <w:spacing w:after="0"/>
              <w:rPr>
                <w:sz w:val="20"/>
                <w:szCs w:val="20"/>
                <w:color w:val="auto"/>
              </w:rPr>
            </w:pPr>
            <w:r>
              <w:rPr>
                <w:rFonts w:ascii="Arial" w:cs="Arial" w:eastAsia="Arial" w:hAnsi="Arial"/>
                <w:sz w:val="18"/>
                <w:szCs w:val="18"/>
                <w:color w:val="auto"/>
              </w:rPr>
              <w:t>Preferred shares, Series A</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3,579,610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758,017</w:t>
            </w: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751,718</w:t>
            </w:r>
          </w:p>
        </w:tc>
        <w:tc>
          <w:tcPr>
            <w:tcW w:w="8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gridSpan w:val="14"/>
          </w:tcPr>
          <w:p>
            <w:pPr>
              <w:ind w:left="20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2,260,379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2,255,154</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2660" w:type="dxa"/>
            <w:vAlign w:val="bottom"/>
            <w:tcBorders>
              <w:left w:val="single" w:sz="8" w:color="CCEEFF"/>
            </w:tcBorders>
            <w:gridSpan w:val="14"/>
            <w:shd w:val="clear" w:color="auto" w:fill="CCEEFF"/>
          </w:tcPr>
          <w:p>
            <w:pPr>
              <w:ind w:left="20"/>
              <w:spacing w:after="0" w:line="210" w:lineRule="exact"/>
              <w:rPr>
                <w:sz w:val="20"/>
                <w:szCs w:val="20"/>
                <w:color w:val="auto"/>
              </w:rPr>
            </w:pPr>
            <w:r>
              <w:rPr>
                <w:rFonts w:ascii="Arial" w:cs="Arial" w:eastAsia="Arial" w:hAnsi="Arial"/>
                <w:sz w:val="15"/>
                <w:szCs w:val="15"/>
                <w:b w:val="1"/>
                <w:bCs w:val="1"/>
                <w:color w:val="auto"/>
              </w:rPr>
              <w:t>Strategic Data Command, LLC</w:t>
            </w:r>
            <w:r>
              <w:rPr>
                <w:rFonts w:ascii="Arial" w:cs="Arial" w:eastAsia="Arial" w:hAnsi="Arial"/>
                <w:sz w:val="24"/>
                <w:szCs w:val="24"/>
                <w:b w:val="1"/>
                <w:bCs w:val="1"/>
                <w:color w:val="auto"/>
                <w:vertAlign w:val="superscript"/>
              </w:rPr>
              <w:t>(1)</w:t>
            </w:r>
          </w:p>
        </w:tc>
        <w:tc>
          <w:tcPr>
            <w:tcW w:w="60" w:type="dxa"/>
            <w:vAlign w:val="bottom"/>
            <w:shd w:val="clear" w:color="auto" w:fill="CCEEFF"/>
          </w:tcPr>
          <w:p>
            <w:pPr>
              <w:spacing w:after="0"/>
              <w:rPr>
                <w:sz w:val="18"/>
                <w:szCs w:val="18"/>
                <w:color w:val="auto"/>
              </w:rPr>
            </w:pPr>
          </w:p>
        </w:tc>
        <w:tc>
          <w:tcPr>
            <w:tcW w:w="1980" w:type="dxa"/>
            <w:vAlign w:val="bottom"/>
            <w:gridSpan w:val="3"/>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2"/>
              </w:rPr>
              <w:t>Sunnyvale, CA</w:t>
            </w:r>
          </w:p>
        </w:tc>
        <w:tc>
          <w:tcPr>
            <w:tcW w:w="92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0" w:type="dxa"/>
            <w:vAlign w:val="bottom"/>
            <w:tcBorders>
              <w:top w:val="single" w:sz="8" w:color="auto"/>
              <w:left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b w:val="1"/>
                <w:bCs w:val="1"/>
                <w:color w:val="auto"/>
              </w:rPr>
              <w:t>(6)</w:t>
            </w:r>
          </w:p>
        </w:tc>
        <w:tc>
          <w:tcPr>
            <w:tcW w:w="2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CCEEFF"/>
            </w:tcBorders>
            <w:gridSpan w:val="3"/>
            <w:vMerge w:val="continue"/>
            <w:shd w:val="clear" w:color="auto" w:fill="CCEEFF"/>
          </w:tcPr>
          <w:p>
            <w:pPr>
              <w:spacing w:after="0"/>
              <w:rPr>
                <w:sz w:val="19"/>
                <w:szCs w:val="19"/>
                <w:color w:val="auto"/>
              </w:rPr>
            </w:pPr>
          </w:p>
        </w:tc>
        <w:tc>
          <w:tcPr>
            <w:tcW w:w="920" w:type="dxa"/>
            <w:vAlign w:val="bottom"/>
            <w:tcBorders>
              <w:top w:val="single" w:sz="8" w:color="CCEEFF"/>
              <w:right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left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left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60" w:type="dxa"/>
            <w:vAlign w:val="bottom"/>
            <w:gridSpan w:val="14"/>
          </w:tcPr>
          <w:p>
            <w:pPr>
              <w:ind w:left="20"/>
              <w:spacing w:after="0"/>
              <w:rPr>
                <w:sz w:val="20"/>
                <w:szCs w:val="20"/>
                <w:color w:val="auto"/>
              </w:rPr>
            </w:pPr>
            <w:r>
              <w:rPr>
                <w:rFonts w:ascii="Arial" w:cs="Arial" w:eastAsia="Arial" w:hAnsi="Arial"/>
                <w:sz w:val="18"/>
                <w:szCs w:val="18"/>
                <w:color w:val="auto"/>
              </w:rPr>
              <w:t>Common shares</w:t>
            </w:r>
          </w:p>
        </w:tc>
        <w:tc>
          <w:tcPr>
            <w:tcW w:w="60" w:type="dxa"/>
            <w:vAlign w:val="bottom"/>
          </w:tcPr>
          <w:p>
            <w:pPr>
              <w:spacing w:after="0"/>
              <w:rPr>
                <w:sz w:val="18"/>
                <w:szCs w:val="18"/>
                <w:color w:val="auto"/>
              </w:rPr>
            </w:pPr>
          </w:p>
        </w:tc>
        <w:tc>
          <w:tcPr>
            <w:tcW w:w="19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Big Data Consulting</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2,400,000</w:t>
            </w:r>
          </w:p>
        </w:tc>
        <w:tc>
          <w:tcPr>
            <w:tcW w:w="820" w:type="dxa"/>
            <w:vAlign w:val="bottom"/>
          </w:tcPr>
          <w:p>
            <w:pPr>
              <w:jc w:val="right"/>
              <w:spacing w:after="0"/>
              <w:rPr>
                <w:sz w:val="20"/>
                <w:szCs w:val="20"/>
                <w:color w:val="auto"/>
              </w:rPr>
            </w:pPr>
            <w:r>
              <w:rPr>
                <w:rFonts w:ascii="Arial" w:cs="Arial" w:eastAsia="Arial" w:hAnsi="Arial"/>
                <w:sz w:val="18"/>
                <w:szCs w:val="18"/>
                <w:color w:val="auto"/>
              </w:rPr>
              <w:t>989,277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2,160,000</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660" w:type="dxa"/>
            <w:vAlign w:val="bottom"/>
            <w:tcBorders>
              <w:left w:val="single" w:sz="8" w:color="CCEEFF"/>
            </w:tcBorders>
            <w:gridSpan w:val="14"/>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Maven Research, Inc.</w:t>
            </w:r>
            <w:r>
              <w:rPr>
                <w:rFonts w:ascii="Arial" w:cs="Arial" w:eastAsia="Arial" w:hAnsi="Arial"/>
                <w:sz w:val="25"/>
                <w:szCs w:val="25"/>
                <w:b w:val="1"/>
                <w:bCs w:val="1"/>
                <w:color w:val="auto"/>
                <w:vertAlign w:val="superscript"/>
              </w:rPr>
              <w:t>(1)</w:t>
            </w:r>
          </w:p>
        </w:tc>
        <w:tc>
          <w:tcPr>
            <w:tcW w:w="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0"/>
              </w:rPr>
              <w:t>San Francisco, CA</w:t>
            </w:r>
          </w:p>
        </w:tc>
        <w:tc>
          <w:tcPr>
            <w:tcW w:w="92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C</w:t>
            </w:r>
          </w:p>
        </w:tc>
        <w:tc>
          <w:tcPr>
            <w:tcW w:w="60" w:type="dxa"/>
            <w:vAlign w:val="bottom"/>
          </w:tcPr>
          <w:p>
            <w:pPr>
              <w:spacing w:after="0"/>
              <w:rPr>
                <w:sz w:val="18"/>
                <w:szCs w:val="18"/>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Knowledge Networks</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318,979</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2,000,447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1,955,341</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2660" w:type="dxa"/>
            <w:vAlign w:val="bottom"/>
            <w:tcBorders>
              <w:left w:val="single" w:sz="8" w:color="CCEEFF"/>
            </w:tcBorders>
            <w:gridSpan w:val="14"/>
            <w:shd w:val="clear" w:color="auto" w:fill="CCEEFF"/>
          </w:tcPr>
          <w:p>
            <w:pPr>
              <w:ind w:left="20"/>
              <w:spacing w:after="0"/>
              <w:rPr>
                <w:sz w:val="20"/>
                <w:szCs w:val="20"/>
                <w:color w:val="auto"/>
              </w:rPr>
            </w:pPr>
            <w:r>
              <w:rPr>
                <w:rFonts w:ascii="Arial" w:cs="Arial" w:eastAsia="Arial" w:hAnsi="Arial"/>
                <w:sz w:val="18"/>
                <w:szCs w:val="18"/>
                <w:color w:val="auto"/>
              </w:rPr>
              <w:t>Preferred shares, Series B</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217,206</w:t>
            </w: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195,050</w:t>
            </w:r>
          </w:p>
        </w:tc>
        <w:tc>
          <w:tcPr>
            <w:tcW w:w="8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gridSpan w:val="14"/>
          </w:tcPr>
          <w:p>
            <w:pPr>
              <w:ind w:left="20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2,217,653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2,150,391</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69"/>
        </w:trPr>
        <w:tc>
          <w:tcPr>
            <w:tcW w:w="2660" w:type="dxa"/>
            <w:vAlign w:val="bottom"/>
            <w:tcBorders>
              <w:left w:val="single" w:sz="8" w:color="CCEEFF"/>
            </w:tcBorders>
            <w:gridSpan w:val="14"/>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Clever, Inc.</w:t>
            </w:r>
          </w:p>
        </w:tc>
        <w:tc>
          <w:tcPr>
            <w:tcW w:w="6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jc w:val="center"/>
              <w:ind w:right="140"/>
              <w:spacing w:after="0" w:line="170" w:lineRule="exact"/>
              <w:rPr>
                <w:sz w:val="20"/>
                <w:szCs w:val="20"/>
                <w:color w:val="auto"/>
              </w:rPr>
            </w:pPr>
            <w:r>
              <w:rPr>
                <w:rFonts w:ascii="Arial" w:cs="Arial" w:eastAsia="Arial" w:hAnsi="Arial"/>
                <w:sz w:val="18"/>
                <w:szCs w:val="18"/>
                <w:color w:val="auto"/>
                <w:w w:val="90"/>
              </w:rPr>
              <w:t>San Francisco, CA</w:t>
            </w:r>
          </w:p>
        </w:tc>
        <w:tc>
          <w:tcPr>
            <w:tcW w:w="920" w:type="dxa"/>
            <w:vAlign w:val="bottom"/>
            <w:tcBorders>
              <w:right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B</w:t>
            </w:r>
          </w:p>
        </w:tc>
        <w:tc>
          <w:tcPr>
            <w:tcW w:w="60" w:type="dxa"/>
            <w:vAlign w:val="bottom"/>
          </w:tcPr>
          <w:p>
            <w:pPr>
              <w:spacing w:after="0"/>
              <w:rPr>
                <w:sz w:val="18"/>
                <w:szCs w:val="18"/>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Education Software</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1,799,047</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2,000,601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2,000,001</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176"/>
        </w:trPr>
        <w:tc>
          <w:tcPr>
            <w:tcW w:w="2660" w:type="dxa"/>
            <w:vAlign w:val="bottom"/>
            <w:tcBorders>
              <w:left w:val="single" w:sz="8" w:color="CCEEFF"/>
            </w:tcBorders>
            <w:gridSpan w:val="14"/>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SPBRX, INC. (f/k/a GSV</w:t>
            </w:r>
          </w:p>
        </w:tc>
        <w:tc>
          <w:tcPr>
            <w:tcW w:w="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Borders>
              <w:left w:val="single" w:sz="8" w:color="CCEEFF"/>
            </w:tcBorders>
            <w:gridSpan w:val="9"/>
            <w:shd w:val="clear" w:color="auto" w:fill="000000"/>
          </w:tcPr>
          <w:p>
            <w:pPr>
              <w:spacing w:after="0" w:line="20" w:lineRule="exact"/>
              <w:rPr>
                <w:sz w:val="1"/>
                <w:szCs w:val="1"/>
                <w:color w:val="auto"/>
              </w:rPr>
            </w:pPr>
          </w:p>
        </w:tc>
        <w:tc>
          <w:tcPr>
            <w:tcW w:w="480" w:type="dxa"/>
            <w:vAlign w:val="bottom"/>
            <w:gridSpan w:val="3"/>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980" w:type="dxa"/>
            <w:vAlign w:val="bottom"/>
            <w:gridSpan w:val="3"/>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60" w:type="dxa"/>
            <w:vAlign w:val="bottom"/>
            <w:tcBorders>
              <w:left w:val="single" w:sz="8" w:color="CCEEFF"/>
            </w:tcBorders>
            <w:gridSpan w:val="14"/>
            <w:shd w:val="clear" w:color="auto" w:fill="CCEEFF"/>
          </w:tcPr>
          <w:p>
            <w:pPr>
              <w:ind w:left="200"/>
              <w:spacing w:after="0" w:line="236" w:lineRule="exact"/>
              <w:rPr>
                <w:sz w:val="20"/>
                <w:szCs w:val="20"/>
                <w:color w:val="auto"/>
              </w:rPr>
            </w:pPr>
            <w:r>
              <w:rPr>
                <w:rFonts w:ascii="Arial" w:cs="Arial" w:eastAsia="Arial" w:hAnsi="Arial"/>
                <w:sz w:val="17"/>
                <w:szCs w:val="17"/>
                <w:b w:val="1"/>
                <w:bCs w:val="1"/>
                <w:color w:val="auto"/>
                <w:w w:val="97"/>
              </w:rPr>
              <w:t>Sustainability Partners, Inc.)</w:t>
            </w:r>
            <w:r>
              <w:rPr>
                <w:rFonts w:ascii="Arial" w:cs="Arial" w:eastAsia="Arial" w:hAnsi="Arial"/>
                <w:sz w:val="27"/>
                <w:szCs w:val="27"/>
                <w:b w:val="1"/>
                <w:bCs w:val="1"/>
                <w:color w:val="auto"/>
                <w:w w:val="97"/>
                <w:vertAlign w:val="superscript"/>
              </w:rPr>
              <w:t>(2)</w:t>
            </w:r>
          </w:p>
        </w:tc>
        <w:tc>
          <w:tcPr>
            <w:tcW w:w="6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2"/>
              </w:rPr>
              <w:t>Woodside, CA</w:t>
            </w:r>
          </w:p>
        </w:tc>
        <w:tc>
          <w:tcPr>
            <w:tcW w:w="920" w:type="dxa"/>
            <w:vAlign w:val="bottom"/>
            <w:tcBorders>
              <w:right w:val="single" w:sz="8" w:color="CCEEFF"/>
            </w:tcBorders>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gridSpan w:val="14"/>
          </w:tcPr>
          <w:p>
            <w:pPr>
              <w:ind w:left="20"/>
              <w:spacing w:after="0"/>
              <w:rPr>
                <w:sz w:val="20"/>
                <w:szCs w:val="20"/>
                <w:color w:val="auto"/>
              </w:rPr>
            </w:pPr>
            <w:r>
              <w:rPr>
                <w:rFonts w:ascii="Arial" w:cs="Arial" w:eastAsia="Arial" w:hAnsi="Arial"/>
                <w:sz w:val="18"/>
                <w:szCs w:val="18"/>
                <w:color w:val="auto"/>
              </w:rPr>
              <w:t>Preferred shares, Class A***</w:t>
            </w:r>
          </w:p>
        </w:tc>
        <w:tc>
          <w:tcPr>
            <w:tcW w:w="60" w:type="dxa"/>
            <w:vAlign w:val="bottom"/>
          </w:tcPr>
          <w:p>
            <w:pPr>
              <w:spacing w:after="0"/>
              <w:rPr>
                <w:sz w:val="18"/>
                <w:szCs w:val="18"/>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Clean Technology</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14,300,000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7,151,412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1,529,244</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660" w:type="dxa"/>
            <w:vAlign w:val="bottom"/>
            <w:tcBorders>
              <w:left w:val="single" w:sz="8" w:color="CCEEFF"/>
            </w:tcBorders>
            <w:gridSpan w:val="14"/>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gridSpan w:val="14"/>
          </w:tcPr>
          <w:p>
            <w:pPr>
              <w:ind w:left="20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7,161,412</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1,529,244</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-6988810</wp:posOffset>
            </wp:positionV>
            <wp:extent cx="5213985"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-6422390</wp:posOffset>
            </wp:positionV>
            <wp:extent cx="5213985"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-4432935</wp:posOffset>
            </wp:positionV>
            <wp:extent cx="521398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-2743835</wp:posOffset>
            </wp:positionV>
            <wp:extent cx="5213985"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-2177415</wp:posOffset>
            </wp:positionV>
            <wp:extent cx="521398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-1156970</wp:posOffset>
            </wp:positionV>
            <wp:extent cx="5213985"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356" w:gutter="0" w:footer="0" w:header="0"/>
        </w:sectPr>
      </w:pPr>
    </w:p>
    <w:bookmarkStart w:id="12" w:name="page13"/>
    <w:bookmarkEnd w:id="1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-36195</wp:posOffset>
            </wp:positionV>
            <wp:extent cx="54368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36870" cy="889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25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9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gridSpan w:val="15"/>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60" w:type="dxa"/>
            <w:vAlign w:val="bottom"/>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210"/>
        </w:trPr>
        <w:tc>
          <w:tcPr>
            <w:tcW w:w="2720" w:type="dxa"/>
            <w:vAlign w:val="bottom"/>
            <w:gridSpan w:val="16"/>
            <w:shd w:val="clear" w:color="auto" w:fill="CCEEFF"/>
          </w:tcPr>
          <w:p>
            <w:pPr>
              <w:ind w:left="20"/>
              <w:spacing w:after="0" w:line="210" w:lineRule="exact"/>
              <w:rPr>
                <w:sz w:val="20"/>
                <w:szCs w:val="20"/>
                <w:color w:val="auto"/>
              </w:rPr>
            </w:pPr>
            <w:r>
              <w:rPr>
                <w:rFonts w:ascii="Arial" w:cs="Arial" w:eastAsia="Arial" w:hAnsi="Arial"/>
                <w:sz w:val="15"/>
                <w:szCs w:val="15"/>
                <w:b w:val="1"/>
                <w:bCs w:val="1"/>
                <w:color w:val="auto"/>
              </w:rPr>
              <w:t>EdSurge, Inc.</w:t>
            </w:r>
            <w:r>
              <w:rPr>
                <w:rFonts w:ascii="Arial" w:cs="Arial" w:eastAsia="Arial" w:hAnsi="Arial"/>
                <w:sz w:val="24"/>
                <w:szCs w:val="24"/>
                <w:b w:val="1"/>
                <w:bCs w:val="1"/>
                <w:color w:val="auto"/>
                <w:vertAlign w:val="superscript"/>
              </w:rPr>
              <w:t>(1)</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Burlingame, CA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20" w:type="dxa"/>
            <w:vAlign w:val="bottom"/>
            <w:gridSpan w:val="16"/>
          </w:tcPr>
          <w:p>
            <w:pPr>
              <w:ind w:left="20"/>
              <w:spacing w:after="0" w:line="201" w:lineRule="exact"/>
              <w:rPr>
                <w:sz w:val="20"/>
                <w:szCs w:val="20"/>
                <w:color w:val="auto"/>
              </w:rPr>
            </w:pPr>
            <w:r>
              <w:rPr>
                <w:rFonts w:ascii="Arial" w:cs="Arial" w:eastAsia="Arial" w:hAnsi="Arial"/>
                <w:sz w:val="18"/>
                <w:szCs w:val="18"/>
                <w:color w:val="auto"/>
              </w:rPr>
              <w:t>Preferred shares, Series A-1</w:t>
            </w:r>
          </w:p>
        </w:tc>
        <w:tc>
          <w:tcPr>
            <w:tcW w:w="1820" w:type="dxa"/>
            <w:vAlign w:val="bottom"/>
          </w:tcPr>
          <w:p>
            <w:pPr>
              <w:jc w:val="center"/>
              <w:spacing w:after="0" w:line="201" w:lineRule="exact"/>
              <w:rPr>
                <w:sz w:val="20"/>
                <w:szCs w:val="20"/>
                <w:color w:val="auto"/>
              </w:rPr>
            </w:pPr>
            <w:r>
              <w:rPr>
                <w:rFonts w:ascii="Arial" w:cs="Arial" w:eastAsia="Arial" w:hAnsi="Arial"/>
                <w:sz w:val="18"/>
                <w:szCs w:val="18"/>
                <w:color w:val="auto"/>
                <w:w w:val="92"/>
              </w:rPr>
              <w:t>Education Media</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Platform</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378,788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501,360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720" w:type="dxa"/>
            <w:vAlign w:val="bottom"/>
            <w:gridSpan w:val="16"/>
            <w:shd w:val="clear" w:color="auto" w:fill="CCEEFF"/>
          </w:tcPr>
          <w:p>
            <w:pPr>
              <w:ind w:left="20"/>
              <w:spacing w:after="0"/>
              <w:rPr>
                <w:sz w:val="20"/>
                <w:szCs w:val="20"/>
                <w:color w:val="auto"/>
              </w:rPr>
            </w:pPr>
            <w:r>
              <w:rPr>
                <w:rFonts w:ascii="Arial" w:cs="Arial" w:eastAsia="Arial" w:hAnsi="Arial"/>
                <w:sz w:val="18"/>
                <w:szCs w:val="18"/>
                <w:color w:val="auto"/>
              </w:rPr>
              <w:t>Preferred shares, Series A</w:t>
            </w:r>
          </w:p>
        </w:tc>
        <w:tc>
          <w:tcPr>
            <w:tcW w:w="1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494,365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500,801</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499,309</w:t>
            </w:r>
          </w:p>
        </w:tc>
        <w:tc>
          <w:tcPr>
            <w:tcW w:w="8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14"/>
          </w:tcPr>
          <w:p>
            <w:pPr>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1,002,161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999,309</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169"/>
        </w:trPr>
        <w:tc>
          <w:tcPr>
            <w:tcW w:w="2720" w:type="dxa"/>
            <w:vAlign w:val="bottom"/>
            <w:gridSpan w:val="16"/>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Fullbridge, Inc.</w:t>
            </w:r>
          </w:p>
        </w:tc>
        <w:tc>
          <w:tcPr>
            <w:tcW w:w="182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4"/>
              </w:rPr>
              <w:t>Cambridge, MA</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gridSpan w:val="16"/>
          </w:tcPr>
          <w:p>
            <w:pPr>
              <w:ind w:left="20"/>
              <w:spacing w:after="0"/>
              <w:rPr>
                <w:sz w:val="20"/>
                <w:szCs w:val="20"/>
                <w:color w:val="auto"/>
              </w:rPr>
            </w:pPr>
            <w:r>
              <w:rPr>
                <w:rFonts w:ascii="Arial" w:cs="Arial" w:eastAsia="Arial" w:hAnsi="Arial"/>
                <w:sz w:val="18"/>
                <w:szCs w:val="18"/>
                <w:color w:val="auto"/>
              </w:rPr>
              <w:t>Common shares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Business Education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517,917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6,150,506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20" w:type="dxa"/>
            <w:vAlign w:val="bottom"/>
            <w:gridSpan w:val="16"/>
            <w:shd w:val="clear" w:color="auto" w:fill="CCEEFF"/>
          </w:tcPr>
          <w:p>
            <w:pPr>
              <w:ind w:left="20"/>
              <w:spacing w:after="0" w:line="201" w:lineRule="exact"/>
              <w:rPr>
                <w:sz w:val="20"/>
                <w:szCs w:val="20"/>
                <w:color w:val="auto"/>
              </w:rPr>
            </w:pPr>
            <w:r>
              <w:rPr>
                <w:rFonts w:ascii="Arial" w:cs="Arial" w:eastAsia="Arial" w:hAnsi="Arial"/>
                <w:sz w:val="18"/>
                <w:szCs w:val="18"/>
                <w:color w:val="auto"/>
              </w:rPr>
              <w:t>Junior note 1.49%, Due</w:t>
            </w:r>
          </w:p>
        </w:tc>
        <w:tc>
          <w:tcPr>
            <w:tcW w:w="1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w w:val="96"/>
              </w:rPr>
              <w:t>11/9/2021***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2,270,458</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2,270,863</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877,359</w:t>
            </w:r>
          </w:p>
        </w:tc>
        <w:tc>
          <w:tcPr>
            <w:tcW w:w="8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14"/>
          </w:tcPr>
          <w:p>
            <w:pPr>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8,421,369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877,359</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169"/>
        </w:trPr>
        <w:tc>
          <w:tcPr>
            <w:tcW w:w="2720" w:type="dxa"/>
            <w:vAlign w:val="bottom"/>
            <w:gridSpan w:val="16"/>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Tynker (f/k/a Neuron Fuel, Inc.)</w:t>
            </w:r>
          </w:p>
        </w:tc>
        <w:tc>
          <w:tcPr>
            <w:tcW w:w="182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5"/>
              </w:rPr>
              <w:t>Mountain View, CA</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gridSpan w:val="16"/>
          </w:tcPr>
          <w:p>
            <w:pPr>
              <w:ind w:left="20"/>
              <w:spacing w:after="0"/>
              <w:rPr>
                <w:sz w:val="20"/>
                <w:szCs w:val="20"/>
                <w:color w:val="auto"/>
              </w:rPr>
            </w:pPr>
            <w:r>
              <w:rPr>
                <w:rFonts w:ascii="Arial" w:cs="Arial" w:eastAsia="Arial" w:hAnsi="Arial"/>
                <w:sz w:val="18"/>
                <w:szCs w:val="18"/>
                <w:color w:val="auto"/>
              </w:rPr>
              <w:t>Preferred shares, Series A</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Computer Software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534,162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309,310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844,230</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176"/>
        </w:trPr>
        <w:tc>
          <w:tcPr>
            <w:tcW w:w="2720" w:type="dxa"/>
            <w:vAlign w:val="bottom"/>
            <w:gridSpan w:val="16"/>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4C Insights (f/k/a The Echo</w:t>
            </w:r>
          </w:p>
        </w:tc>
        <w:tc>
          <w:tcPr>
            <w:tcW w:w="1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gridSpan w:val="9"/>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Systems Corp.)</w:t>
            </w:r>
          </w:p>
        </w:tc>
        <w:tc>
          <w:tcPr>
            <w:tcW w:w="600" w:type="dxa"/>
            <w:vAlign w:val="bottom"/>
            <w:tcBorders>
              <w:top w:val="single" w:sz="8" w:color="CCEEFF"/>
            </w:tcBorders>
            <w:gridSpan w:val="5"/>
            <w:shd w:val="clear" w:color="auto" w:fill="CCEEFF"/>
          </w:tcPr>
          <w:p>
            <w:pPr>
              <w:spacing w:after="0"/>
              <w:rPr>
                <w:sz w:val="17"/>
                <w:szCs w:val="17"/>
                <w:color w:val="auto"/>
              </w:rPr>
            </w:pPr>
          </w:p>
        </w:tc>
        <w:tc>
          <w:tcPr>
            <w:tcW w:w="18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Chicago, IL</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gridSpan w:val="16"/>
          </w:tcPr>
          <w:p>
            <w:pPr>
              <w:ind w:left="20"/>
              <w:spacing w:after="0"/>
              <w:rPr>
                <w:sz w:val="20"/>
                <w:szCs w:val="20"/>
                <w:color w:val="auto"/>
              </w:rPr>
            </w:pPr>
            <w:r>
              <w:rPr>
                <w:rFonts w:ascii="Arial" w:cs="Arial" w:eastAsia="Arial" w:hAnsi="Arial"/>
                <w:sz w:val="18"/>
                <w:szCs w:val="18"/>
                <w:color w:val="auto"/>
              </w:rPr>
              <w:t>Common shares</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Social Data Platform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436,219</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1,436,406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505,747</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176"/>
        </w:trPr>
        <w:tc>
          <w:tcPr>
            <w:tcW w:w="2720" w:type="dxa"/>
            <w:vAlign w:val="bottom"/>
            <w:gridSpan w:val="16"/>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Circle Media (f/k/a S3 Digital</w:t>
            </w:r>
          </w:p>
        </w:tc>
        <w:tc>
          <w:tcPr>
            <w:tcW w:w="1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9"/>
              </w:rPr>
              <w:t>Corp.</w:t>
            </w:r>
          </w:p>
        </w:tc>
        <w:tc>
          <w:tcPr>
            <w:tcW w:w="1640" w:type="dxa"/>
            <w:vAlign w:val="bottom"/>
            <w:tcBorders>
              <w:top w:val="single" w:sz="8" w:color="auto"/>
              <w:bottom w:val="single" w:sz="8" w:color="CCEEFF"/>
            </w:tcBorders>
            <w:gridSpan w:val="10"/>
            <w:shd w:val="clear" w:color="auto" w:fill="CCEEFF"/>
          </w:tcPr>
          <w:p>
            <w:pPr>
              <w:spacing w:after="0"/>
              <w:rPr>
                <w:sz w:val="17"/>
                <w:szCs w:val="17"/>
                <w:color w:val="auto"/>
              </w:rPr>
            </w:pPr>
          </w:p>
        </w:tc>
        <w:tc>
          <w:tcPr>
            <w:tcW w:w="44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18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520" w:type="dxa"/>
            <w:vAlign w:val="bottom"/>
            <w:gridSpan w:val="14"/>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(d/b/a S3i))</w:t>
            </w:r>
            <w:r>
              <w:rPr>
                <w:rFonts w:ascii="Arial" w:cs="Arial" w:eastAsia="Arial" w:hAnsi="Arial"/>
                <w:sz w:val="27"/>
                <w:szCs w:val="27"/>
                <w:b w:val="1"/>
                <w:bCs w:val="1"/>
                <w:color w:val="auto"/>
                <w:vertAlign w:val="superscript"/>
              </w:rPr>
              <w:t>(1)</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New York, NY</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20" w:type="dxa"/>
            <w:vAlign w:val="bottom"/>
            <w:gridSpan w:val="16"/>
          </w:tcPr>
          <w:p>
            <w:pPr>
              <w:ind w:left="20"/>
              <w:spacing w:after="0" w:line="201" w:lineRule="exact"/>
              <w:rPr>
                <w:sz w:val="20"/>
                <w:szCs w:val="20"/>
                <w:color w:val="auto"/>
              </w:rPr>
            </w:pPr>
            <w:r>
              <w:rPr>
                <w:rFonts w:ascii="Arial" w:cs="Arial" w:eastAsia="Arial" w:hAnsi="Arial"/>
                <w:sz w:val="18"/>
                <w:szCs w:val="18"/>
                <w:color w:val="auto"/>
              </w:rPr>
              <w:t>Promissory Note 12%, Due</w:t>
            </w:r>
          </w:p>
        </w:tc>
        <w:tc>
          <w:tcPr>
            <w:tcW w:w="1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60" w:type="dxa"/>
            <w:vAlign w:val="bottom"/>
            <w:gridSpan w:val="9"/>
          </w:tcPr>
          <w:p>
            <w:pPr>
              <w:ind w:left="200"/>
              <w:spacing w:after="0"/>
              <w:rPr>
                <w:sz w:val="20"/>
                <w:szCs w:val="20"/>
                <w:color w:val="auto"/>
              </w:rPr>
            </w:pPr>
            <w:r>
              <w:rPr>
                <w:rFonts w:ascii="Arial" w:cs="Arial" w:eastAsia="Arial" w:hAnsi="Arial"/>
                <w:sz w:val="18"/>
                <w:szCs w:val="18"/>
                <w:color w:val="auto"/>
              </w:rPr>
              <w:t>11/17/2017***</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Sports Analytics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28,008</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28,008</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720" w:type="dxa"/>
            <w:vAlign w:val="bottom"/>
            <w:gridSpan w:val="16"/>
            <w:shd w:val="clear" w:color="auto" w:fill="CCEEFF"/>
          </w:tcPr>
          <w:p>
            <w:pPr>
              <w:ind w:left="20"/>
              <w:spacing w:after="0"/>
              <w:rPr>
                <w:sz w:val="20"/>
                <w:szCs w:val="20"/>
                <w:color w:val="auto"/>
              </w:rPr>
            </w:pPr>
            <w:r>
              <w:rPr>
                <w:rFonts w:ascii="Arial" w:cs="Arial" w:eastAsia="Arial" w:hAnsi="Arial"/>
                <w:sz w:val="18"/>
                <w:szCs w:val="18"/>
                <w:color w:val="auto"/>
              </w:rPr>
              <w:t>Preferred shares, Series A</w:t>
            </w:r>
          </w:p>
        </w:tc>
        <w:tc>
          <w:tcPr>
            <w:tcW w:w="1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1,864,495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1,777,576</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20" w:type="dxa"/>
            <w:vAlign w:val="bottom"/>
            <w:gridSpan w:val="16"/>
          </w:tcPr>
          <w:p>
            <w:pPr>
              <w:ind w:left="20"/>
              <w:spacing w:after="0" w:line="201" w:lineRule="exact"/>
              <w:rPr>
                <w:sz w:val="20"/>
                <w:szCs w:val="20"/>
                <w:color w:val="auto"/>
              </w:rPr>
            </w:pPr>
            <w:r>
              <w:rPr>
                <w:rFonts w:ascii="Arial" w:cs="Arial" w:eastAsia="Arial" w:hAnsi="Arial"/>
                <w:sz w:val="18"/>
                <w:szCs w:val="18"/>
                <w:color w:val="auto"/>
              </w:rPr>
              <w:t>Preferred warrants, $1.17 Strike</w:t>
            </w:r>
          </w:p>
        </w:tc>
        <w:tc>
          <w:tcPr>
            <w:tcW w:w="1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14"/>
          </w:tcPr>
          <w:p>
            <w:pPr>
              <w:spacing w:after="0"/>
              <w:rPr>
                <w:sz w:val="20"/>
                <w:szCs w:val="20"/>
                <w:color w:val="auto"/>
              </w:rPr>
            </w:pPr>
            <w:r>
              <w:rPr>
                <w:rFonts w:ascii="Arial" w:cs="Arial" w:eastAsia="Arial" w:hAnsi="Arial"/>
                <w:sz w:val="18"/>
                <w:szCs w:val="18"/>
                <w:color w:val="auto"/>
                <w:w w:val="92"/>
              </w:rPr>
              <w:t>Price, Expiration Date 11/18/2022</w:t>
            </w: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5,360</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20" w:type="dxa"/>
            <w:vAlign w:val="bottom"/>
            <w:gridSpan w:val="16"/>
            <w:shd w:val="clear" w:color="auto" w:fill="CCEEFF"/>
          </w:tcPr>
          <w:p>
            <w:pPr>
              <w:ind w:left="20"/>
              <w:spacing w:after="0" w:line="201" w:lineRule="exact"/>
              <w:rPr>
                <w:sz w:val="20"/>
                <w:szCs w:val="20"/>
                <w:color w:val="auto"/>
              </w:rPr>
            </w:pPr>
            <w:r>
              <w:rPr>
                <w:rFonts w:ascii="Arial" w:cs="Arial" w:eastAsia="Arial" w:hAnsi="Arial"/>
                <w:sz w:val="18"/>
                <w:szCs w:val="18"/>
                <w:color w:val="auto"/>
              </w:rPr>
              <w:t>Preferred warrants, $1.17 Strike</w:t>
            </w:r>
          </w:p>
        </w:tc>
        <w:tc>
          <w:tcPr>
            <w:tcW w:w="1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520" w:type="dxa"/>
            <w:vAlign w:val="bottom"/>
            <w:gridSpan w:val="14"/>
            <w:shd w:val="clear" w:color="auto" w:fill="CCEEFF"/>
          </w:tcPr>
          <w:p>
            <w:pPr>
              <w:spacing w:after="0"/>
              <w:rPr>
                <w:sz w:val="20"/>
                <w:szCs w:val="20"/>
                <w:color w:val="auto"/>
              </w:rPr>
            </w:pPr>
            <w:r>
              <w:rPr>
                <w:rFonts w:ascii="Arial" w:cs="Arial" w:eastAsia="Arial" w:hAnsi="Arial"/>
                <w:sz w:val="18"/>
                <w:szCs w:val="18"/>
                <w:color w:val="auto"/>
                <w:w w:val="96"/>
              </w:rPr>
              <w:t>Price, Expiration Date 8/29/2021</w:t>
            </w:r>
          </w:p>
        </w:tc>
        <w:tc>
          <w:tcPr>
            <w:tcW w:w="1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175,815</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20" w:type="dxa"/>
            <w:vAlign w:val="bottom"/>
            <w:gridSpan w:val="16"/>
          </w:tcPr>
          <w:p>
            <w:pPr>
              <w:ind w:left="20"/>
              <w:spacing w:after="0" w:line="201" w:lineRule="exact"/>
              <w:rPr>
                <w:sz w:val="20"/>
                <w:szCs w:val="20"/>
                <w:color w:val="auto"/>
              </w:rPr>
            </w:pPr>
            <w:r>
              <w:rPr>
                <w:rFonts w:ascii="Arial" w:cs="Arial" w:eastAsia="Arial" w:hAnsi="Arial"/>
                <w:sz w:val="18"/>
                <w:szCs w:val="18"/>
                <w:color w:val="auto"/>
              </w:rPr>
              <w:t>Preferred warrants, $1.17 Strike</w:t>
            </w:r>
          </w:p>
        </w:tc>
        <w:tc>
          <w:tcPr>
            <w:tcW w:w="1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14"/>
          </w:tcPr>
          <w:p>
            <w:pPr>
              <w:spacing w:after="0"/>
              <w:rPr>
                <w:sz w:val="20"/>
                <w:szCs w:val="20"/>
                <w:color w:val="auto"/>
              </w:rPr>
            </w:pPr>
            <w:r>
              <w:rPr>
                <w:rFonts w:ascii="Arial" w:cs="Arial" w:eastAsia="Arial" w:hAnsi="Arial"/>
                <w:sz w:val="18"/>
                <w:szCs w:val="18"/>
                <w:color w:val="auto"/>
                <w:w w:val="96"/>
              </w:rPr>
              <w:t>Price, Expiration Date 6/26/2021</w:t>
            </w: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38,594</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20" w:type="dxa"/>
            <w:vAlign w:val="bottom"/>
            <w:gridSpan w:val="16"/>
            <w:shd w:val="clear" w:color="auto" w:fill="CCEEFF"/>
          </w:tcPr>
          <w:p>
            <w:pPr>
              <w:ind w:left="20"/>
              <w:spacing w:after="0" w:line="201" w:lineRule="exact"/>
              <w:rPr>
                <w:sz w:val="20"/>
                <w:szCs w:val="20"/>
                <w:color w:val="auto"/>
              </w:rPr>
            </w:pPr>
            <w:r>
              <w:rPr>
                <w:rFonts w:ascii="Arial" w:cs="Arial" w:eastAsia="Arial" w:hAnsi="Arial"/>
                <w:sz w:val="18"/>
                <w:szCs w:val="18"/>
                <w:color w:val="auto"/>
              </w:rPr>
              <w:t>Preferred warrants, $1.17 Strike</w:t>
            </w:r>
          </w:p>
        </w:tc>
        <w:tc>
          <w:tcPr>
            <w:tcW w:w="1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520" w:type="dxa"/>
            <w:vAlign w:val="bottom"/>
            <w:gridSpan w:val="14"/>
            <w:shd w:val="clear" w:color="auto" w:fill="CCEEFF"/>
          </w:tcPr>
          <w:p>
            <w:pPr>
              <w:spacing w:after="0"/>
              <w:rPr>
                <w:sz w:val="20"/>
                <w:szCs w:val="20"/>
                <w:color w:val="auto"/>
              </w:rPr>
            </w:pPr>
            <w:r>
              <w:rPr>
                <w:rFonts w:ascii="Arial" w:cs="Arial" w:eastAsia="Arial" w:hAnsi="Arial"/>
                <w:sz w:val="18"/>
                <w:szCs w:val="18"/>
                <w:color w:val="auto"/>
                <w:w w:val="96"/>
              </w:rPr>
              <w:t>Price, Expiration Date 9/30/2020</w:t>
            </w:r>
          </w:p>
        </w:tc>
        <w:tc>
          <w:tcPr>
            <w:tcW w:w="1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160,806</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20" w:type="dxa"/>
            <w:vAlign w:val="bottom"/>
            <w:gridSpan w:val="16"/>
          </w:tcPr>
          <w:p>
            <w:pPr>
              <w:ind w:left="20"/>
              <w:spacing w:after="0" w:line="201" w:lineRule="exact"/>
              <w:rPr>
                <w:sz w:val="20"/>
                <w:szCs w:val="20"/>
                <w:color w:val="auto"/>
              </w:rPr>
            </w:pPr>
            <w:r>
              <w:rPr>
                <w:rFonts w:ascii="Arial" w:cs="Arial" w:eastAsia="Arial" w:hAnsi="Arial"/>
                <w:sz w:val="18"/>
                <w:szCs w:val="18"/>
                <w:color w:val="auto"/>
              </w:rPr>
              <w:t>Preferred warrants, $1.00 Strike</w:t>
            </w:r>
          </w:p>
        </w:tc>
        <w:tc>
          <w:tcPr>
            <w:tcW w:w="1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14"/>
          </w:tcPr>
          <w:p>
            <w:pPr>
              <w:spacing w:after="0"/>
              <w:rPr>
                <w:sz w:val="20"/>
                <w:szCs w:val="20"/>
                <w:color w:val="auto"/>
              </w:rPr>
            </w:pPr>
            <w:r>
              <w:rPr>
                <w:rFonts w:ascii="Arial" w:cs="Arial" w:eastAsia="Arial" w:hAnsi="Arial"/>
                <w:sz w:val="18"/>
                <w:szCs w:val="18"/>
                <w:color w:val="auto"/>
                <w:w w:val="92"/>
              </w:rPr>
              <w:t>Price, Expiration Date 11/21/2017</w:t>
            </w: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5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1,839,789</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28,008</w:t>
            </w:r>
          </w:p>
        </w:tc>
        <w:tc>
          <w:tcPr>
            <w:tcW w:w="8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69"/>
        </w:trPr>
        <w:tc>
          <w:tcPr>
            <w:tcW w:w="2720" w:type="dxa"/>
            <w:vAlign w:val="bottom"/>
            <w:tcBorders>
              <w:top w:val="single" w:sz="8" w:color="CCEEFF"/>
            </w:tcBorders>
            <w:gridSpan w:val="16"/>
          </w:tcPr>
          <w:p>
            <w:pPr>
              <w:ind w:left="20"/>
              <w:spacing w:after="0" w:line="170" w:lineRule="exact"/>
              <w:rPr>
                <w:sz w:val="20"/>
                <w:szCs w:val="20"/>
                <w:color w:val="auto"/>
              </w:rPr>
            </w:pPr>
            <w:r>
              <w:rPr>
                <w:rFonts w:ascii="Arial" w:cs="Arial" w:eastAsia="Arial" w:hAnsi="Arial"/>
                <w:sz w:val="18"/>
                <w:szCs w:val="18"/>
                <w:b w:val="1"/>
                <w:bCs w:val="1"/>
                <w:color w:val="auto"/>
              </w:rPr>
              <w:t>Handle Financial, Inc. (f/k/a</w:t>
            </w:r>
          </w:p>
        </w:tc>
        <w:tc>
          <w:tcPr>
            <w:tcW w:w="18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gridSpan w:val="10"/>
          </w:tcPr>
          <w:p>
            <w:pPr>
              <w:spacing w:after="0" w:line="236" w:lineRule="exact"/>
              <w:rPr>
                <w:sz w:val="20"/>
                <w:szCs w:val="20"/>
                <w:color w:val="auto"/>
              </w:rPr>
            </w:pPr>
            <w:r>
              <w:rPr>
                <w:rFonts w:ascii="Arial" w:cs="Arial" w:eastAsia="Arial" w:hAnsi="Arial"/>
                <w:sz w:val="17"/>
                <w:szCs w:val="17"/>
                <w:b w:val="1"/>
                <w:bCs w:val="1"/>
                <w:color w:val="auto"/>
              </w:rPr>
              <w:t>PayNearMe, Inc.)</w:t>
            </w:r>
            <w:r>
              <w:rPr>
                <w:rFonts w:ascii="Arial" w:cs="Arial" w:eastAsia="Arial" w:hAnsi="Arial"/>
                <w:sz w:val="27"/>
                <w:szCs w:val="27"/>
                <w:b w:val="1"/>
                <w:bCs w:val="1"/>
                <w:color w:val="auto"/>
                <w:vertAlign w:val="superscript"/>
              </w:rPr>
              <w:t>(8)</w:t>
            </w:r>
          </w:p>
        </w:tc>
        <w:tc>
          <w:tcPr>
            <w:tcW w:w="540" w:type="dxa"/>
            <w:vAlign w:val="bottom"/>
            <w:gridSpan w:val="4"/>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Sunnyvale, CA</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Cash Payment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gridSpan w:val="16"/>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Network</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548,034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14,000,398</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16"/>
          </w:tcPr>
          <w:p>
            <w:pPr>
              <w:ind w:left="20"/>
              <w:spacing w:after="0"/>
              <w:rPr>
                <w:sz w:val="20"/>
                <w:szCs w:val="20"/>
                <w:color w:val="auto"/>
              </w:rPr>
            </w:pPr>
            <w:r>
              <w:rPr>
                <w:rFonts w:ascii="Arial" w:cs="Arial" w:eastAsia="Arial" w:hAnsi="Arial"/>
                <w:sz w:val="18"/>
                <w:szCs w:val="18"/>
                <w:b w:val="1"/>
                <w:bCs w:val="1"/>
                <w:color w:val="auto"/>
              </w:rPr>
              <w:t>Total Portfolio Investments</w:t>
            </w: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9"/>
              </w:rPr>
              <w:t>253,494,413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282,767,818</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139.89%</w:t>
            </w:r>
          </w:p>
        </w:tc>
        <w:tc>
          <w:tcPr>
            <w:tcW w:w="0" w:type="dxa"/>
            <w:vAlign w:val="bottom"/>
          </w:tcPr>
          <w:p>
            <w:pPr>
              <w:spacing w:after="0"/>
              <w:rPr>
                <w:sz w:val="1"/>
                <w:szCs w:val="1"/>
                <w:color w:val="auto"/>
              </w:rPr>
            </w:pPr>
          </w:p>
        </w:tc>
      </w:tr>
      <w:tr>
        <w:trPr>
          <w:trHeight w:val="169"/>
        </w:trPr>
        <w:tc>
          <w:tcPr>
            <w:tcW w:w="2720" w:type="dxa"/>
            <w:vAlign w:val="bottom"/>
            <w:gridSpan w:val="16"/>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U.S. Treasury</w:t>
            </w:r>
          </w:p>
        </w:tc>
        <w:tc>
          <w:tcPr>
            <w:tcW w:w="1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20" w:type="dxa"/>
            <w:vAlign w:val="bottom"/>
            <w:gridSpan w:val="16"/>
          </w:tcPr>
          <w:p>
            <w:pPr>
              <w:ind w:left="20"/>
              <w:spacing w:after="0" w:line="201" w:lineRule="exact"/>
              <w:rPr>
                <w:sz w:val="20"/>
                <w:szCs w:val="20"/>
                <w:color w:val="auto"/>
              </w:rPr>
            </w:pPr>
            <w:r>
              <w:rPr>
                <w:rFonts w:ascii="Arial" w:cs="Arial" w:eastAsia="Arial" w:hAnsi="Arial"/>
                <w:sz w:val="18"/>
                <w:szCs w:val="18"/>
                <w:color w:val="auto"/>
              </w:rPr>
              <w:t>U.S. Treasury Bill, 0%, due</w:t>
            </w:r>
          </w:p>
        </w:tc>
        <w:tc>
          <w:tcPr>
            <w:tcW w:w="1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0" w:type="dxa"/>
            <w:vAlign w:val="bottom"/>
            <w:gridSpan w:val="8"/>
          </w:tcPr>
          <w:p>
            <w:pPr>
              <w:ind w:left="200"/>
              <w:spacing w:after="0"/>
              <w:rPr>
                <w:sz w:val="20"/>
                <w:szCs w:val="20"/>
                <w:color w:val="auto"/>
              </w:rPr>
            </w:pPr>
            <w:r>
              <w:rPr>
                <w:rFonts w:ascii="Arial" w:cs="Arial" w:eastAsia="Arial" w:hAnsi="Arial"/>
                <w:sz w:val="18"/>
                <w:szCs w:val="18"/>
                <w:color w:val="auto"/>
              </w:rPr>
              <w:t>7/6/2017***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w w:val="87"/>
              </w:rPr>
              <w:t>100,000,000</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99,988,000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99,994,000</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gridSpan w:val="16"/>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w:t>
            </w:r>
          </w:p>
        </w:tc>
        <w:tc>
          <w:tcPr>
            <w:tcW w:w="1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353,482,413</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382,761,818</w:t>
            </w:r>
          </w:p>
        </w:tc>
        <w:tc>
          <w:tcPr>
            <w:tcW w:w="8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189.37%</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180" w:type="dxa"/>
            <w:vAlign w:val="bottom"/>
            <w:tcBorders>
              <w:top w:val="single" w:sz="8" w:color="CCEEFF"/>
              <w:bottom w:val="single" w:sz="8" w:color="auto"/>
            </w:tcBorders>
          </w:tcPr>
          <w:p>
            <w:pPr>
              <w:spacing w:after="0"/>
              <w:rPr>
                <w:sz w:val="22"/>
                <w:szCs w:val="22"/>
                <w:color w:val="auto"/>
              </w:rPr>
            </w:pPr>
          </w:p>
        </w:tc>
        <w:tc>
          <w:tcPr>
            <w:tcW w:w="440" w:type="dxa"/>
            <w:vAlign w:val="bottom"/>
            <w:tcBorders>
              <w:top w:val="single" w:sz="8" w:color="CCEEFF"/>
              <w:bottom w:val="single" w:sz="8" w:color="auto"/>
            </w:tcBorders>
          </w:tcPr>
          <w:p>
            <w:pPr>
              <w:spacing w:after="0"/>
              <w:rPr>
                <w:sz w:val="22"/>
                <w:szCs w:val="22"/>
                <w:color w:val="auto"/>
              </w:rPr>
            </w:pPr>
          </w:p>
        </w:tc>
        <w:tc>
          <w:tcPr>
            <w:tcW w:w="360" w:type="dxa"/>
            <w:vAlign w:val="bottom"/>
            <w:tcBorders>
              <w:top w:val="single" w:sz="8" w:color="CCEEFF"/>
              <w:bottom w:val="single" w:sz="8" w:color="auto"/>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8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-5419090</wp:posOffset>
            </wp:positionV>
            <wp:extent cx="550545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0545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-4716145</wp:posOffset>
            </wp:positionV>
            <wp:extent cx="550545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0545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-1508760</wp:posOffset>
            </wp:positionV>
            <wp:extent cx="5505450" cy="308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05450" cy="3086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-925830</wp:posOffset>
            </wp:positionV>
            <wp:extent cx="550545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0545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50545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05450" cy="342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59"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non-income-producing, unless identified. Equity investments are subject to lock-up restrictions upon their initial public offering (“IPO”). Unless otherwise noted, all investments were pledged as collateral under the Credit Facility. The Company’s and GSV Asset Management, LLC’s officers and staff, as applicable, may serve on the board of directors of the Company’s portfolio investments.</w:t>
      </w:r>
    </w:p>
    <w:p>
      <w:pPr>
        <w:spacing w:after="0" w:line="79" w:lineRule="exact"/>
        <w:rPr>
          <w:sz w:val="20"/>
          <w:szCs w:val="20"/>
          <w:color w:val="auto"/>
        </w:rPr>
      </w:pPr>
    </w:p>
    <w:p>
      <w:pPr>
        <w:ind w:left="300" w:right="699" w:hanging="272"/>
        <w:spacing w:after="0" w:line="264"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 Of GSV Capital Corp.’s total portfolio, 12.07% of its total investments are non-qualifying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income-producing.</w:t>
      </w:r>
    </w:p>
    <w:p>
      <w:pPr>
        <w:spacing w:after="0" w:line="117" w:lineRule="exact"/>
        <w:rPr>
          <w:sz w:val="20"/>
          <w:szCs w:val="20"/>
          <w:color w:val="auto"/>
        </w:rPr>
      </w:pPr>
    </w:p>
    <w:p>
      <w:pPr>
        <w:ind w:left="300" w:right="599" w:hanging="272"/>
        <w:spacing w:after="0" w:line="277"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Investment Company Act of 1940, as</w:t>
      </w:r>
    </w:p>
    <w:p>
      <w:pPr>
        <w:spacing w:after="0" w:line="200" w:lineRule="exact"/>
        <w:rPr>
          <w:sz w:val="20"/>
          <w:szCs w:val="20"/>
          <w:color w:val="auto"/>
        </w:rPr>
      </w:pPr>
    </w:p>
    <w:p>
      <w:pPr>
        <w:spacing w:after="0" w:line="295"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0" w:gutter="0" w:footer="0" w:header="0"/>
        </w:sectPr>
      </w:pPr>
    </w:p>
    <w:bookmarkStart w:id="13" w:name="page14"/>
    <w:bookmarkEnd w:id="1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2017</w:t>
      </w:r>
    </w:p>
    <w:p>
      <w:pPr>
        <w:spacing w:after="0" w:line="103" w:lineRule="exact"/>
        <w:rPr>
          <w:sz w:val="20"/>
          <w:szCs w:val="20"/>
          <w:color w:val="auto"/>
        </w:rPr>
      </w:pPr>
    </w:p>
    <w:p>
      <w:pPr>
        <w:ind w:left="280" w:right="559"/>
        <w:spacing w:after="0" w:line="277" w:lineRule="auto"/>
        <w:rPr>
          <w:sz w:val="20"/>
          <w:szCs w:val="20"/>
          <w:color w:val="auto"/>
        </w:rPr>
      </w:pPr>
      <w:r>
        <w:rPr>
          <w:rFonts w:ascii="Arial" w:cs="Arial" w:eastAsia="Arial" w:hAnsi="Arial"/>
          <w:sz w:val="18"/>
          <w:szCs w:val="18"/>
          <w:color w:val="auto"/>
        </w:rPr>
        <w:t>amended. A company is deemed to be an “Affiliate” of GSV Capital Corp. if GSV Capital Corp. owns 5% or more of the voting securities of such company.</w:t>
      </w:r>
    </w:p>
    <w:p>
      <w:pPr>
        <w:spacing w:after="0" w:line="62" w:lineRule="exact"/>
        <w:rPr>
          <w:sz w:val="20"/>
          <w:szCs w:val="20"/>
          <w:color w:val="auto"/>
        </w:rPr>
      </w:pPr>
    </w:p>
    <w:p>
      <w:pPr>
        <w:ind w:left="280" w:right="599" w:hanging="272"/>
        <w:spacing w:after="0" w:line="312" w:lineRule="auto"/>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Denotes a Control Investment. “Control Investments” are investments in those companies that are “Controlled Companies” of GSV Capital Corp., as defined in the Investment Company Act of 1940, as amended. A company is deemed to be a “Controlled Company” of GSV Capital Corp. if GSV Capital Corp. owns more than 25% of the voting securities of such company.</w:t>
      </w:r>
    </w:p>
    <w:p>
      <w:pPr>
        <w:spacing w:after="0" w:line="38" w:lineRule="exact"/>
        <w:rPr>
          <w:rFonts w:ascii="Arial" w:cs="Arial" w:eastAsia="Arial" w:hAnsi="Arial"/>
          <w:sz w:val="16"/>
          <w:szCs w:val="16"/>
          <w:color w:val="auto"/>
        </w:rPr>
      </w:pPr>
    </w:p>
    <w:p>
      <w:pPr>
        <w:ind w:left="280" w:right="919" w:hanging="272"/>
        <w:spacing w:after="0" w:line="277"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 owned subsidiary, GSVC AV Holdings, Inc.</w:t>
      </w:r>
    </w:p>
    <w:p>
      <w:pPr>
        <w:spacing w:after="0" w:line="62" w:lineRule="exact"/>
        <w:rPr>
          <w:rFonts w:ascii="Arial" w:cs="Arial" w:eastAsia="Arial" w:hAnsi="Arial"/>
          <w:sz w:val="18"/>
          <w:szCs w:val="18"/>
          <w:color w:val="auto"/>
        </w:rPr>
      </w:pPr>
    </w:p>
    <w:p>
      <w:pPr>
        <w:ind w:left="280" w:right="839" w:hanging="272"/>
        <w:spacing w:after="0" w:line="264"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 owned subsidiary, GSVC SW Holdings, Inc.</w:t>
      </w:r>
    </w:p>
    <w:p>
      <w:pPr>
        <w:spacing w:after="0" w:line="128" w:lineRule="exact"/>
        <w:rPr>
          <w:rFonts w:ascii="Arial" w:cs="Arial" w:eastAsia="Arial" w:hAnsi="Arial"/>
          <w:sz w:val="17"/>
          <w:szCs w:val="17"/>
          <w:color w:val="auto"/>
        </w:rPr>
      </w:pPr>
    </w:p>
    <w:p>
      <w:pPr>
        <w:ind w:left="280" w:right="739" w:hanging="272"/>
        <w:spacing w:after="0" w:line="277"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62" w:lineRule="exact"/>
        <w:rPr>
          <w:rFonts w:ascii="Arial" w:cs="Arial" w:eastAsia="Arial" w:hAnsi="Arial"/>
          <w:sz w:val="18"/>
          <w:szCs w:val="18"/>
          <w:color w:val="auto"/>
        </w:rPr>
      </w:pPr>
    </w:p>
    <w:p>
      <w:pPr>
        <w:ind w:left="280" w:right="799" w:hanging="272"/>
        <w:spacing w:after="0" w:line="264"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73" w:lineRule="exact"/>
        <w:rPr>
          <w:rFonts w:ascii="Arial" w:cs="Arial" w:eastAsia="Arial" w:hAnsi="Arial"/>
          <w:sz w:val="18"/>
          <w:szCs w:val="18"/>
          <w:color w:val="auto"/>
        </w:rPr>
      </w:pPr>
    </w:p>
    <w:p>
      <w:pPr>
        <w:ind w:left="280" w:right="1139" w:hanging="272"/>
        <w:spacing w:after="0" w:line="277"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March 28, 2017, PayNearMe, Inc. changed its name to Handle Financial, Inc. As part of the company’s restructuring process, Handle Financial, Inc. initiated a 10:1 reverse stock split.</w:t>
      </w:r>
    </w:p>
    <w:p>
      <w:pPr>
        <w:spacing w:after="0" w:line="62" w:lineRule="exact"/>
        <w:rPr>
          <w:rFonts w:ascii="Arial" w:cs="Arial" w:eastAsia="Arial" w:hAnsi="Arial"/>
          <w:sz w:val="18"/>
          <w:szCs w:val="18"/>
          <w:color w:val="auto"/>
        </w:rPr>
      </w:pPr>
    </w:p>
    <w:p>
      <w:pPr>
        <w:ind w:left="280" w:right="559" w:hanging="272"/>
        <w:spacing w:after="0" w:line="259"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March 1, 2017, Snap Inc. priced its IPO, selling 145,000,000 shares of Class A common stock at a price of $17.00 per share. At June 30, 2017, GSV Capital Corp. valued Snap Inc., based on its June 30, 2017 closing price on the New York Stock Exchange of $17.77. The Company’s shares of common stock of Snap Inc. (f/k/a Snapchat, Inc.), are restricted until July 31, 2017.</w:t>
      </w:r>
    </w:p>
    <w:p>
      <w:pPr>
        <w:spacing w:after="0" w:line="79" w:lineRule="exact"/>
        <w:rPr>
          <w:sz w:val="20"/>
          <w:szCs w:val="20"/>
          <w:color w:val="auto"/>
        </w:rPr>
      </w:pPr>
    </w:p>
    <w:p>
      <w:pPr>
        <w:ind w:left="320" w:right="659" w:hanging="310"/>
        <w:spacing w:after="0" w:line="264" w:lineRule="auto"/>
        <w:rPr>
          <w:sz w:val="20"/>
          <w:szCs w:val="20"/>
          <w:color w:val="auto"/>
        </w:rPr>
      </w:pPr>
      <w:r>
        <w:rPr>
          <w:rFonts w:ascii="Arial" w:cs="Arial" w:eastAsia="Arial" w:hAnsi="Arial"/>
          <w:sz w:val="18"/>
          <w:szCs w:val="18"/>
          <w:color w:val="auto"/>
        </w:rPr>
        <w:t>(10)On March 29, 2017, A Place for Rover Inc. acquired DogVacay, Inc. and, pursuant to a plan of reorganization, the Company received common shares of A Place for Rover Inc. in exchange for the Company’s previously held Series B-1 preferred shares of DogVacay, Inc.</w:t>
      </w:r>
    </w:p>
    <w:p>
      <w:pPr>
        <w:spacing w:after="0" w:line="73" w:lineRule="exact"/>
        <w:rPr>
          <w:sz w:val="20"/>
          <w:szCs w:val="20"/>
          <w:color w:val="auto"/>
        </w:rPr>
      </w:pPr>
    </w:p>
    <w:p>
      <w:pPr>
        <w:jc w:val="both"/>
        <w:ind w:left="300" w:right="539" w:hanging="296"/>
        <w:spacing w:after="0" w:line="312" w:lineRule="auto"/>
        <w:rPr>
          <w:sz w:val="20"/>
          <w:szCs w:val="20"/>
          <w:color w:val="auto"/>
        </w:rPr>
      </w:pPr>
      <w:r>
        <w:rPr>
          <w:rFonts w:ascii="Arial" w:cs="Arial" w:eastAsia="Arial" w:hAnsi="Arial"/>
          <w:sz w:val="16"/>
          <w:szCs w:val="16"/>
          <w:color w:val="auto"/>
        </w:rPr>
        <w:t>(11)On May 29, 2017, the maturity date of the unsecured promissory note to NestGSV, Inc. (d/b/a GSV Labs, Inc.) was extended to November 29, 2017 in exchange for 125,000 Series B warrants. For accounting purposes, the extension of the maturity date was treated as an extinguishment of the existing note and creation of a new note. Refer to “Note 3 — Investments at Fair Value.”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(12)On July 1, 2017, the maturity date of the convertible promissory note to Declara, Inc. was extended to December 31, 2017.</w:t>
      </w:r>
    </w:p>
    <w:p>
      <w:pPr>
        <w:spacing w:after="0" w:line="129" w:lineRule="exact"/>
        <w:rPr>
          <w:sz w:val="20"/>
          <w:szCs w:val="20"/>
          <w:color w:val="auto"/>
        </w:rPr>
      </w:pPr>
    </w:p>
    <w:p>
      <w:pPr>
        <w:ind w:left="320" w:right="979" w:hanging="310"/>
        <w:spacing w:after="0" w:line="277" w:lineRule="auto"/>
        <w:rPr>
          <w:sz w:val="20"/>
          <w:szCs w:val="20"/>
          <w:color w:val="auto"/>
        </w:rPr>
      </w:pPr>
      <w:r>
        <w:rPr>
          <w:rFonts w:ascii="Arial" w:cs="Arial" w:eastAsia="Arial" w:hAnsi="Arial"/>
          <w:sz w:val="18"/>
          <w:szCs w:val="18"/>
          <w:color w:val="auto"/>
        </w:rPr>
        <w:t>(13)On November 12, 2013, Chegg Inc. priced its IPO. The lock-up agreement for the Company’s Chegg Inc. common shares expired on May 11,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(14)In April 2017, JAMF Holdings Inc., initiated a 20:1 stock split.</w:t>
      </w:r>
    </w:p>
    <w:p>
      <w:pPr>
        <w:spacing w:after="0" w:line="200" w:lineRule="exact"/>
        <w:rPr>
          <w:sz w:val="20"/>
          <w:szCs w:val="20"/>
          <w:color w:val="auto"/>
        </w:rPr>
      </w:pPr>
    </w:p>
    <w:p>
      <w:pPr>
        <w:spacing w:after="0" w:line="349" w:lineRule="exact"/>
        <w:rPr>
          <w:sz w:val="20"/>
          <w:szCs w:val="20"/>
          <w:color w:val="auto"/>
        </w:rPr>
      </w:pPr>
    </w:p>
    <w:p>
      <w:pPr>
        <w:ind w:left="218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 w:name="page16"/>
    <w:bookmarkEnd w:id="1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914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32"/>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 of</w:t>
            </w:r>
          </w:p>
        </w:tc>
      </w:tr>
      <w:tr>
        <w:trPr>
          <w:trHeight w:val="153"/>
        </w:trPr>
        <w:tc>
          <w:tcPr>
            <w:tcW w:w="2720" w:type="dxa"/>
            <w:vAlign w:val="bottom"/>
            <w:tcBorders>
              <w:bottom w:val="single" w:sz="8" w:color="auto"/>
            </w:tcBorders>
            <w:gridSpan w:val="14"/>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4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3"/>
                <w:szCs w:val="13"/>
                <w:b w:val="1"/>
                <w:bCs w:val="1"/>
                <w:color w:val="auto"/>
              </w:rPr>
              <w:t>Principal</w:t>
            </w: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w w:val="86"/>
              </w:rPr>
              <w:t>Net Assets</w:t>
            </w:r>
          </w:p>
        </w:tc>
      </w:tr>
      <w:tr>
        <w:trPr>
          <w:trHeight w:val="169"/>
        </w:trPr>
        <w:tc>
          <w:tcPr>
            <w:tcW w:w="2720" w:type="dxa"/>
            <w:vAlign w:val="bottom"/>
            <w:gridSpan w:val="14"/>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Palantir Technologies, Inc.</w:t>
            </w: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7"/>
              </w:rPr>
              <w:t>Palo Alto, CA</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72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G</w:t>
            </w:r>
          </w:p>
        </w:tc>
        <w:tc>
          <w:tcPr>
            <w:tcW w:w="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Data Analysis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326,797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1,008,968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9"/>
              </w:rPr>
              <w:t>2,223,594</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r>
      <w:tr>
        <w:trPr>
          <w:trHeight w:val="216"/>
        </w:trPr>
        <w:tc>
          <w:tcPr>
            <w:tcW w:w="272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Common shares, Class A</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5,773,690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16,189,935</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39,285,371</w:t>
            </w:r>
          </w:p>
        </w:tc>
        <w:tc>
          <w:tcPr>
            <w:tcW w:w="7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20.45%</w:t>
            </w: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gridSpan w:val="13"/>
          </w:tcPr>
          <w:p>
            <w:pPr>
              <w:ind w:left="18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17,198,903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8"/>
              </w:rPr>
              <w:t>41,508,965</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21.61%</w:t>
            </w:r>
          </w:p>
        </w:tc>
      </w:tr>
      <w:tr>
        <w:trPr>
          <w:trHeight w:val="169"/>
        </w:trPr>
        <w:tc>
          <w:tcPr>
            <w:tcW w:w="2720" w:type="dxa"/>
            <w:vAlign w:val="bottom"/>
            <w:gridSpan w:val="14"/>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Spotify Technology S.A.**</w:t>
            </w: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Stockholm, Sweden</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2720" w:type="dxa"/>
            <w:vAlign w:val="bottom"/>
            <w:gridSpan w:val="14"/>
          </w:tcPr>
          <w:p>
            <w:pPr>
              <w:ind w:left="20"/>
              <w:spacing w:after="0" w:line="201" w:lineRule="exact"/>
              <w:rPr>
                <w:sz w:val="20"/>
                <w:szCs w:val="20"/>
                <w:color w:val="auto"/>
              </w:rPr>
            </w:pPr>
            <w:r>
              <w:rPr>
                <w:rFonts w:ascii="Arial" w:cs="Arial" w:eastAsia="Arial" w:hAnsi="Arial"/>
                <w:sz w:val="18"/>
                <w:szCs w:val="18"/>
                <w:color w:val="auto"/>
              </w:rPr>
              <w:t>Common shares</w:t>
            </w:r>
          </w:p>
        </w:tc>
        <w:tc>
          <w:tcPr>
            <w:tcW w:w="40" w:type="dxa"/>
            <w:vAlign w:val="bottom"/>
          </w:tcPr>
          <w:p>
            <w:pPr>
              <w:spacing w:after="0"/>
              <w:rPr>
                <w:sz w:val="17"/>
                <w:szCs w:val="17"/>
                <w:color w:val="auto"/>
              </w:rPr>
            </w:pP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93"/>
              </w:rPr>
              <w:t>On-Demand Music</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Streaming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9,541</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13,599,572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8"/>
              </w:rPr>
              <w:t>18,931,691</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9.85%</w:t>
            </w:r>
          </w:p>
        </w:tc>
      </w:tr>
      <w:tr>
        <w:trPr>
          <w:trHeight w:val="176"/>
        </w:trPr>
        <w:tc>
          <w:tcPr>
            <w:tcW w:w="2720" w:type="dxa"/>
            <w:vAlign w:val="bottom"/>
            <w:gridSpan w:val="14"/>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Coursera, Inc.</w:t>
            </w:r>
          </w:p>
        </w:tc>
        <w:tc>
          <w:tcPr>
            <w:tcW w:w="4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Mountain View, CA</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72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B</w:t>
            </w:r>
          </w:p>
        </w:tc>
        <w:tc>
          <w:tcPr>
            <w:tcW w:w="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Online Education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2,961,399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14,519,519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8"/>
              </w:rPr>
              <w:t>14,510,855</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7.55%</w:t>
            </w:r>
          </w:p>
        </w:tc>
      </w:tr>
      <w:tr>
        <w:trPr>
          <w:trHeight w:val="176"/>
        </w:trPr>
        <w:tc>
          <w:tcPr>
            <w:tcW w:w="2720" w:type="dxa"/>
            <w:vAlign w:val="bottom"/>
            <w:gridSpan w:val="14"/>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JAMF Holdings, Inc.</w:t>
            </w:r>
          </w:p>
        </w:tc>
        <w:tc>
          <w:tcPr>
            <w:tcW w:w="4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Minneapolis, MN</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2720" w:type="dxa"/>
            <w:vAlign w:val="bottom"/>
            <w:gridSpan w:val="14"/>
          </w:tcPr>
          <w:p>
            <w:pPr>
              <w:ind w:left="20"/>
              <w:spacing w:after="0" w:line="201" w:lineRule="exact"/>
              <w:rPr>
                <w:sz w:val="20"/>
                <w:szCs w:val="20"/>
                <w:color w:val="auto"/>
              </w:rPr>
            </w:pPr>
            <w:r>
              <w:rPr>
                <w:rFonts w:ascii="Arial" w:cs="Arial" w:eastAsia="Arial" w:hAnsi="Arial"/>
                <w:sz w:val="18"/>
                <w:szCs w:val="18"/>
                <w:color w:val="auto"/>
              </w:rPr>
              <w:t>Preferred shares, Series B</w:t>
            </w:r>
          </w:p>
        </w:tc>
        <w:tc>
          <w:tcPr>
            <w:tcW w:w="40" w:type="dxa"/>
            <w:vAlign w:val="bottom"/>
          </w:tcPr>
          <w:p>
            <w:pPr>
              <w:spacing w:after="0"/>
              <w:rPr>
                <w:sz w:val="17"/>
                <w:szCs w:val="17"/>
                <w:color w:val="auto"/>
              </w:rPr>
            </w:pP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95"/>
              </w:rPr>
              <w:t>Mobile Device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Management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73,440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9,999,928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8"/>
              </w:rPr>
              <w:t>13,856,754</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7.21%</w:t>
            </w:r>
          </w:p>
        </w:tc>
      </w:tr>
      <w:tr>
        <w:trPr>
          <w:trHeight w:val="176"/>
        </w:trPr>
        <w:tc>
          <w:tcPr>
            <w:tcW w:w="2720" w:type="dxa"/>
            <w:vAlign w:val="bottom"/>
            <w:gridSpan w:val="14"/>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General Assembly Space, Inc.</w:t>
            </w:r>
          </w:p>
        </w:tc>
        <w:tc>
          <w:tcPr>
            <w:tcW w:w="4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New York, NY</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72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C</w:t>
            </w:r>
          </w:p>
        </w:tc>
        <w:tc>
          <w:tcPr>
            <w:tcW w:w="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Online Education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126,552</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2,999,978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6,697,132</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3.49%</w:t>
            </w:r>
          </w:p>
        </w:tc>
      </w:tr>
      <w:tr>
        <w:trPr>
          <w:trHeight w:val="216"/>
        </w:trPr>
        <w:tc>
          <w:tcPr>
            <w:tcW w:w="272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133,213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2,999,983</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7,049,632</w:t>
            </w:r>
          </w:p>
        </w:tc>
        <w:tc>
          <w:tcPr>
            <w:tcW w:w="7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gridSpan w:val="13"/>
          </w:tcPr>
          <w:p>
            <w:pPr>
              <w:ind w:left="18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5,999,961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8"/>
              </w:rPr>
              <w:t>13,746,764</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7.16%</w:t>
            </w:r>
          </w:p>
        </w:tc>
      </w:tr>
      <w:tr>
        <w:trPr>
          <w:trHeight w:val="169"/>
        </w:trPr>
        <w:tc>
          <w:tcPr>
            <w:tcW w:w="2720" w:type="dxa"/>
            <w:vAlign w:val="bottom"/>
            <w:gridSpan w:val="14"/>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Dropbox, Inc.</w:t>
            </w: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San Francisco, CA</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2720" w:type="dxa"/>
            <w:vAlign w:val="bottom"/>
            <w:gridSpan w:val="14"/>
          </w:tcPr>
          <w:p>
            <w:pPr>
              <w:ind w:left="20"/>
              <w:spacing w:after="0" w:line="201" w:lineRule="exact"/>
              <w:rPr>
                <w:sz w:val="20"/>
                <w:szCs w:val="20"/>
                <w:color w:val="auto"/>
              </w:rPr>
            </w:pPr>
            <w:r>
              <w:rPr>
                <w:rFonts w:ascii="Arial" w:cs="Arial" w:eastAsia="Arial" w:hAnsi="Arial"/>
                <w:sz w:val="18"/>
                <w:szCs w:val="18"/>
                <w:color w:val="auto"/>
              </w:rPr>
              <w:t>Preferred shares, Series A-1</w:t>
            </w:r>
          </w:p>
        </w:tc>
        <w:tc>
          <w:tcPr>
            <w:tcW w:w="40" w:type="dxa"/>
            <w:vAlign w:val="bottom"/>
          </w:tcPr>
          <w:p>
            <w:pPr>
              <w:spacing w:after="0"/>
              <w:rPr>
                <w:sz w:val="17"/>
                <w:szCs w:val="17"/>
                <w:color w:val="auto"/>
              </w:rPr>
            </w:pP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92"/>
              </w:rPr>
              <w:t>Cloud Computing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Services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552,486</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5,015,773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5,552,484</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2.89%</w:t>
            </w:r>
          </w:p>
        </w:tc>
      </w:tr>
      <w:tr>
        <w:trPr>
          <w:trHeight w:val="216"/>
        </w:trPr>
        <w:tc>
          <w:tcPr>
            <w:tcW w:w="272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760,000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8,641,153</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7,638,000</w:t>
            </w:r>
          </w:p>
        </w:tc>
        <w:tc>
          <w:tcPr>
            <w:tcW w:w="7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3.98%</w:t>
            </w: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gridSpan w:val="13"/>
          </w:tcPr>
          <w:p>
            <w:pPr>
              <w:ind w:left="18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13,656,926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8"/>
              </w:rPr>
              <w:t>13,190,484</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6.87%</w:t>
            </w:r>
          </w:p>
        </w:tc>
      </w:tr>
      <w:tr>
        <w:trPr>
          <w:trHeight w:val="169"/>
        </w:trPr>
        <w:tc>
          <w:tcPr>
            <w:tcW w:w="2720" w:type="dxa"/>
            <w:vAlign w:val="bottom"/>
            <w:gridSpan w:val="14"/>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Lytro, Inc.</w:t>
            </w: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4"/>
              </w:rPr>
              <w:t>Mountain View, CA</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2720" w:type="dxa"/>
            <w:vAlign w:val="bottom"/>
            <w:gridSpan w:val="14"/>
          </w:tcPr>
          <w:p>
            <w:pPr>
              <w:ind w:left="20"/>
              <w:spacing w:after="0" w:line="201" w:lineRule="exact"/>
              <w:rPr>
                <w:sz w:val="20"/>
                <w:szCs w:val="20"/>
                <w:color w:val="auto"/>
              </w:rPr>
            </w:pPr>
            <w:r>
              <w:rPr>
                <w:rFonts w:ascii="Arial" w:cs="Arial" w:eastAsia="Arial" w:hAnsi="Arial"/>
                <w:sz w:val="18"/>
                <w:szCs w:val="18"/>
                <w:color w:val="auto"/>
              </w:rPr>
              <w:t>Preferred shares, Series D</w:t>
            </w:r>
          </w:p>
        </w:tc>
        <w:tc>
          <w:tcPr>
            <w:tcW w:w="40" w:type="dxa"/>
            <w:vAlign w:val="bottom"/>
          </w:tcPr>
          <w:p>
            <w:pPr>
              <w:spacing w:after="0"/>
              <w:rPr>
                <w:sz w:val="17"/>
                <w:szCs w:val="17"/>
                <w:color w:val="auto"/>
              </w:rPr>
            </w:pP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94"/>
              </w:rPr>
              <w:t>Light Field Imaging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Platform</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159,160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502,081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500,001</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0.26%</w:t>
            </w:r>
          </w:p>
        </w:tc>
      </w:tr>
      <w:tr>
        <w:trPr>
          <w:trHeight w:val="216"/>
        </w:trPr>
        <w:tc>
          <w:tcPr>
            <w:tcW w:w="272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Preferred shares, Series C-1</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3,378,379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10,000,002</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10,408,150</w:t>
            </w:r>
          </w:p>
        </w:tc>
        <w:tc>
          <w:tcPr>
            <w:tcW w:w="7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5.42%</w:t>
            </w: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gridSpan w:val="13"/>
          </w:tcPr>
          <w:p>
            <w:pPr>
              <w:ind w:left="18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10,502,083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8"/>
              </w:rPr>
              <w:t>10,908,151</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5.68%</w:t>
            </w:r>
          </w:p>
        </w:tc>
      </w:tr>
      <w:tr>
        <w:trPr>
          <w:trHeight w:val="210"/>
        </w:trPr>
        <w:tc>
          <w:tcPr>
            <w:tcW w:w="2720" w:type="dxa"/>
            <w:vAlign w:val="bottom"/>
            <w:gridSpan w:val="14"/>
            <w:shd w:val="clear" w:color="auto" w:fill="CCEEFF"/>
          </w:tcPr>
          <w:p>
            <w:pPr>
              <w:ind w:left="20"/>
              <w:spacing w:after="0" w:line="210" w:lineRule="exact"/>
              <w:rPr>
                <w:sz w:val="20"/>
                <w:szCs w:val="20"/>
                <w:color w:val="auto"/>
              </w:rPr>
            </w:pPr>
            <w:r>
              <w:rPr>
                <w:rFonts w:ascii="Arial" w:cs="Arial" w:eastAsia="Arial" w:hAnsi="Arial"/>
                <w:sz w:val="15"/>
                <w:szCs w:val="15"/>
                <w:b w:val="1"/>
                <w:bCs w:val="1"/>
                <w:color w:val="auto"/>
              </w:rPr>
              <w:t>Ozy Media, Inc.</w:t>
            </w:r>
            <w:r>
              <w:rPr>
                <w:rFonts w:ascii="Arial" w:cs="Arial" w:eastAsia="Arial" w:hAnsi="Arial"/>
                <w:sz w:val="24"/>
                <w:szCs w:val="24"/>
                <w:b w:val="1"/>
                <w:bCs w:val="1"/>
                <w:color w:val="auto"/>
                <w:vertAlign w:val="superscript"/>
              </w:rPr>
              <w:t>(1)</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Mountain View, CA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2720" w:type="dxa"/>
            <w:vAlign w:val="bottom"/>
            <w:gridSpan w:val="14"/>
          </w:tcPr>
          <w:p>
            <w:pPr>
              <w:ind w:left="20"/>
              <w:spacing w:after="0" w:line="201" w:lineRule="exact"/>
              <w:rPr>
                <w:sz w:val="20"/>
                <w:szCs w:val="20"/>
                <w:color w:val="auto"/>
              </w:rPr>
            </w:pPr>
            <w:r>
              <w:rPr>
                <w:rFonts w:ascii="Arial" w:cs="Arial" w:eastAsia="Arial" w:hAnsi="Arial"/>
                <w:sz w:val="18"/>
                <w:szCs w:val="18"/>
                <w:color w:val="auto"/>
              </w:rPr>
              <w:t>Convertible Promissory Note 5%</w:t>
            </w: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gridSpan w:val="13"/>
          </w:tcPr>
          <w:p>
            <w:pPr>
              <w:ind w:left="180"/>
              <w:spacing w:after="0"/>
              <w:rPr>
                <w:sz w:val="20"/>
                <w:szCs w:val="20"/>
                <w:color w:val="auto"/>
              </w:rPr>
            </w:pPr>
            <w:r>
              <w:rPr>
                <w:rFonts w:ascii="Arial" w:cs="Arial" w:eastAsia="Arial" w:hAnsi="Arial"/>
                <w:sz w:val="18"/>
                <w:szCs w:val="18"/>
                <w:color w:val="auto"/>
              </w:rPr>
              <w:t>Due 2/28/2018***</w:t>
            </w:r>
          </w:p>
        </w:tc>
        <w:tc>
          <w:tcPr>
            <w:tcW w:w="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Digital Media Platform</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2,000,000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2,000,000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2,000,000</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1.04%</w:t>
            </w:r>
          </w:p>
        </w:tc>
      </w:tr>
      <w:tr>
        <w:trPr>
          <w:trHeight w:val="216"/>
        </w:trPr>
        <w:tc>
          <w:tcPr>
            <w:tcW w:w="272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Preferred shares, Series B</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922,509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4,999,999</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4,999,999</w:t>
            </w:r>
          </w:p>
        </w:tc>
        <w:tc>
          <w:tcPr>
            <w:tcW w:w="7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r>
      <w:tr>
        <w:trPr>
          <w:trHeight w:val="216"/>
        </w:trPr>
        <w:tc>
          <w:tcPr>
            <w:tcW w:w="272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A</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1,090,909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3,000,200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3,000,000</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1.56%</w:t>
            </w:r>
          </w:p>
        </w:tc>
      </w:tr>
      <w:tr>
        <w:trPr>
          <w:trHeight w:val="216"/>
        </w:trPr>
        <w:tc>
          <w:tcPr>
            <w:tcW w:w="272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Preferred shares, Series Seed</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610,000</w:t>
            </w:r>
          </w:p>
        </w:tc>
        <w:tc>
          <w:tcPr>
            <w:tcW w:w="7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0.32%</w:t>
            </w: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gridSpan w:val="13"/>
          </w:tcPr>
          <w:p>
            <w:pPr>
              <w:ind w:left="18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10,500,199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8"/>
              </w:rPr>
              <w:t>10,609,999</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5.52%</w:t>
            </w:r>
          </w:p>
        </w:tc>
      </w:tr>
      <w:tr>
        <w:trPr>
          <w:trHeight w:val="169"/>
        </w:trPr>
        <w:tc>
          <w:tcPr>
            <w:tcW w:w="2720" w:type="dxa"/>
            <w:vAlign w:val="bottom"/>
            <w:gridSpan w:val="14"/>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Course Hero, Inc.</w:t>
            </w: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2"/>
              </w:rPr>
              <w:t>Redwood City, CA</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72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A</w:t>
            </w:r>
          </w:p>
        </w:tc>
        <w:tc>
          <w:tcPr>
            <w:tcW w:w="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Online Education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2,145,509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5,000,001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8"/>
              </w:rPr>
              <w:t>10,532,304</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5.48%</w:t>
            </w:r>
          </w:p>
        </w:tc>
      </w:tr>
      <w:tr>
        <w:trPr>
          <w:trHeight w:val="216"/>
        </w:trPr>
        <w:tc>
          <w:tcPr>
            <w:tcW w:w="2720" w:type="dxa"/>
            <w:vAlign w:val="bottom"/>
            <w:gridSpan w:val="14"/>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Curious.com Inc.</w:t>
            </w:r>
            <w:r>
              <w:rPr>
                <w:rFonts w:ascii="Arial" w:cs="Arial" w:eastAsia="Arial" w:hAnsi="Arial"/>
                <w:sz w:val="25"/>
                <w:szCs w:val="25"/>
                <w:b w:val="1"/>
                <w:bCs w:val="1"/>
                <w:color w:val="auto"/>
                <w:vertAlign w:val="superscript"/>
              </w:rPr>
              <w:t>(1)</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Menlo Park, CA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72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B</w:t>
            </w:r>
          </w:p>
        </w:tc>
        <w:tc>
          <w:tcPr>
            <w:tcW w:w="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Online Education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3,407,834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12,000,006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9,984,954</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5.20%</w:t>
            </w:r>
          </w:p>
        </w:tc>
      </w:tr>
      <w:tr>
        <w:trPr>
          <w:trHeight w:val="216"/>
        </w:trPr>
        <w:tc>
          <w:tcPr>
            <w:tcW w:w="2720" w:type="dxa"/>
            <w:vAlign w:val="bottom"/>
            <w:gridSpan w:val="14"/>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StormWind, LLC</w:t>
            </w:r>
            <w:r>
              <w:rPr>
                <w:rFonts w:ascii="Arial" w:cs="Arial" w:eastAsia="Arial" w:hAnsi="Arial"/>
                <w:sz w:val="25"/>
                <w:szCs w:val="25"/>
                <w:b w:val="1"/>
                <w:bCs w:val="1"/>
                <w:color w:val="auto"/>
                <w:vertAlign w:val="superscript"/>
              </w:rPr>
              <w:t>(2)(6)</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Scottsdale, AZ</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72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C</w:t>
            </w:r>
          </w:p>
        </w:tc>
        <w:tc>
          <w:tcPr>
            <w:tcW w:w="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Interactive Learning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2,779,134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4,000,787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4,650,838</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2.42%</w:t>
            </w:r>
          </w:p>
        </w:tc>
      </w:tr>
      <w:tr>
        <w:trPr>
          <w:trHeight w:val="216"/>
        </w:trPr>
        <w:tc>
          <w:tcPr>
            <w:tcW w:w="272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Preferred shares, Series B</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3,279,629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2,019,687</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4,470,403</w:t>
            </w:r>
          </w:p>
        </w:tc>
        <w:tc>
          <w:tcPr>
            <w:tcW w:w="7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r>
      <w:tr>
        <w:trPr>
          <w:trHeight w:val="216"/>
        </w:trPr>
        <w:tc>
          <w:tcPr>
            <w:tcW w:w="272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A</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366,666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499,796</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0.26%</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700" w:type="dxa"/>
            <w:vAlign w:val="bottom"/>
            <w:gridSpan w:val="1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6,130,474</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9,621,037</w:t>
            </w:r>
          </w:p>
        </w:tc>
        <w:tc>
          <w:tcPr>
            <w:tcW w:w="7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5.01%</w:t>
            </w:r>
          </w:p>
        </w:tc>
      </w:tr>
      <w:tr>
        <w:trPr>
          <w:trHeight w:val="169"/>
        </w:trPr>
        <w:tc>
          <w:tcPr>
            <w:tcW w:w="2720" w:type="dxa"/>
            <w:vAlign w:val="bottom"/>
            <w:tcBorders>
              <w:top w:val="single" w:sz="8" w:color="CCEEFF"/>
            </w:tcBorders>
            <w:gridSpan w:val="14"/>
          </w:tcPr>
          <w:p>
            <w:pPr>
              <w:ind w:left="20"/>
              <w:spacing w:after="0" w:line="170" w:lineRule="exact"/>
              <w:rPr>
                <w:sz w:val="20"/>
                <w:szCs w:val="20"/>
                <w:color w:val="auto"/>
              </w:rPr>
            </w:pPr>
            <w:r>
              <w:rPr>
                <w:rFonts w:ascii="Arial" w:cs="Arial" w:eastAsia="Arial" w:hAnsi="Arial"/>
                <w:sz w:val="18"/>
                <w:szCs w:val="18"/>
                <w:b w:val="1"/>
                <w:bCs w:val="1"/>
                <w:color w:val="auto"/>
              </w:rPr>
              <w:t>Chegg, Inc.**</w:t>
            </w:r>
          </w:p>
        </w:tc>
        <w:tc>
          <w:tcPr>
            <w:tcW w:w="4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line="170" w:lineRule="exact"/>
              <w:rPr>
                <w:sz w:val="20"/>
                <w:szCs w:val="20"/>
                <w:color w:val="auto"/>
              </w:rPr>
            </w:pPr>
            <w:r>
              <w:rPr>
                <w:rFonts w:ascii="Arial" w:cs="Arial" w:eastAsia="Arial" w:hAnsi="Arial"/>
                <w:sz w:val="18"/>
                <w:szCs w:val="18"/>
                <w:color w:val="auto"/>
                <w:w w:val="89"/>
              </w:rPr>
              <w:t>Santa Clara, CA</w:t>
            </w: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2"/>
        </w:trPr>
        <w:tc>
          <w:tcPr>
            <w:tcW w:w="2720" w:type="dxa"/>
            <w:vAlign w:val="bottom"/>
            <w:gridSpan w:val="14"/>
            <w:shd w:val="clear" w:color="auto" w:fill="CCEEFF"/>
          </w:tcPr>
          <w:p>
            <w:pPr>
              <w:ind w:left="20"/>
              <w:spacing w:after="0" w:line="201" w:lineRule="exact"/>
              <w:rPr>
                <w:sz w:val="20"/>
                <w:szCs w:val="20"/>
                <w:color w:val="auto"/>
              </w:rPr>
            </w:pPr>
            <w:r>
              <w:rPr>
                <w:rFonts w:ascii="Arial" w:cs="Arial" w:eastAsia="Arial" w:hAnsi="Arial"/>
                <w:sz w:val="18"/>
                <w:szCs w:val="18"/>
                <w:color w:val="auto"/>
              </w:rPr>
              <w:t>Common shares</w:t>
            </w:r>
          </w:p>
        </w:tc>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Online Education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Services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1,182,792</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14,022,863</w:t>
            </w:r>
          </w:p>
        </w:tc>
        <w:tc>
          <w:tcPr>
            <w:tcW w:w="10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8,729,005</w:t>
            </w:r>
          </w:p>
        </w:tc>
        <w:tc>
          <w:tcPr>
            <w:tcW w:w="7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4.54%</w:t>
            </w:r>
          </w:p>
        </w:tc>
      </w:tr>
      <w:tr>
        <w:trPr>
          <w:trHeight w:val="216"/>
        </w:trPr>
        <w:tc>
          <w:tcPr>
            <w:tcW w:w="2720" w:type="dxa"/>
            <w:vAlign w:val="bottom"/>
            <w:gridSpan w:val="14"/>
          </w:tcPr>
          <w:p>
            <w:pPr>
              <w:ind w:left="20"/>
              <w:spacing w:after="0" w:line="216" w:lineRule="exact"/>
              <w:rPr>
                <w:sz w:val="20"/>
                <w:szCs w:val="20"/>
                <w:color w:val="auto"/>
              </w:rPr>
            </w:pPr>
            <w:r>
              <w:rPr>
                <w:rFonts w:ascii="Arial" w:cs="Arial" w:eastAsia="Arial" w:hAnsi="Arial"/>
                <w:sz w:val="16"/>
                <w:szCs w:val="16"/>
                <w:b w:val="1"/>
                <w:bCs w:val="1"/>
                <w:color w:val="auto"/>
              </w:rPr>
              <w:t>Declara, Inc.</w:t>
            </w:r>
            <w:r>
              <w:rPr>
                <w:rFonts w:ascii="Arial" w:cs="Arial" w:eastAsia="Arial" w:hAnsi="Arial"/>
                <w:sz w:val="25"/>
                <w:szCs w:val="25"/>
                <w:b w:val="1"/>
                <w:bCs w:val="1"/>
                <w:color w:val="auto"/>
                <w:vertAlign w:val="superscript"/>
              </w:rPr>
              <w:t>(1)</w:t>
            </w:r>
          </w:p>
        </w:tc>
        <w:tc>
          <w:tcPr>
            <w:tcW w:w="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7"/>
              </w:rPr>
              <w:t>Palo Alto, CA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2720" w:type="dxa"/>
            <w:vAlign w:val="bottom"/>
            <w:gridSpan w:val="14"/>
            <w:shd w:val="clear" w:color="auto" w:fill="CCEEFF"/>
          </w:tcPr>
          <w:p>
            <w:pPr>
              <w:ind w:left="20"/>
              <w:spacing w:after="0" w:line="206" w:lineRule="exact"/>
              <w:rPr>
                <w:sz w:val="20"/>
                <w:szCs w:val="20"/>
                <w:color w:val="auto"/>
              </w:rPr>
            </w:pPr>
            <w:r>
              <w:rPr>
                <w:rFonts w:ascii="Arial" w:cs="Arial" w:eastAsia="Arial" w:hAnsi="Arial"/>
                <w:sz w:val="18"/>
                <w:szCs w:val="18"/>
                <w:color w:val="auto"/>
              </w:rPr>
              <w:t>Convertible Promissory Note 9%</w:t>
            </w:r>
          </w:p>
        </w:tc>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2"/>
              </w:rPr>
              <w:t>Social Cognitive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67"/>
        </w:trPr>
        <w:tc>
          <w:tcPr>
            <w:tcW w:w="20" w:type="dxa"/>
            <w:vAlign w:val="bottom"/>
            <w:shd w:val="clear" w:color="auto" w:fill="CCEEFF"/>
          </w:tcPr>
          <w:p>
            <w:pPr>
              <w:spacing w:after="0"/>
              <w:rPr>
                <w:sz w:val="23"/>
                <w:szCs w:val="23"/>
                <w:color w:val="auto"/>
              </w:rPr>
            </w:pPr>
          </w:p>
        </w:tc>
        <w:tc>
          <w:tcPr>
            <w:tcW w:w="2700" w:type="dxa"/>
            <w:vAlign w:val="bottom"/>
            <w:gridSpan w:val="13"/>
            <w:shd w:val="clear" w:color="auto" w:fill="CCEEFF"/>
          </w:tcPr>
          <w:p>
            <w:pPr>
              <w:ind w:left="180"/>
              <w:spacing w:after="0" w:line="266" w:lineRule="exact"/>
              <w:rPr>
                <w:sz w:val="20"/>
                <w:szCs w:val="20"/>
                <w:color w:val="auto"/>
              </w:rPr>
            </w:pPr>
            <w:r>
              <w:rPr>
                <w:rFonts w:ascii="Arial" w:cs="Arial" w:eastAsia="Arial" w:hAnsi="Arial"/>
                <w:sz w:val="18"/>
                <w:szCs w:val="18"/>
                <w:color w:val="auto"/>
              </w:rPr>
              <w:t>Due 6/30/2017***</w:t>
            </w:r>
            <w:r>
              <w:rPr>
                <w:rFonts w:ascii="Arial" w:cs="Arial" w:eastAsia="Arial" w:hAnsi="Arial"/>
                <w:sz w:val="30"/>
                <w:szCs w:val="30"/>
                <w:color w:val="auto"/>
                <w:vertAlign w:val="superscript"/>
              </w:rPr>
              <w:t>(12)</w:t>
            </w:r>
          </w:p>
        </w:tc>
        <w:tc>
          <w:tcPr>
            <w:tcW w:w="40" w:type="dxa"/>
            <w:vAlign w:val="bottom"/>
            <w:shd w:val="clear" w:color="auto" w:fill="CCEEFF"/>
          </w:tcPr>
          <w:p>
            <w:pPr>
              <w:spacing w:after="0"/>
              <w:rPr>
                <w:sz w:val="23"/>
                <w:szCs w:val="23"/>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Learning</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2,120,658</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2,120,658</w:t>
            </w:r>
          </w:p>
        </w:tc>
        <w:tc>
          <w:tcPr>
            <w:tcW w:w="10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2,827,020</w:t>
            </w:r>
          </w:p>
        </w:tc>
        <w:tc>
          <w:tcPr>
            <w:tcW w:w="7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r>
      <w:tr>
        <w:trPr>
          <w:trHeight w:val="216"/>
        </w:trPr>
        <w:tc>
          <w:tcPr>
            <w:tcW w:w="272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A</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86"/>
              </w:rPr>
              <w:t>10,716,390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9,999,999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4,786,654</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2.49%</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700" w:type="dxa"/>
            <w:vAlign w:val="bottom"/>
            <w:gridSpan w:val="1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12,120,657</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7,613,674</w:t>
            </w:r>
          </w:p>
        </w:tc>
        <w:tc>
          <w:tcPr>
            <w:tcW w:w="7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-6697345</wp:posOffset>
            </wp:positionV>
            <wp:extent cx="529971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9971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-5033645</wp:posOffset>
            </wp:positionV>
            <wp:extent cx="529971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9971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-4330065</wp:posOffset>
            </wp:positionV>
            <wp:extent cx="529971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9971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-3627120</wp:posOffset>
            </wp:positionV>
            <wp:extent cx="529971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9971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-2623820</wp:posOffset>
            </wp:positionV>
            <wp:extent cx="529971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9971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-1174115</wp:posOffset>
            </wp:positionV>
            <wp:extent cx="529971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9971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997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9971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991" w:gutter="0" w:footer="0" w:header="0"/>
        </w:sectPr>
      </w:pPr>
    </w:p>
    <w:bookmarkStart w:id="16" w:name="page17"/>
    <w:bookmarkEnd w:id="1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400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32"/>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 of</w:t>
            </w:r>
          </w:p>
        </w:tc>
      </w:tr>
      <w:tr>
        <w:trPr>
          <w:trHeight w:val="153"/>
        </w:trPr>
        <w:tc>
          <w:tcPr>
            <w:tcW w:w="272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4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3"/>
                <w:szCs w:val="13"/>
                <w:b w:val="1"/>
                <w:bCs w:val="1"/>
                <w:color w:val="auto"/>
              </w:rPr>
              <w:t>Principal</w:t>
            </w: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w w:val="99"/>
              </w:rPr>
              <w:t>Fair Value</w:t>
            </w:r>
          </w:p>
        </w:tc>
        <w:tc>
          <w:tcPr>
            <w:tcW w:w="120" w:type="dxa"/>
            <w:vAlign w:val="bottom"/>
          </w:tcPr>
          <w:p>
            <w:pPr>
              <w:spacing w:after="0"/>
              <w:rPr>
                <w:sz w:val="13"/>
                <w:szCs w:val="13"/>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92"/>
              </w:rPr>
              <w:t>Net Assets</w:t>
            </w:r>
          </w:p>
        </w:tc>
      </w:tr>
      <w:tr>
        <w:trPr>
          <w:trHeight w:val="169"/>
        </w:trPr>
        <w:tc>
          <w:tcPr>
            <w:tcW w:w="2720" w:type="dxa"/>
            <w:vAlign w:val="bottom"/>
            <w:gridSpan w:val="11"/>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Lyft, Inc.</w:t>
            </w: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San Francisco, CA</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2720" w:type="dxa"/>
            <w:vAlign w:val="bottom"/>
            <w:gridSpan w:val="11"/>
          </w:tcPr>
          <w:p>
            <w:pPr>
              <w:ind w:left="20"/>
              <w:spacing w:after="0" w:line="201" w:lineRule="exact"/>
              <w:rPr>
                <w:sz w:val="20"/>
                <w:szCs w:val="20"/>
                <w:color w:val="auto"/>
              </w:rPr>
            </w:pPr>
            <w:r>
              <w:rPr>
                <w:rFonts w:ascii="Arial" w:cs="Arial" w:eastAsia="Arial" w:hAnsi="Arial"/>
                <w:sz w:val="18"/>
                <w:szCs w:val="18"/>
                <w:color w:val="auto"/>
              </w:rPr>
              <w:t>Preferred shares, Series E</w:t>
            </w:r>
          </w:p>
        </w:tc>
        <w:tc>
          <w:tcPr>
            <w:tcW w:w="40" w:type="dxa"/>
            <w:vAlign w:val="bottom"/>
          </w:tcPr>
          <w:p>
            <w:pPr>
              <w:spacing w:after="0"/>
              <w:rPr>
                <w:sz w:val="17"/>
                <w:szCs w:val="17"/>
                <w:color w:val="auto"/>
              </w:rPr>
            </w:pP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89"/>
              </w:rPr>
              <w:t>On-Demand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Transportation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128,563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2,503,585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$3,249,430</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1.69%</w:t>
            </w:r>
          </w:p>
        </w:tc>
      </w:tr>
      <w:tr>
        <w:trPr>
          <w:trHeight w:val="216"/>
        </w:trPr>
        <w:tc>
          <w:tcPr>
            <w:tcW w:w="272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Preferred shares, Series D</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Services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176,266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1,792,749</w:t>
            </w: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4,203,062</w:t>
            </w:r>
          </w:p>
        </w:tc>
        <w:tc>
          <w:tcPr>
            <w:tcW w:w="8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gridSpan w:val="10"/>
          </w:tcPr>
          <w:p>
            <w:pPr>
              <w:ind w:left="18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4,296,334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7,452,492</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3.88%</w:t>
            </w:r>
          </w:p>
        </w:tc>
      </w:tr>
      <w:tr>
        <w:trPr>
          <w:trHeight w:val="210"/>
        </w:trPr>
        <w:tc>
          <w:tcPr>
            <w:tcW w:w="2720" w:type="dxa"/>
            <w:vAlign w:val="bottom"/>
            <w:gridSpan w:val="11"/>
            <w:shd w:val="clear" w:color="auto" w:fill="CCEEFF"/>
          </w:tcPr>
          <w:p>
            <w:pPr>
              <w:ind w:left="20"/>
              <w:spacing w:after="0" w:line="210" w:lineRule="exact"/>
              <w:rPr>
                <w:sz w:val="20"/>
                <w:szCs w:val="20"/>
                <w:color w:val="auto"/>
              </w:rPr>
            </w:pPr>
            <w:r>
              <w:rPr>
                <w:rFonts w:ascii="Arial" w:cs="Arial" w:eastAsia="Arial" w:hAnsi="Arial"/>
                <w:sz w:val="15"/>
                <w:szCs w:val="15"/>
                <w:b w:val="1"/>
                <w:bCs w:val="1"/>
                <w:color w:val="auto"/>
              </w:rPr>
              <w:t>Avenues Global Holdings, LLC</w:t>
            </w:r>
            <w:r>
              <w:rPr>
                <w:rFonts w:ascii="Arial" w:cs="Arial" w:eastAsia="Arial" w:hAnsi="Arial"/>
                <w:sz w:val="24"/>
                <w:szCs w:val="24"/>
                <w:b w:val="1"/>
                <w:bCs w:val="1"/>
                <w:color w:val="auto"/>
                <w:vertAlign w:val="superscript"/>
              </w:rPr>
              <w:t>(4)</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New York, NY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2720" w:type="dxa"/>
            <w:vAlign w:val="bottom"/>
            <w:gridSpan w:val="11"/>
          </w:tcPr>
          <w:p>
            <w:pPr>
              <w:ind w:left="20"/>
              <w:spacing w:after="0" w:line="201" w:lineRule="exact"/>
              <w:rPr>
                <w:sz w:val="20"/>
                <w:szCs w:val="20"/>
                <w:color w:val="auto"/>
              </w:rPr>
            </w:pPr>
            <w:r>
              <w:rPr>
                <w:rFonts w:ascii="Arial" w:cs="Arial" w:eastAsia="Arial" w:hAnsi="Arial"/>
                <w:sz w:val="18"/>
                <w:szCs w:val="18"/>
                <w:color w:val="auto"/>
                <w:w w:val="98"/>
              </w:rPr>
              <w:t>Preferred shares, Junior Preferred</w:t>
            </w: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gridSpan w:val="10"/>
          </w:tcPr>
          <w:p>
            <w:pPr>
              <w:ind w:left="180"/>
              <w:spacing w:after="0"/>
              <w:rPr>
                <w:sz w:val="20"/>
                <w:szCs w:val="20"/>
                <w:color w:val="auto"/>
              </w:rPr>
            </w:pPr>
            <w:r>
              <w:rPr>
                <w:rFonts w:ascii="Arial" w:cs="Arial" w:eastAsia="Arial" w:hAnsi="Arial"/>
                <w:sz w:val="18"/>
                <w:szCs w:val="18"/>
                <w:color w:val="auto"/>
              </w:rPr>
              <w:t>Stock</w:t>
            </w:r>
          </w:p>
        </w:tc>
        <w:tc>
          <w:tcPr>
            <w:tcW w:w="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Globally-focused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86"/>
              </w:rPr>
              <w:t>10,014,270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10,151,854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6,128,733</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3.19%</w:t>
            </w: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Private School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left w:val="single" w:sz="8" w:color="CCEEFF"/>
            </w:tcBorders>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76"/>
        </w:trPr>
        <w:tc>
          <w:tcPr>
            <w:tcW w:w="2720" w:type="dxa"/>
            <w:vAlign w:val="bottom"/>
            <w:gridSpan w:val="11"/>
          </w:tcPr>
          <w:p>
            <w:pPr>
              <w:ind w:left="20"/>
              <w:spacing w:after="0" w:line="176" w:lineRule="exact"/>
              <w:rPr>
                <w:sz w:val="20"/>
                <w:szCs w:val="20"/>
                <w:color w:val="auto"/>
              </w:rPr>
            </w:pPr>
            <w:r>
              <w:rPr>
                <w:rFonts w:ascii="Arial" w:cs="Arial" w:eastAsia="Arial" w:hAnsi="Arial"/>
                <w:sz w:val="18"/>
                <w:szCs w:val="18"/>
                <w:b w:val="1"/>
                <w:bCs w:val="1"/>
                <w:color w:val="auto"/>
              </w:rPr>
              <w:t>SugarCRM, Inc.</w:t>
            </w:r>
          </w:p>
        </w:tc>
        <w:tc>
          <w:tcPr>
            <w:tcW w:w="4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color w:val="auto"/>
                <w:w w:val="93"/>
              </w:rPr>
              <w:t>Cupertino, CA</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272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Preferred shares, Series E</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Customer Relationship</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373,134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1,500,522</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2,354,476</w:t>
            </w:r>
          </w:p>
        </w:tc>
        <w:tc>
          <w:tcPr>
            <w:tcW w:w="8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r>
      <w:tr>
        <w:trPr>
          <w:trHeight w:val="216"/>
        </w:trPr>
        <w:tc>
          <w:tcPr>
            <w:tcW w:w="2720" w:type="dxa"/>
            <w:vAlign w:val="bottom"/>
            <w:gridSpan w:val="11"/>
          </w:tcPr>
          <w:p>
            <w:pPr>
              <w:ind w:left="20"/>
              <w:spacing w:after="0"/>
              <w:rPr>
                <w:sz w:val="20"/>
                <w:szCs w:val="20"/>
                <w:color w:val="auto"/>
              </w:rPr>
            </w:pPr>
            <w:r>
              <w:rPr>
                <w:rFonts w:ascii="Arial" w:cs="Arial" w:eastAsia="Arial" w:hAnsi="Arial"/>
                <w:sz w:val="18"/>
                <w:szCs w:val="18"/>
                <w:color w:val="auto"/>
              </w:rPr>
              <w:t>Common shares</w:t>
            </w:r>
          </w:p>
        </w:tc>
        <w:tc>
          <w:tcPr>
            <w:tcW w:w="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Manager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1,524,799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5,476,502</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3,762,442</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1.96%</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700" w:type="dxa"/>
            <w:vAlign w:val="bottom"/>
            <w:gridSpan w:val="10"/>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6,977,024</w:t>
            </w: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6,116,918</w:t>
            </w:r>
          </w:p>
        </w:tc>
        <w:tc>
          <w:tcPr>
            <w:tcW w:w="8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3.19%</w:t>
            </w:r>
          </w:p>
        </w:tc>
      </w:tr>
      <w:tr>
        <w:trPr>
          <w:trHeight w:val="169"/>
        </w:trPr>
        <w:tc>
          <w:tcPr>
            <w:tcW w:w="2720" w:type="dxa"/>
            <w:vAlign w:val="bottom"/>
            <w:tcBorders>
              <w:top w:val="single" w:sz="8" w:color="CCEEFF"/>
            </w:tcBorders>
            <w:gridSpan w:val="11"/>
          </w:tcPr>
          <w:p>
            <w:pPr>
              <w:ind w:left="20"/>
              <w:spacing w:after="0" w:line="170" w:lineRule="exact"/>
              <w:rPr>
                <w:sz w:val="20"/>
                <w:szCs w:val="20"/>
                <w:color w:val="auto"/>
              </w:rPr>
            </w:pPr>
            <w:r>
              <w:rPr>
                <w:rFonts w:ascii="Arial" w:cs="Arial" w:eastAsia="Arial" w:hAnsi="Arial"/>
                <w:sz w:val="18"/>
                <w:szCs w:val="18"/>
                <w:b w:val="1"/>
                <w:bCs w:val="1"/>
                <w:color w:val="auto"/>
              </w:rPr>
              <w:t>Dataminr, Inc.</w:t>
            </w:r>
          </w:p>
        </w:tc>
        <w:tc>
          <w:tcPr>
            <w:tcW w:w="4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line="170" w:lineRule="exact"/>
              <w:rPr>
                <w:sz w:val="20"/>
                <w:szCs w:val="20"/>
                <w:color w:val="auto"/>
              </w:rPr>
            </w:pPr>
            <w:r>
              <w:rPr>
                <w:rFonts w:ascii="Arial" w:cs="Arial" w:eastAsia="Arial" w:hAnsi="Arial"/>
                <w:sz w:val="18"/>
                <w:szCs w:val="18"/>
                <w:color w:val="auto"/>
                <w:w w:val="95"/>
              </w:rPr>
              <w:t>New York, NY</w:t>
            </w: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272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Preferred shares, Series C</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Social Media Analytics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301,369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1,100,909</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1,377,256</w:t>
            </w:r>
          </w:p>
        </w:tc>
        <w:tc>
          <w:tcPr>
            <w:tcW w:w="8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0.72%</w:t>
            </w:r>
          </w:p>
        </w:tc>
      </w:tr>
      <w:tr>
        <w:trPr>
          <w:trHeight w:val="216"/>
        </w:trPr>
        <w:tc>
          <w:tcPr>
            <w:tcW w:w="2720" w:type="dxa"/>
            <w:vAlign w:val="bottom"/>
            <w:gridSpan w:val="11"/>
          </w:tcPr>
          <w:p>
            <w:pPr>
              <w:ind w:left="20"/>
              <w:spacing w:after="0"/>
              <w:rPr>
                <w:sz w:val="20"/>
                <w:szCs w:val="20"/>
                <w:color w:val="auto"/>
              </w:rPr>
            </w:pPr>
            <w:r>
              <w:rPr>
                <w:rFonts w:ascii="Arial" w:cs="Arial" w:eastAsia="Arial" w:hAnsi="Arial"/>
                <w:sz w:val="18"/>
                <w:szCs w:val="18"/>
                <w:color w:val="auto"/>
              </w:rPr>
              <w:t>Preferred shares, Series B</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904,977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2,063,356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4,135,745</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2.15%</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700" w:type="dxa"/>
            <w:vAlign w:val="bottom"/>
            <w:gridSpan w:val="10"/>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3,164,265</w:t>
            </w: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5,513,001</w:t>
            </w:r>
          </w:p>
        </w:tc>
        <w:tc>
          <w:tcPr>
            <w:tcW w:w="8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r>
      <w:tr>
        <w:trPr>
          <w:trHeight w:val="169"/>
        </w:trPr>
        <w:tc>
          <w:tcPr>
            <w:tcW w:w="2720" w:type="dxa"/>
            <w:vAlign w:val="bottom"/>
            <w:tcBorders>
              <w:top w:val="single" w:sz="8" w:color="CCEEFF"/>
            </w:tcBorders>
            <w:gridSpan w:val="11"/>
          </w:tcPr>
          <w:p>
            <w:pPr>
              <w:ind w:left="20"/>
              <w:spacing w:after="0" w:line="170" w:lineRule="exact"/>
              <w:rPr>
                <w:sz w:val="20"/>
                <w:szCs w:val="20"/>
                <w:color w:val="auto"/>
              </w:rPr>
            </w:pPr>
            <w:r>
              <w:rPr>
                <w:rFonts w:ascii="Arial" w:cs="Arial" w:eastAsia="Arial" w:hAnsi="Arial"/>
                <w:sz w:val="18"/>
                <w:szCs w:val="18"/>
                <w:b w:val="1"/>
                <w:bCs w:val="1"/>
                <w:color w:val="auto"/>
              </w:rPr>
              <w:t>Enjoy Technology, Inc.</w:t>
            </w:r>
          </w:p>
        </w:tc>
        <w:tc>
          <w:tcPr>
            <w:tcW w:w="4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line="170" w:lineRule="exact"/>
              <w:rPr>
                <w:sz w:val="20"/>
                <w:szCs w:val="20"/>
                <w:color w:val="auto"/>
              </w:rPr>
            </w:pPr>
            <w:r>
              <w:rPr>
                <w:rFonts w:ascii="Arial" w:cs="Arial" w:eastAsia="Arial" w:hAnsi="Arial"/>
                <w:sz w:val="18"/>
                <w:szCs w:val="18"/>
                <w:color w:val="auto"/>
                <w:w w:val="95"/>
              </w:rPr>
              <w:t>Menlo Park, CA</w:t>
            </w: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2"/>
        </w:trPr>
        <w:tc>
          <w:tcPr>
            <w:tcW w:w="2720" w:type="dxa"/>
            <w:vAlign w:val="bottom"/>
            <w:gridSpan w:val="11"/>
            <w:shd w:val="clear" w:color="auto" w:fill="CCEEFF"/>
          </w:tcPr>
          <w:p>
            <w:pPr>
              <w:ind w:left="20"/>
              <w:spacing w:after="0" w:line="201" w:lineRule="exact"/>
              <w:rPr>
                <w:sz w:val="20"/>
                <w:szCs w:val="20"/>
                <w:color w:val="auto"/>
              </w:rPr>
            </w:pPr>
            <w:r>
              <w:rPr>
                <w:rFonts w:ascii="Arial" w:cs="Arial" w:eastAsia="Arial" w:hAnsi="Arial"/>
                <w:sz w:val="18"/>
                <w:szCs w:val="18"/>
                <w:color w:val="auto"/>
              </w:rPr>
              <w:t>Preferred shares, Series B</w:t>
            </w:r>
          </w:p>
        </w:tc>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On-Demand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Commerce</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1,681,520</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4,000,280</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8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r>
      <w:tr>
        <w:trPr>
          <w:trHeight w:val="216"/>
        </w:trPr>
        <w:tc>
          <w:tcPr>
            <w:tcW w:w="2720" w:type="dxa"/>
            <w:vAlign w:val="bottom"/>
            <w:gridSpan w:val="11"/>
          </w:tcPr>
          <w:p>
            <w:pPr>
              <w:ind w:left="20"/>
              <w:spacing w:after="0"/>
              <w:rPr>
                <w:sz w:val="20"/>
                <w:szCs w:val="20"/>
                <w:color w:val="auto"/>
              </w:rPr>
            </w:pPr>
            <w:r>
              <w:rPr>
                <w:rFonts w:ascii="Arial" w:cs="Arial" w:eastAsia="Arial" w:hAnsi="Arial"/>
                <w:sz w:val="18"/>
                <w:szCs w:val="18"/>
                <w:color w:val="auto"/>
              </w:rPr>
              <w:t>Preferred shares, Series A</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879,198</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1,002,440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1,443,091</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0.75%</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700" w:type="dxa"/>
            <w:vAlign w:val="bottom"/>
            <w:gridSpan w:val="10"/>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5,002,720</w:t>
            </w: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5,443,091</w:t>
            </w:r>
          </w:p>
        </w:tc>
        <w:tc>
          <w:tcPr>
            <w:tcW w:w="8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r>
      <w:tr>
        <w:trPr>
          <w:trHeight w:val="169"/>
        </w:trPr>
        <w:tc>
          <w:tcPr>
            <w:tcW w:w="2720" w:type="dxa"/>
            <w:vAlign w:val="bottom"/>
            <w:tcBorders>
              <w:top w:val="single" w:sz="8" w:color="CCEEFF"/>
            </w:tcBorders>
            <w:gridSpan w:val="11"/>
          </w:tcPr>
          <w:p>
            <w:pPr>
              <w:ind w:left="20"/>
              <w:spacing w:after="0" w:line="170" w:lineRule="exact"/>
              <w:rPr>
                <w:sz w:val="20"/>
                <w:szCs w:val="20"/>
                <w:color w:val="auto"/>
              </w:rPr>
            </w:pPr>
            <w:r>
              <w:rPr>
                <w:rFonts w:ascii="Arial" w:cs="Arial" w:eastAsia="Arial" w:hAnsi="Arial"/>
                <w:sz w:val="18"/>
                <w:szCs w:val="18"/>
                <w:b w:val="1"/>
                <w:bCs w:val="1"/>
                <w:color w:val="auto"/>
              </w:rPr>
              <w:t>NestGSV, Inc. (d/b/a GSV Labs,</w:t>
            </w:r>
          </w:p>
        </w:tc>
        <w:tc>
          <w:tcPr>
            <w:tcW w:w="4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2440" w:type="dxa"/>
            <w:vAlign w:val="bottom"/>
            <w:tcBorders>
              <w:top w:val="single" w:sz="8" w:color="auto"/>
            </w:tcBorders>
            <w:gridSpan w:val="9"/>
          </w:tcPr>
          <w:p>
            <w:pPr>
              <w:ind w:left="180"/>
              <w:spacing w:after="0" w:line="236" w:lineRule="exact"/>
              <w:rPr>
                <w:sz w:val="20"/>
                <w:szCs w:val="20"/>
                <w:color w:val="auto"/>
              </w:rPr>
            </w:pPr>
            <w:r>
              <w:rPr>
                <w:rFonts w:ascii="Arial" w:cs="Arial" w:eastAsia="Arial" w:hAnsi="Arial"/>
                <w:sz w:val="17"/>
                <w:szCs w:val="17"/>
                <w:b w:val="1"/>
                <w:bCs w:val="1"/>
                <w:color w:val="auto"/>
              </w:rPr>
              <w:t>Inc.)</w:t>
            </w:r>
            <w:r>
              <w:rPr>
                <w:rFonts w:ascii="Arial" w:cs="Arial" w:eastAsia="Arial" w:hAnsi="Arial"/>
                <w:sz w:val="27"/>
                <w:szCs w:val="27"/>
                <w:b w:val="1"/>
                <w:bCs w:val="1"/>
                <w:color w:val="auto"/>
                <w:vertAlign w:val="superscript"/>
              </w:rPr>
              <w:t>(2)</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Redwood City, CA</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2"/>
        </w:trPr>
        <w:tc>
          <w:tcPr>
            <w:tcW w:w="2720" w:type="dxa"/>
            <w:vAlign w:val="bottom"/>
            <w:gridSpan w:val="11"/>
            <w:shd w:val="clear" w:color="auto" w:fill="CCEEFF"/>
          </w:tcPr>
          <w:p>
            <w:pPr>
              <w:ind w:left="20"/>
              <w:spacing w:after="0" w:line="201" w:lineRule="exact"/>
              <w:rPr>
                <w:sz w:val="20"/>
                <w:szCs w:val="20"/>
                <w:color w:val="auto"/>
              </w:rPr>
            </w:pPr>
            <w:r>
              <w:rPr>
                <w:rFonts w:ascii="Arial" w:cs="Arial" w:eastAsia="Arial" w:hAnsi="Arial"/>
                <w:sz w:val="18"/>
                <w:szCs w:val="18"/>
                <w:color w:val="auto"/>
              </w:rPr>
              <w:t>Convertible Promissory Note 8%</w:t>
            </w:r>
          </w:p>
        </w:tc>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Global Innovation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2700" w:type="dxa"/>
            <w:vAlign w:val="bottom"/>
            <w:gridSpan w:val="10"/>
            <w:shd w:val="clear" w:color="auto" w:fill="CCEEFF"/>
          </w:tcPr>
          <w:p>
            <w:pPr>
              <w:ind w:left="180"/>
              <w:spacing w:after="0"/>
              <w:rPr>
                <w:sz w:val="20"/>
                <w:szCs w:val="20"/>
                <w:color w:val="auto"/>
              </w:rPr>
            </w:pPr>
            <w:r>
              <w:rPr>
                <w:rFonts w:ascii="Arial" w:cs="Arial" w:eastAsia="Arial" w:hAnsi="Arial"/>
                <w:sz w:val="18"/>
                <w:szCs w:val="18"/>
                <w:color w:val="auto"/>
              </w:rPr>
              <w:t>Due 7/31/2017***</w:t>
            </w:r>
          </w:p>
        </w:tc>
        <w:tc>
          <w:tcPr>
            <w:tcW w:w="40" w:type="dxa"/>
            <w:vAlign w:val="bottom"/>
            <w:shd w:val="clear" w:color="auto" w:fill="CCEEFF"/>
          </w:tcPr>
          <w:p>
            <w:pPr>
              <w:spacing w:after="0"/>
              <w:rPr>
                <w:sz w:val="20"/>
                <w:szCs w:val="20"/>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Platform</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457,592</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427,900</w:t>
            </w:r>
          </w:p>
        </w:tc>
        <w:tc>
          <w:tcPr>
            <w:tcW w:w="8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r>
      <w:tr>
        <w:trPr>
          <w:trHeight w:val="202"/>
        </w:trPr>
        <w:tc>
          <w:tcPr>
            <w:tcW w:w="2720" w:type="dxa"/>
            <w:vAlign w:val="bottom"/>
            <w:gridSpan w:val="11"/>
          </w:tcPr>
          <w:p>
            <w:pPr>
              <w:ind w:left="20"/>
              <w:spacing w:after="0" w:line="201" w:lineRule="exact"/>
              <w:rPr>
                <w:sz w:val="20"/>
                <w:szCs w:val="20"/>
                <w:color w:val="auto"/>
              </w:rPr>
            </w:pPr>
            <w:r>
              <w:rPr>
                <w:rFonts w:ascii="Arial" w:cs="Arial" w:eastAsia="Arial" w:hAnsi="Arial"/>
                <w:sz w:val="18"/>
                <w:szCs w:val="18"/>
                <w:color w:val="auto"/>
              </w:rPr>
              <w:t>Unsecured Promissory Note 12%</w:t>
            </w: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gridSpan w:val="10"/>
          </w:tcPr>
          <w:p>
            <w:pPr>
              <w:ind w:left="180"/>
              <w:spacing w:after="0"/>
              <w:rPr>
                <w:sz w:val="20"/>
                <w:szCs w:val="20"/>
                <w:color w:val="auto"/>
              </w:rPr>
            </w:pPr>
            <w:r>
              <w:rPr>
                <w:rFonts w:ascii="Arial" w:cs="Arial" w:eastAsia="Arial" w:hAnsi="Arial"/>
                <w:sz w:val="18"/>
                <w:szCs w:val="18"/>
                <w:color w:val="auto"/>
              </w:rPr>
              <w:t>Due 5/29/2017***</w:t>
            </w:r>
          </w:p>
        </w:tc>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526,000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501,802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496,725</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0.26%</w:t>
            </w:r>
          </w:p>
        </w:tc>
      </w:tr>
      <w:tr>
        <w:trPr>
          <w:trHeight w:val="257"/>
        </w:trPr>
        <w:tc>
          <w:tcPr>
            <w:tcW w:w="2720" w:type="dxa"/>
            <w:vAlign w:val="bottom"/>
            <w:gridSpan w:val="11"/>
            <w:shd w:val="clear" w:color="auto" w:fill="CCEEFF"/>
          </w:tcPr>
          <w:p>
            <w:pPr>
              <w:ind w:left="20"/>
              <w:spacing w:after="0" w:line="256" w:lineRule="exact"/>
              <w:rPr>
                <w:sz w:val="20"/>
                <w:szCs w:val="20"/>
                <w:color w:val="auto"/>
              </w:rPr>
            </w:pPr>
            <w:r>
              <w:rPr>
                <w:rFonts w:ascii="Arial" w:cs="Arial" w:eastAsia="Arial" w:hAnsi="Arial"/>
                <w:sz w:val="18"/>
                <w:szCs w:val="18"/>
                <w:color w:val="auto"/>
              </w:rPr>
              <w:t>Preferred shares, Series A-4</w:t>
            </w:r>
            <w:r>
              <w:rPr>
                <w:rFonts w:ascii="Arial" w:cs="Arial" w:eastAsia="Arial" w:hAnsi="Arial"/>
                <w:sz w:val="29"/>
                <w:szCs w:val="29"/>
                <w:color w:val="auto"/>
                <w:vertAlign w:val="superscript"/>
              </w:rPr>
              <w:t>(14)</w:t>
            </w:r>
          </w:p>
        </w:tc>
        <w:tc>
          <w:tcPr>
            <w:tcW w:w="4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3,720,424</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4,904,498</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2,715,910</w:t>
            </w:r>
          </w:p>
        </w:tc>
        <w:tc>
          <w:tcPr>
            <w:tcW w:w="8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r>
      <w:tr>
        <w:trPr>
          <w:trHeight w:val="257"/>
        </w:trPr>
        <w:tc>
          <w:tcPr>
            <w:tcW w:w="2720" w:type="dxa"/>
            <w:vAlign w:val="bottom"/>
            <w:gridSpan w:val="11"/>
          </w:tcPr>
          <w:p>
            <w:pPr>
              <w:ind w:left="20"/>
              <w:spacing w:after="0" w:line="256" w:lineRule="exact"/>
              <w:rPr>
                <w:sz w:val="20"/>
                <w:szCs w:val="20"/>
                <w:color w:val="auto"/>
              </w:rPr>
            </w:pPr>
            <w:r>
              <w:rPr>
                <w:rFonts w:ascii="Arial" w:cs="Arial" w:eastAsia="Arial" w:hAnsi="Arial"/>
                <w:sz w:val="18"/>
                <w:szCs w:val="18"/>
                <w:color w:val="auto"/>
              </w:rPr>
              <w:t>Preferred shares, Series A-3</w:t>
            </w:r>
            <w:r>
              <w:rPr>
                <w:rFonts w:ascii="Arial" w:cs="Arial" w:eastAsia="Arial" w:hAnsi="Arial"/>
                <w:sz w:val="29"/>
                <w:szCs w:val="29"/>
                <w:color w:val="auto"/>
                <w:vertAlign w:val="superscript"/>
              </w:rPr>
              <w:t>(14)</w:t>
            </w:r>
          </w:p>
        </w:tc>
        <w:tc>
          <w:tcPr>
            <w:tcW w:w="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1,561,625</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2,005,730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952,591</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0.50%</w:t>
            </w:r>
          </w:p>
        </w:tc>
      </w:tr>
      <w:tr>
        <w:trPr>
          <w:trHeight w:val="257"/>
        </w:trPr>
        <w:tc>
          <w:tcPr>
            <w:tcW w:w="2720" w:type="dxa"/>
            <w:vAlign w:val="bottom"/>
            <w:gridSpan w:val="11"/>
            <w:shd w:val="clear" w:color="auto" w:fill="CCEEFF"/>
          </w:tcPr>
          <w:p>
            <w:pPr>
              <w:ind w:left="20"/>
              <w:spacing w:after="0" w:line="256" w:lineRule="exact"/>
              <w:rPr>
                <w:sz w:val="20"/>
                <w:szCs w:val="20"/>
                <w:color w:val="auto"/>
              </w:rPr>
            </w:pPr>
            <w:r>
              <w:rPr>
                <w:rFonts w:ascii="Arial" w:cs="Arial" w:eastAsia="Arial" w:hAnsi="Arial"/>
                <w:sz w:val="18"/>
                <w:szCs w:val="18"/>
                <w:color w:val="auto"/>
              </w:rPr>
              <w:t>Preferred shares, Series A-2</w:t>
            </w:r>
            <w:r>
              <w:rPr>
                <w:rFonts w:ascii="Arial" w:cs="Arial" w:eastAsia="Arial" w:hAnsi="Arial"/>
                <w:sz w:val="29"/>
                <w:szCs w:val="29"/>
                <w:color w:val="auto"/>
                <w:vertAlign w:val="superscript"/>
              </w:rPr>
              <w:t>(14)</w:t>
            </w:r>
          </w:p>
        </w:tc>
        <w:tc>
          <w:tcPr>
            <w:tcW w:w="4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450,001</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605,500</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166,500</w:t>
            </w:r>
          </w:p>
        </w:tc>
        <w:tc>
          <w:tcPr>
            <w:tcW w:w="8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r>
      <w:tr>
        <w:trPr>
          <w:trHeight w:val="257"/>
        </w:trPr>
        <w:tc>
          <w:tcPr>
            <w:tcW w:w="2720" w:type="dxa"/>
            <w:vAlign w:val="bottom"/>
            <w:gridSpan w:val="11"/>
          </w:tcPr>
          <w:p>
            <w:pPr>
              <w:ind w:left="20"/>
              <w:spacing w:after="0" w:line="256" w:lineRule="exact"/>
              <w:rPr>
                <w:sz w:val="20"/>
                <w:szCs w:val="20"/>
                <w:color w:val="auto"/>
              </w:rPr>
            </w:pPr>
            <w:r>
              <w:rPr>
                <w:rFonts w:ascii="Arial" w:cs="Arial" w:eastAsia="Arial" w:hAnsi="Arial"/>
                <w:sz w:val="18"/>
                <w:szCs w:val="18"/>
                <w:color w:val="auto"/>
              </w:rPr>
              <w:t>Preferred shares, Series A-1</w:t>
            </w:r>
            <w:r>
              <w:rPr>
                <w:rFonts w:ascii="Arial" w:cs="Arial" w:eastAsia="Arial" w:hAnsi="Arial"/>
                <w:sz w:val="29"/>
                <w:szCs w:val="29"/>
                <w:color w:val="auto"/>
                <w:vertAlign w:val="superscript"/>
              </w:rPr>
              <w:t>(14)</w:t>
            </w:r>
          </w:p>
        </w:tc>
        <w:tc>
          <w:tcPr>
            <w:tcW w:w="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1,000,000</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1,021,778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270,000</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0.14%</w:t>
            </w:r>
          </w:p>
        </w:tc>
      </w:tr>
      <w:tr>
        <w:trPr>
          <w:trHeight w:val="216"/>
        </w:trPr>
        <w:tc>
          <w:tcPr>
            <w:tcW w:w="272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r>
      <w:tr>
        <w:trPr>
          <w:trHeight w:val="202"/>
        </w:trPr>
        <w:tc>
          <w:tcPr>
            <w:tcW w:w="2720" w:type="dxa"/>
            <w:vAlign w:val="bottom"/>
            <w:gridSpan w:val="11"/>
          </w:tcPr>
          <w:p>
            <w:pPr>
              <w:ind w:left="20"/>
              <w:spacing w:after="0" w:line="201" w:lineRule="exact"/>
              <w:rPr>
                <w:sz w:val="20"/>
                <w:szCs w:val="20"/>
                <w:color w:val="auto"/>
              </w:rPr>
            </w:pPr>
            <w:r>
              <w:rPr>
                <w:rFonts w:ascii="Arial" w:cs="Arial" w:eastAsia="Arial" w:hAnsi="Arial"/>
                <w:sz w:val="18"/>
                <w:szCs w:val="18"/>
                <w:color w:val="auto"/>
              </w:rPr>
              <w:t>Preferred warrants, Series A-3 –</w:t>
            </w: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9"/>
          </w:tcPr>
          <w:p>
            <w:pPr>
              <w:ind w:left="40"/>
              <w:spacing w:after="0"/>
              <w:rPr>
                <w:sz w:val="20"/>
                <w:szCs w:val="20"/>
                <w:color w:val="auto"/>
              </w:rPr>
            </w:pPr>
            <w:r>
              <w:rPr>
                <w:rFonts w:ascii="Arial" w:cs="Arial" w:eastAsia="Arial" w:hAnsi="Arial"/>
                <w:sz w:val="18"/>
                <w:szCs w:val="18"/>
                <w:color w:val="auto"/>
              </w:rPr>
              <w:t>$1.33 Strike Price, Expiration</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00" w:type="dxa"/>
            <w:vAlign w:val="bottom"/>
            <w:gridSpan w:val="10"/>
          </w:tcPr>
          <w:p>
            <w:pPr>
              <w:ind w:left="180"/>
              <w:spacing w:after="0"/>
              <w:rPr>
                <w:sz w:val="20"/>
                <w:szCs w:val="20"/>
                <w:color w:val="auto"/>
              </w:rPr>
            </w:pPr>
            <w:r>
              <w:rPr>
                <w:rFonts w:ascii="Arial" w:cs="Arial" w:eastAsia="Arial" w:hAnsi="Arial"/>
                <w:sz w:val="18"/>
                <w:szCs w:val="18"/>
                <w:color w:val="auto"/>
              </w:rPr>
              <w:t>Date 4/4/2019</w:t>
            </w:r>
          </w:p>
        </w:tc>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187,500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5,625</w:t>
            </w:r>
          </w:p>
        </w:tc>
        <w:tc>
          <w:tcPr>
            <w:tcW w:w="1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02"/>
        </w:trPr>
        <w:tc>
          <w:tcPr>
            <w:tcW w:w="2720" w:type="dxa"/>
            <w:vAlign w:val="bottom"/>
            <w:gridSpan w:val="11"/>
            <w:shd w:val="clear" w:color="auto" w:fill="CCEEFF"/>
          </w:tcPr>
          <w:p>
            <w:pPr>
              <w:ind w:left="20"/>
              <w:spacing w:after="0" w:line="201" w:lineRule="exact"/>
              <w:rPr>
                <w:sz w:val="20"/>
                <w:szCs w:val="20"/>
                <w:color w:val="auto"/>
              </w:rPr>
            </w:pPr>
            <w:r>
              <w:rPr>
                <w:rFonts w:ascii="Arial" w:cs="Arial" w:eastAsia="Arial" w:hAnsi="Arial"/>
                <w:sz w:val="18"/>
                <w:szCs w:val="18"/>
                <w:color w:val="auto"/>
              </w:rPr>
              <w:t>Preferred warrants, Series A-4 –</w:t>
            </w:r>
          </w:p>
        </w:tc>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520" w:type="dxa"/>
            <w:vAlign w:val="bottom"/>
            <w:gridSpan w:val="9"/>
            <w:shd w:val="clear" w:color="auto" w:fill="CCEEFF"/>
          </w:tcPr>
          <w:p>
            <w:pPr>
              <w:ind w:left="40"/>
              <w:spacing w:after="0"/>
              <w:rPr>
                <w:sz w:val="20"/>
                <w:szCs w:val="20"/>
                <w:color w:val="auto"/>
              </w:rPr>
            </w:pPr>
            <w:r>
              <w:rPr>
                <w:rFonts w:ascii="Arial" w:cs="Arial" w:eastAsia="Arial" w:hAnsi="Arial"/>
                <w:sz w:val="18"/>
                <w:szCs w:val="18"/>
                <w:color w:val="auto"/>
              </w:rPr>
              <w:t>$1.33 Strike Price, Expiration</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20" w:type="dxa"/>
            <w:vAlign w:val="bottom"/>
            <w:shd w:val="clear" w:color="auto" w:fill="CCEEFF"/>
          </w:tcPr>
          <w:p>
            <w:pPr>
              <w:spacing w:after="0"/>
              <w:rPr>
                <w:sz w:val="20"/>
                <w:szCs w:val="20"/>
                <w:color w:val="auto"/>
              </w:rPr>
            </w:pPr>
          </w:p>
        </w:tc>
        <w:tc>
          <w:tcPr>
            <w:tcW w:w="2700" w:type="dxa"/>
            <w:vAlign w:val="bottom"/>
            <w:gridSpan w:val="10"/>
            <w:shd w:val="clear" w:color="auto" w:fill="CCEEFF"/>
          </w:tcPr>
          <w:p>
            <w:pPr>
              <w:ind w:left="180"/>
              <w:spacing w:after="0"/>
              <w:rPr>
                <w:sz w:val="20"/>
                <w:szCs w:val="20"/>
                <w:color w:val="auto"/>
              </w:rPr>
            </w:pPr>
            <w:r>
              <w:rPr>
                <w:rFonts w:ascii="Arial" w:cs="Arial" w:eastAsia="Arial" w:hAnsi="Arial"/>
                <w:sz w:val="18"/>
                <w:szCs w:val="18"/>
                <w:color w:val="auto"/>
              </w:rPr>
              <w:t>Date 10/6/2019</w:t>
            </w:r>
          </w:p>
        </w:tc>
        <w:tc>
          <w:tcPr>
            <w:tcW w:w="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8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r>
      <w:tr>
        <w:trPr>
          <w:trHeight w:val="202"/>
        </w:trPr>
        <w:tc>
          <w:tcPr>
            <w:tcW w:w="2720" w:type="dxa"/>
            <w:vAlign w:val="bottom"/>
            <w:gridSpan w:val="11"/>
          </w:tcPr>
          <w:p>
            <w:pPr>
              <w:ind w:left="20"/>
              <w:spacing w:after="0" w:line="201" w:lineRule="exact"/>
              <w:rPr>
                <w:sz w:val="20"/>
                <w:szCs w:val="20"/>
                <w:color w:val="auto"/>
              </w:rPr>
            </w:pPr>
            <w:r>
              <w:rPr>
                <w:rFonts w:ascii="Arial" w:cs="Arial" w:eastAsia="Arial" w:hAnsi="Arial"/>
                <w:sz w:val="18"/>
                <w:szCs w:val="18"/>
                <w:color w:val="auto"/>
              </w:rPr>
              <w:t>Preferred warrants, Series A-4 –</w:t>
            </w: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9"/>
          </w:tcPr>
          <w:p>
            <w:pPr>
              <w:ind w:left="40"/>
              <w:spacing w:after="0"/>
              <w:rPr>
                <w:sz w:val="20"/>
                <w:szCs w:val="20"/>
                <w:color w:val="auto"/>
              </w:rPr>
            </w:pPr>
            <w:r>
              <w:rPr>
                <w:rFonts w:ascii="Arial" w:cs="Arial" w:eastAsia="Arial" w:hAnsi="Arial"/>
                <w:sz w:val="18"/>
                <w:szCs w:val="18"/>
                <w:color w:val="auto"/>
              </w:rPr>
              <w:t>$1.33 Strike Price, Expiration</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00" w:type="dxa"/>
            <w:vAlign w:val="bottom"/>
            <w:gridSpan w:val="10"/>
          </w:tcPr>
          <w:p>
            <w:pPr>
              <w:ind w:left="180"/>
              <w:spacing w:after="0"/>
              <w:rPr>
                <w:sz w:val="20"/>
                <w:szCs w:val="20"/>
                <w:color w:val="auto"/>
              </w:rPr>
            </w:pPr>
            <w:r>
              <w:rPr>
                <w:rFonts w:ascii="Arial" w:cs="Arial" w:eastAsia="Arial" w:hAnsi="Arial"/>
                <w:sz w:val="18"/>
                <w:szCs w:val="18"/>
                <w:color w:val="auto"/>
              </w:rPr>
              <w:t>Date 7/18/2021</w:t>
            </w:r>
          </w:p>
        </w:tc>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74,380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22,500</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0.01%</w:t>
            </w:r>
          </w:p>
        </w:tc>
      </w:tr>
      <w:tr>
        <w:trPr>
          <w:trHeight w:val="202"/>
        </w:trPr>
        <w:tc>
          <w:tcPr>
            <w:tcW w:w="2720" w:type="dxa"/>
            <w:vAlign w:val="bottom"/>
            <w:gridSpan w:val="11"/>
            <w:shd w:val="clear" w:color="auto" w:fill="CCEEFF"/>
          </w:tcPr>
          <w:p>
            <w:pPr>
              <w:ind w:left="20"/>
              <w:spacing w:after="0" w:line="201" w:lineRule="exact"/>
              <w:rPr>
                <w:sz w:val="20"/>
                <w:szCs w:val="20"/>
                <w:color w:val="auto"/>
              </w:rPr>
            </w:pPr>
            <w:r>
              <w:rPr>
                <w:rFonts w:ascii="Arial" w:cs="Arial" w:eastAsia="Arial" w:hAnsi="Arial"/>
                <w:sz w:val="18"/>
                <w:szCs w:val="18"/>
                <w:color w:val="auto"/>
              </w:rPr>
              <w:t>Preferred warrants, Series A-4 –</w:t>
            </w:r>
          </w:p>
        </w:tc>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520" w:type="dxa"/>
            <w:vAlign w:val="bottom"/>
            <w:gridSpan w:val="9"/>
            <w:shd w:val="clear" w:color="auto" w:fill="CCEEFF"/>
          </w:tcPr>
          <w:p>
            <w:pPr>
              <w:ind w:left="40"/>
              <w:spacing w:after="0"/>
              <w:rPr>
                <w:sz w:val="20"/>
                <w:szCs w:val="20"/>
                <w:color w:val="auto"/>
              </w:rPr>
            </w:pPr>
            <w:r>
              <w:rPr>
                <w:rFonts w:ascii="Arial" w:cs="Arial" w:eastAsia="Arial" w:hAnsi="Arial"/>
                <w:sz w:val="18"/>
                <w:szCs w:val="18"/>
                <w:color w:val="auto"/>
              </w:rPr>
              <w:t>$1.33 Strike Price, Expiration</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20" w:type="dxa"/>
            <w:vAlign w:val="bottom"/>
            <w:shd w:val="clear" w:color="auto" w:fill="CCEEFF"/>
          </w:tcPr>
          <w:p>
            <w:pPr>
              <w:spacing w:after="0"/>
              <w:rPr>
                <w:sz w:val="20"/>
                <w:szCs w:val="20"/>
                <w:color w:val="auto"/>
              </w:rPr>
            </w:pPr>
          </w:p>
        </w:tc>
        <w:tc>
          <w:tcPr>
            <w:tcW w:w="2700" w:type="dxa"/>
            <w:vAlign w:val="bottom"/>
            <w:gridSpan w:val="10"/>
            <w:shd w:val="clear" w:color="auto" w:fill="CCEEFF"/>
          </w:tcPr>
          <w:p>
            <w:pPr>
              <w:ind w:left="180"/>
              <w:spacing w:after="0"/>
              <w:rPr>
                <w:sz w:val="20"/>
                <w:szCs w:val="20"/>
                <w:color w:val="auto"/>
              </w:rPr>
            </w:pPr>
            <w:r>
              <w:rPr>
                <w:rFonts w:ascii="Arial" w:cs="Arial" w:eastAsia="Arial" w:hAnsi="Arial"/>
                <w:sz w:val="18"/>
                <w:szCs w:val="18"/>
                <w:color w:val="auto"/>
              </w:rPr>
              <w:t>Date 11/29/2021</w:t>
            </w:r>
          </w:p>
        </w:tc>
        <w:tc>
          <w:tcPr>
            <w:tcW w:w="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29,275</w:t>
            </w:r>
          </w:p>
        </w:tc>
        <w:tc>
          <w:tcPr>
            <w:tcW w:w="100" w:type="dxa"/>
            <w:vAlign w:val="bottom"/>
            <w:tcBorders>
              <w:left w:val="single" w:sz="8" w:color="CCEEFF"/>
            </w:tcBorders>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Borders>
              <w:left w:val="single" w:sz="8" w:color="CCEEFF"/>
            </w:tcBorders>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gridSpan w:val="10"/>
          </w:tcPr>
          <w:p>
            <w:pPr>
              <w:ind w:left="18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9,601,555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5,106,751</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2.65%</w:t>
            </w:r>
          </w:p>
        </w:tc>
      </w:tr>
      <w:tr>
        <w:trPr>
          <w:trHeight w:val="210"/>
        </w:trPr>
        <w:tc>
          <w:tcPr>
            <w:tcW w:w="2720" w:type="dxa"/>
            <w:vAlign w:val="bottom"/>
            <w:gridSpan w:val="11"/>
            <w:shd w:val="clear" w:color="auto" w:fill="CCEEFF"/>
          </w:tcPr>
          <w:p>
            <w:pPr>
              <w:ind w:left="20"/>
              <w:spacing w:after="0" w:line="210" w:lineRule="exact"/>
              <w:rPr>
                <w:sz w:val="20"/>
                <w:szCs w:val="20"/>
                <w:color w:val="auto"/>
              </w:rPr>
            </w:pPr>
            <w:r>
              <w:rPr>
                <w:rFonts w:ascii="Arial" w:cs="Arial" w:eastAsia="Arial" w:hAnsi="Arial"/>
                <w:sz w:val="15"/>
                <w:szCs w:val="15"/>
                <w:b w:val="1"/>
                <w:bCs w:val="1"/>
                <w:color w:val="auto"/>
              </w:rPr>
              <w:t>Whittle Schools, LLC</w:t>
            </w:r>
            <w:r>
              <w:rPr>
                <w:rFonts w:ascii="Arial" w:cs="Arial" w:eastAsia="Arial" w:hAnsi="Arial"/>
                <w:sz w:val="24"/>
                <w:szCs w:val="24"/>
                <w:b w:val="1"/>
                <w:bCs w:val="1"/>
                <w:color w:val="auto"/>
                <w:vertAlign w:val="superscript"/>
              </w:rPr>
              <w:t>(1)(5)</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New York, NY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720" w:type="dxa"/>
            <w:vAlign w:val="bottom"/>
            <w:gridSpan w:val="11"/>
          </w:tcPr>
          <w:p>
            <w:pPr>
              <w:ind w:left="20"/>
              <w:spacing w:after="0"/>
              <w:rPr>
                <w:sz w:val="20"/>
                <w:szCs w:val="20"/>
                <w:color w:val="auto"/>
              </w:rPr>
            </w:pPr>
            <w:r>
              <w:rPr>
                <w:rFonts w:ascii="Arial" w:cs="Arial" w:eastAsia="Arial" w:hAnsi="Arial"/>
                <w:sz w:val="18"/>
                <w:szCs w:val="18"/>
                <w:color w:val="auto"/>
              </w:rPr>
              <w:t>Preferred shares, Series B</w:t>
            </w:r>
          </w:p>
        </w:tc>
        <w:tc>
          <w:tcPr>
            <w:tcW w:w="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Globally-focused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3,000,000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3,000,000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1.56%</w:t>
            </w:r>
          </w:p>
        </w:tc>
      </w:tr>
      <w:tr>
        <w:trPr>
          <w:trHeight w:val="216"/>
        </w:trPr>
        <w:tc>
          <w:tcPr>
            <w:tcW w:w="272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Private School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1,577,097</w:t>
            </w: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1,500,000</w:t>
            </w:r>
          </w:p>
        </w:tc>
        <w:tc>
          <w:tcPr>
            <w:tcW w:w="8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0.78%</w:t>
            </w: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gridSpan w:val="10"/>
          </w:tcPr>
          <w:p>
            <w:pPr>
              <w:ind w:left="18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4,577,097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4,500,000</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2.34%</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-6594475</wp:posOffset>
            </wp:positionV>
            <wp:extent cx="5291455"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9145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-5307965</wp:posOffset>
            </wp:positionV>
            <wp:extent cx="529145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9145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-4741545</wp:posOffset>
            </wp:positionV>
            <wp:extent cx="5291455"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9145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-4038600</wp:posOffset>
            </wp:positionV>
            <wp:extent cx="5291455" cy="308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91455" cy="3086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-745490</wp:posOffset>
            </wp:positionV>
            <wp:extent cx="529145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9145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-153670</wp:posOffset>
            </wp:positionV>
            <wp:extent cx="5291455"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91455" cy="15430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937" w:gutter="0" w:footer="0" w:header="0"/>
        </w:sectPr>
      </w:pPr>
    </w:p>
    <w:bookmarkStart w:id="17" w:name="page18"/>
    <w:bookmarkEnd w:id="1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-36195</wp:posOffset>
            </wp:positionV>
            <wp:extent cx="51885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0"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32"/>
              <w:spacing w:after="0"/>
              <w:rPr>
                <w:sz w:val="20"/>
                <w:szCs w:val="20"/>
                <w:color w:val="auto"/>
              </w:rPr>
            </w:pPr>
            <w:r>
              <w:rPr>
                <w:rFonts w:ascii="Arial" w:cs="Arial" w:eastAsia="Arial" w:hAnsi="Arial"/>
                <w:sz w:val="13"/>
                <w:szCs w:val="13"/>
                <w:b w:val="1"/>
                <w:bCs w:val="1"/>
                <w:color w:val="auto"/>
              </w:rPr>
              <w:t>Shares/</w:t>
            </w: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720" w:type="dxa"/>
            <w:vAlign w:val="bottom"/>
            <w:tcBorders>
              <w:bottom w:val="single" w:sz="8" w:color="auto"/>
            </w:tcBorders>
            <w:gridSpan w:val="13"/>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4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3"/>
                <w:szCs w:val="13"/>
                <w:b w:val="1"/>
                <w:bCs w:val="1"/>
                <w:color w:val="auto"/>
              </w:rPr>
              <w:t>Principal</w:t>
            </w:r>
          </w:p>
        </w:tc>
        <w:tc>
          <w:tcPr>
            <w:tcW w:w="94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Cost</w:t>
            </w: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Fair Value</w:t>
            </w: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92"/>
              </w:rPr>
              <w:t>Net Assets</w:t>
            </w:r>
          </w:p>
        </w:tc>
        <w:tc>
          <w:tcPr>
            <w:tcW w:w="0" w:type="dxa"/>
            <w:vAlign w:val="bottom"/>
          </w:tcPr>
          <w:p>
            <w:pPr>
              <w:spacing w:after="0"/>
              <w:rPr>
                <w:sz w:val="1"/>
                <w:szCs w:val="1"/>
                <w:color w:val="auto"/>
              </w:rPr>
            </w:pPr>
          </w:p>
        </w:tc>
      </w:tr>
      <w:tr>
        <w:trPr>
          <w:trHeight w:val="169"/>
        </w:trPr>
        <w:tc>
          <w:tcPr>
            <w:tcW w:w="2720" w:type="dxa"/>
            <w:vAlign w:val="bottom"/>
            <w:tcBorders>
              <w:left w:val="single" w:sz="8" w:color="CCEEFF"/>
            </w:tcBorders>
            <w:gridSpan w:val="13"/>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Snap Inc. (f/k/a Snapchat, Inc.)</w:t>
            </w: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3"/>
              </w:rPr>
              <w:t>Venice, CA</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720" w:type="dxa"/>
            <w:vAlign w:val="bottom"/>
            <w:gridSpan w:val="13"/>
          </w:tcPr>
          <w:p>
            <w:pPr>
              <w:ind w:left="20"/>
              <w:spacing w:after="0" w:line="256" w:lineRule="exact"/>
              <w:rPr>
                <w:sz w:val="20"/>
                <w:szCs w:val="20"/>
                <w:color w:val="auto"/>
              </w:rPr>
            </w:pPr>
            <w:r>
              <w:rPr>
                <w:rFonts w:ascii="Arial" w:cs="Arial" w:eastAsia="Arial" w:hAnsi="Arial"/>
                <w:sz w:val="18"/>
                <w:szCs w:val="18"/>
                <w:color w:val="auto"/>
              </w:rPr>
              <w:t>Preferred shares, Series F</w:t>
            </w:r>
            <w:r>
              <w:rPr>
                <w:rFonts w:ascii="Arial" w:cs="Arial" w:eastAsia="Arial" w:hAnsi="Arial"/>
                <w:sz w:val="29"/>
                <w:szCs w:val="29"/>
                <w:color w:val="auto"/>
                <w:vertAlign w:val="superscript"/>
              </w:rPr>
              <w:t>(17)</w:t>
            </w:r>
          </w:p>
        </w:tc>
        <w:tc>
          <w:tcPr>
            <w:tcW w:w="4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Social Communication</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130,208</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w w:val="90"/>
              </w:rPr>
              <w:t>$2,001,135</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88"/>
              </w:rPr>
              <w:t>$2,184,565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57"/>
        </w:trPr>
        <w:tc>
          <w:tcPr>
            <w:tcW w:w="2720" w:type="dxa"/>
            <w:vAlign w:val="bottom"/>
            <w:tcBorders>
              <w:left w:val="single" w:sz="8" w:color="CCEEFF"/>
            </w:tcBorders>
            <w:gridSpan w:val="13"/>
            <w:shd w:val="clear" w:color="auto" w:fill="CCEEFF"/>
          </w:tcPr>
          <w:p>
            <w:pPr>
              <w:ind w:left="20"/>
              <w:spacing w:after="0" w:line="256" w:lineRule="exact"/>
              <w:rPr>
                <w:sz w:val="20"/>
                <w:szCs w:val="20"/>
                <w:color w:val="auto"/>
              </w:rPr>
            </w:pPr>
            <w:r>
              <w:rPr>
                <w:rFonts w:ascii="Arial" w:cs="Arial" w:eastAsia="Arial" w:hAnsi="Arial"/>
                <w:sz w:val="18"/>
                <w:szCs w:val="18"/>
                <w:color w:val="auto"/>
              </w:rPr>
              <w:t>Common shares, Class A</w:t>
            </w:r>
            <w:r>
              <w:rPr>
                <w:rFonts w:ascii="Arial" w:cs="Arial" w:eastAsia="Arial" w:hAnsi="Arial"/>
                <w:sz w:val="29"/>
                <w:szCs w:val="29"/>
                <w:color w:val="auto"/>
                <w:vertAlign w:val="superscript"/>
              </w:rPr>
              <w:t>(17)</w:t>
            </w:r>
          </w:p>
        </w:tc>
        <w:tc>
          <w:tcPr>
            <w:tcW w:w="4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130,208</w:t>
            </w:r>
          </w:p>
        </w:tc>
        <w:tc>
          <w:tcPr>
            <w:tcW w:w="94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2,001,135</w:t>
            </w:r>
          </w:p>
        </w:tc>
        <w:tc>
          <w:tcPr>
            <w:tcW w:w="94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2,184,565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13"/>
          </w:tcPr>
          <w:p>
            <w:pPr>
              <w:ind w:left="20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4,002,270</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4,369,130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169"/>
        </w:trPr>
        <w:tc>
          <w:tcPr>
            <w:tcW w:w="2720" w:type="dxa"/>
            <w:vAlign w:val="bottom"/>
            <w:tcBorders>
              <w:left w:val="single" w:sz="8" w:color="CCEEFF"/>
            </w:tcBorders>
            <w:gridSpan w:val="13"/>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SPBRX, INC. (f/k/a GSV</w:t>
            </w: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20" w:type="dxa"/>
            <w:vAlign w:val="bottom"/>
            <w:tcBorders>
              <w:left w:val="single" w:sz="8" w:color="CCEEFF"/>
            </w:tcBorders>
            <w:gridSpan w:val="13"/>
            <w:shd w:val="clear" w:color="auto" w:fill="CCEEFF"/>
          </w:tcPr>
          <w:p>
            <w:pPr>
              <w:ind w:left="200"/>
              <w:spacing w:after="0" w:line="236" w:lineRule="exact"/>
              <w:rPr>
                <w:sz w:val="20"/>
                <w:szCs w:val="20"/>
                <w:color w:val="auto"/>
              </w:rPr>
            </w:pPr>
            <w:r>
              <w:rPr>
                <w:rFonts w:ascii="Arial" w:cs="Arial" w:eastAsia="Arial" w:hAnsi="Arial"/>
                <w:sz w:val="17"/>
                <w:szCs w:val="17"/>
                <w:b w:val="1"/>
                <w:bCs w:val="1"/>
                <w:color w:val="auto"/>
                <w:w w:val="99"/>
              </w:rPr>
              <w:t>Sustainability Partners, Inc.)</w:t>
            </w:r>
            <w:r>
              <w:rPr>
                <w:rFonts w:ascii="Arial" w:cs="Arial" w:eastAsia="Arial" w:hAnsi="Arial"/>
                <w:sz w:val="27"/>
                <w:szCs w:val="27"/>
                <w:b w:val="1"/>
                <w:bCs w:val="1"/>
                <w:color w:val="auto"/>
                <w:w w:val="99"/>
                <w:vertAlign w:val="superscript"/>
              </w:rPr>
              <w:t>(2)</w:t>
            </w:r>
          </w:p>
        </w:tc>
        <w:tc>
          <w:tcPr>
            <w:tcW w:w="40" w:type="dxa"/>
            <w:vAlign w:val="bottom"/>
            <w:shd w:val="clear" w:color="auto" w:fill="CCEEFF"/>
          </w:tcPr>
          <w:p>
            <w:pPr>
              <w:spacing w:after="0"/>
              <w:rPr>
                <w:sz w:val="20"/>
                <w:szCs w:val="20"/>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Woodside, CA</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gridSpan w:val="13"/>
          </w:tcPr>
          <w:p>
            <w:pPr>
              <w:ind w:left="20"/>
              <w:spacing w:after="0"/>
              <w:rPr>
                <w:sz w:val="20"/>
                <w:szCs w:val="20"/>
                <w:color w:val="auto"/>
              </w:rPr>
            </w:pPr>
            <w:r>
              <w:rPr>
                <w:rFonts w:ascii="Arial" w:cs="Arial" w:eastAsia="Arial" w:hAnsi="Arial"/>
                <w:sz w:val="18"/>
                <w:szCs w:val="18"/>
                <w:color w:val="auto"/>
              </w:rPr>
              <w:t>Preferred shares, Class A</w:t>
            </w:r>
          </w:p>
        </w:tc>
        <w:tc>
          <w:tcPr>
            <w:tcW w:w="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Clean Technology</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86"/>
              </w:rPr>
              <w:t>14,300,000</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7,151,412</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4,309,778</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720" w:type="dxa"/>
            <w:vAlign w:val="bottom"/>
            <w:tcBorders>
              <w:left w:val="single" w:sz="8" w:color="CCEEFF"/>
            </w:tcBorders>
            <w:gridSpan w:val="13"/>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w:t>
            </w:r>
          </w:p>
        </w:tc>
        <w:tc>
          <w:tcPr>
            <w:tcW w:w="94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c>
          <w:tcPr>
            <w:tcW w:w="94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13"/>
          </w:tcPr>
          <w:p>
            <w:pPr>
              <w:ind w:left="20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7,161,412</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4,309,778</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69"/>
        </w:trPr>
        <w:tc>
          <w:tcPr>
            <w:tcW w:w="2720" w:type="dxa"/>
            <w:vAlign w:val="bottom"/>
            <w:tcBorders>
              <w:left w:val="single" w:sz="8" w:color="CCEEFF"/>
            </w:tcBorders>
            <w:gridSpan w:val="13"/>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Parchment, Inc.</w:t>
            </w: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2"/>
              </w:rPr>
              <w:t>Scottsdale, AZ</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gridSpan w:val="13"/>
          </w:tcPr>
          <w:p>
            <w:pPr>
              <w:ind w:left="20"/>
              <w:spacing w:after="0"/>
              <w:rPr>
                <w:sz w:val="20"/>
                <w:szCs w:val="20"/>
                <w:color w:val="auto"/>
              </w:rPr>
            </w:pPr>
            <w:r>
              <w:rPr>
                <w:rFonts w:ascii="Arial" w:cs="Arial" w:eastAsia="Arial" w:hAnsi="Arial"/>
                <w:sz w:val="18"/>
                <w:szCs w:val="18"/>
                <w:color w:val="auto"/>
              </w:rPr>
              <w:t>Preferred shares, Series D</w:t>
            </w:r>
          </w:p>
        </w:tc>
        <w:tc>
          <w:tcPr>
            <w:tcW w:w="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E-Transcript Exchange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3,200,512</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4,000,982</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4,000,000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720" w:type="dxa"/>
            <w:vAlign w:val="bottom"/>
            <w:tcBorders>
              <w:left w:val="single" w:sz="8" w:color="CCEEFF"/>
            </w:tcBorders>
            <w:gridSpan w:val="13"/>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CUX, Inc. (d/b/a CorpU)</w:t>
            </w:r>
            <w:r>
              <w:rPr>
                <w:rFonts w:ascii="Arial" w:cs="Arial" w:eastAsia="Arial" w:hAnsi="Arial"/>
                <w:sz w:val="25"/>
                <w:szCs w:val="25"/>
                <w:b w:val="1"/>
                <w:bCs w:val="1"/>
                <w:color w:val="auto"/>
                <w:vertAlign w:val="superscript"/>
              </w:rPr>
              <w:t>(1)</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Philadelphia, PA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20" w:type="dxa"/>
            <w:vAlign w:val="bottom"/>
            <w:gridSpan w:val="13"/>
          </w:tcPr>
          <w:p>
            <w:pPr>
              <w:ind w:left="20"/>
              <w:spacing w:after="0" w:line="201" w:lineRule="exact"/>
              <w:rPr>
                <w:sz w:val="20"/>
                <w:szCs w:val="20"/>
                <w:color w:val="auto"/>
              </w:rPr>
            </w:pPr>
            <w:r>
              <w:rPr>
                <w:rFonts w:ascii="Arial" w:cs="Arial" w:eastAsia="Arial" w:hAnsi="Arial"/>
                <w:sz w:val="18"/>
                <w:szCs w:val="18"/>
                <w:color w:val="auto"/>
              </w:rPr>
              <w:t>Senior Subordinated Convertible</w:t>
            </w: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720" w:type="dxa"/>
            <w:vAlign w:val="bottom"/>
            <w:gridSpan w:val="13"/>
          </w:tcPr>
          <w:p>
            <w:pPr>
              <w:ind w:left="200"/>
              <w:spacing w:after="0"/>
              <w:rPr>
                <w:sz w:val="20"/>
                <w:szCs w:val="20"/>
                <w:color w:val="auto"/>
              </w:rPr>
            </w:pPr>
            <w:r>
              <w:rPr>
                <w:rFonts w:ascii="Arial" w:cs="Arial" w:eastAsia="Arial" w:hAnsi="Arial"/>
                <w:sz w:val="18"/>
                <w:szCs w:val="18"/>
                <w:color w:val="auto"/>
              </w:rPr>
              <w:t>Promissory Note 8%, Due</w:t>
            </w:r>
          </w:p>
        </w:tc>
        <w:tc>
          <w:tcPr>
            <w:tcW w:w="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680" w:type="dxa"/>
            <w:vAlign w:val="bottom"/>
            <w:gridSpan w:val="7"/>
          </w:tcPr>
          <w:p>
            <w:pPr>
              <w:ind w:left="200"/>
              <w:spacing w:after="0" w:line="266" w:lineRule="exact"/>
              <w:rPr>
                <w:sz w:val="20"/>
                <w:szCs w:val="20"/>
                <w:color w:val="auto"/>
              </w:rPr>
            </w:pPr>
            <w:r>
              <w:rPr>
                <w:rFonts w:ascii="Arial" w:cs="Arial" w:eastAsia="Arial" w:hAnsi="Arial"/>
                <w:sz w:val="18"/>
                <w:szCs w:val="18"/>
                <w:color w:val="auto"/>
              </w:rPr>
              <w:t>11/26/2018***</w:t>
            </w:r>
            <w:r>
              <w:rPr>
                <w:rFonts w:ascii="Arial" w:cs="Arial" w:eastAsia="Arial" w:hAnsi="Arial"/>
                <w:sz w:val="30"/>
                <w:szCs w:val="30"/>
                <w:color w:val="auto"/>
                <w:vertAlign w:val="superscript"/>
              </w:rPr>
              <w:t>(8)</w:t>
            </w: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Corporate Education</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1,166,400</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1,166,400</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1,166,400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2"/>
        </w:trPr>
        <w:tc>
          <w:tcPr>
            <w:tcW w:w="2720" w:type="dxa"/>
            <w:vAlign w:val="bottom"/>
            <w:tcBorders>
              <w:left w:val="single" w:sz="8" w:color="CCEEFF"/>
            </w:tcBorders>
            <w:gridSpan w:val="13"/>
            <w:shd w:val="clear" w:color="auto" w:fill="CCEEFF"/>
          </w:tcPr>
          <w:p>
            <w:pPr>
              <w:ind w:left="20"/>
              <w:spacing w:after="0" w:line="201" w:lineRule="exact"/>
              <w:rPr>
                <w:sz w:val="20"/>
                <w:szCs w:val="20"/>
                <w:color w:val="auto"/>
              </w:rPr>
            </w:pPr>
            <w:r>
              <w:rPr>
                <w:rFonts w:ascii="Arial" w:cs="Arial" w:eastAsia="Arial" w:hAnsi="Arial"/>
                <w:sz w:val="18"/>
                <w:szCs w:val="18"/>
                <w:color w:val="auto"/>
                <w:w w:val="92"/>
              </w:rPr>
              <w:t>Convertible preferred shares, Series</w:t>
            </w:r>
          </w:p>
        </w:tc>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tcBorders>
              <w:left w:val="single" w:sz="8" w:color="CCEEFF"/>
            </w:tcBorders>
            <w:gridSpan w:val="13"/>
            <w:shd w:val="clear" w:color="auto" w:fill="CCEEFF"/>
          </w:tcPr>
          <w:p>
            <w:pPr>
              <w:ind w:left="200"/>
              <w:spacing w:after="0"/>
              <w:rPr>
                <w:sz w:val="20"/>
                <w:szCs w:val="20"/>
                <w:color w:val="auto"/>
              </w:rPr>
            </w:pPr>
            <w:r>
              <w:rPr>
                <w:rFonts w:ascii="Arial" w:cs="Arial" w:eastAsia="Arial" w:hAnsi="Arial"/>
                <w:sz w:val="18"/>
                <w:szCs w:val="18"/>
                <w:color w:val="auto"/>
              </w:rPr>
              <w:t>D</w:t>
            </w:r>
          </w:p>
        </w:tc>
        <w:tc>
          <w:tcPr>
            <w:tcW w:w="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169,033</w:t>
            </w:r>
          </w:p>
        </w:tc>
        <w:tc>
          <w:tcPr>
            <w:tcW w:w="94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778,607</w:t>
            </w:r>
          </w:p>
        </w:tc>
        <w:tc>
          <w:tcPr>
            <w:tcW w:w="94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775,861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2"/>
        </w:trPr>
        <w:tc>
          <w:tcPr>
            <w:tcW w:w="2720" w:type="dxa"/>
            <w:vAlign w:val="bottom"/>
            <w:gridSpan w:val="13"/>
          </w:tcPr>
          <w:p>
            <w:pPr>
              <w:ind w:left="20"/>
              <w:spacing w:after="0" w:line="201" w:lineRule="exact"/>
              <w:rPr>
                <w:sz w:val="20"/>
                <w:szCs w:val="20"/>
                <w:color w:val="auto"/>
              </w:rPr>
            </w:pPr>
            <w:r>
              <w:rPr>
                <w:rFonts w:ascii="Arial" w:cs="Arial" w:eastAsia="Arial" w:hAnsi="Arial"/>
                <w:sz w:val="18"/>
                <w:szCs w:val="18"/>
                <w:color w:val="auto"/>
                <w:w w:val="92"/>
              </w:rPr>
              <w:t>Convertible preferred shares, Series</w:t>
            </w: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gridSpan w:val="13"/>
          </w:tcPr>
          <w:p>
            <w:pPr>
              <w:ind w:left="200"/>
              <w:spacing w:after="0"/>
              <w:rPr>
                <w:sz w:val="20"/>
                <w:szCs w:val="20"/>
                <w:color w:val="auto"/>
              </w:rPr>
            </w:pPr>
            <w:r>
              <w:rPr>
                <w:rFonts w:ascii="Arial" w:cs="Arial" w:eastAsia="Arial" w:hAnsi="Arial"/>
                <w:sz w:val="18"/>
                <w:szCs w:val="18"/>
                <w:color w:val="auto"/>
              </w:rPr>
              <w:t>C</w:t>
            </w:r>
          </w:p>
        </w:tc>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615,763</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2,006,077</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1,913,484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720" w:type="dxa"/>
            <w:vAlign w:val="bottom"/>
            <w:tcBorders>
              <w:left w:val="single" w:sz="8" w:color="CCEEFF"/>
            </w:tcBorders>
            <w:gridSpan w:val="13"/>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Preferred warrants, Series D, $4.59</w:t>
            </w:r>
          </w:p>
        </w:tc>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tcBorders>
              <w:left w:val="single" w:sz="8" w:color="CCEEFF"/>
            </w:tcBorders>
            <w:gridSpan w:val="13"/>
            <w:shd w:val="clear" w:color="auto" w:fill="CCEEFF"/>
          </w:tcPr>
          <w:p>
            <w:pPr>
              <w:ind w:left="200"/>
              <w:spacing w:after="0"/>
              <w:rPr>
                <w:sz w:val="20"/>
                <w:szCs w:val="20"/>
                <w:color w:val="auto"/>
              </w:rPr>
            </w:pPr>
            <w:r>
              <w:rPr>
                <w:rFonts w:ascii="Arial" w:cs="Arial" w:eastAsia="Arial" w:hAnsi="Arial"/>
                <w:sz w:val="18"/>
                <w:szCs w:val="18"/>
                <w:color w:val="auto"/>
              </w:rPr>
              <w:t>Strike Price, Expiration Date</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2/25/2018</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16,903</w:t>
            </w:r>
          </w:p>
        </w:tc>
        <w:tc>
          <w:tcPr>
            <w:tcW w:w="94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13"/>
          </w:tcPr>
          <w:p>
            <w:pPr>
              <w:ind w:left="20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3,951,084</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3,860,140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69"/>
        </w:trPr>
        <w:tc>
          <w:tcPr>
            <w:tcW w:w="2720" w:type="dxa"/>
            <w:vAlign w:val="bottom"/>
            <w:tcBorders>
              <w:left w:val="single" w:sz="8" w:color="CCEEFF"/>
            </w:tcBorders>
            <w:gridSpan w:val="13"/>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Knewton, Inc.</w:t>
            </w: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5"/>
              </w:rPr>
              <w:t>New York, NY</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gridSpan w:val="13"/>
          </w:tcPr>
          <w:p>
            <w:pPr>
              <w:ind w:left="20"/>
              <w:spacing w:after="0"/>
              <w:rPr>
                <w:sz w:val="20"/>
                <w:szCs w:val="20"/>
                <w:color w:val="auto"/>
              </w:rPr>
            </w:pPr>
            <w:r>
              <w:rPr>
                <w:rFonts w:ascii="Arial" w:cs="Arial" w:eastAsia="Arial" w:hAnsi="Arial"/>
                <w:sz w:val="18"/>
                <w:szCs w:val="18"/>
                <w:color w:val="auto"/>
              </w:rPr>
              <w:t>Preferred shares, Series E</w:t>
            </w:r>
          </w:p>
        </w:tc>
        <w:tc>
          <w:tcPr>
            <w:tcW w:w="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Online Education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375,985</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4,999,999</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3,782,409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76"/>
        </w:trPr>
        <w:tc>
          <w:tcPr>
            <w:tcW w:w="2720" w:type="dxa"/>
            <w:vAlign w:val="bottom"/>
            <w:tcBorders>
              <w:left w:val="single" w:sz="8" w:color="CCEEFF"/>
            </w:tcBorders>
            <w:gridSpan w:val="13"/>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DogVacay, Inc.</w:t>
            </w:r>
          </w:p>
        </w:tc>
        <w:tc>
          <w:tcPr>
            <w:tcW w:w="4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Santa Monica, CA</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20" w:type="dxa"/>
            <w:vAlign w:val="bottom"/>
            <w:gridSpan w:val="13"/>
          </w:tcPr>
          <w:p>
            <w:pPr>
              <w:ind w:left="20"/>
              <w:spacing w:after="0" w:line="201" w:lineRule="exact"/>
              <w:rPr>
                <w:sz w:val="20"/>
                <w:szCs w:val="20"/>
                <w:color w:val="auto"/>
              </w:rPr>
            </w:pPr>
            <w:r>
              <w:rPr>
                <w:rFonts w:ascii="Arial" w:cs="Arial" w:eastAsia="Arial" w:hAnsi="Arial"/>
                <w:sz w:val="18"/>
                <w:szCs w:val="18"/>
                <w:color w:val="auto"/>
              </w:rPr>
              <w:t>Preferred shares, Series B-1</w:t>
            </w:r>
          </w:p>
        </w:tc>
        <w:tc>
          <w:tcPr>
            <w:tcW w:w="40" w:type="dxa"/>
            <w:vAlign w:val="bottom"/>
          </w:tcPr>
          <w:p>
            <w:pPr>
              <w:spacing w:after="0"/>
              <w:rPr>
                <w:sz w:val="17"/>
                <w:szCs w:val="17"/>
                <w:color w:val="auto"/>
              </w:rPr>
            </w:pP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85"/>
              </w:rPr>
              <w:t>Peer-to-Peer Pet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Services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514,562</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2,506,119</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2,500,771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76"/>
        </w:trPr>
        <w:tc>
          <w:tcPr>
            <w:tcW w:w="2720" w:type="dxa"/>
            <w:vAlign w:val="bottom"/>
            <w:tcBorders>
              <w:left w:val="single" w:sz="8" w:color="CCEEFF"/>
            </w:tcBorders>
            <w:gridSpan w:val="13"/>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SharesPost, Inc.</w:t>
            </w:r>
          </w:p>
        </w:tc>
        <w:tc>
          <w:tcPr>
            <w:tcW w:w="4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San Bruno, CA</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20" w:type="dxa"/>
            <w:vAlign w:val="bottom"/>
            <w:gridSpan w:val="13"/>
          </w:tcPr>
          <w:p>
            <w:pPr>
              <w:ind w:left="20"/>
              <w:spacing w:after="0" w:line="201" w:lineRule="exact"/>
              <w:rPr>
                <w:sz w:val="20"/>
                <w:szCs w:val="20"/>
                <w:color w:val="auto"/>
              </w:rPr>
            </w:pPr>
            <w:r>
              <w:rPr>
                <w:rFonts w:ascii="Arial" w:cs="Arial" w:eastAsia="Arial" w:hAnsi="Arial"/>
                <w:sz w:val="18"/>
                <w:szCs w:val="18"/>
                <w:color w:val="auto"/>
              </w:rPr>
              <w:t>Preferred shares, Series B</w:t>
            </w:r>
          </w:p>
        </w:tc>
        <w:tc>
          <w:tcPr>
            <w:tcW w:w="40" w:type="dxa"/>
            <w:vAlign w:val="bottom"/>
          </w:tcPr>
          <w:p>
            <w:pPr>
              <w:spacing w:after="0"/>
              <w:rPr>
                <w:sz w:val="17"/>
                <w:szCs w:val="17"/>
                <w:color w:val="auto"/>
              </w:rPr>
            </w:pP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92"/>
              </w:rPr>
              <w:t>Online Marketplace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Finance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1,771,653</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2,259,716</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2,249,999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2"/>
        </w:trPr>
        <w:tc>
          <w:tcPr>
            <w:tcW w:w="2720" w:type="dxa"/>
            <w:vAlign w:val="bottom"/>
            <w:tcBorders>
              <w:left w:val="single" w:sz="8" w:color="CCEEFF"/>
            </w:tcBorders>
            <w:gridSpan w:val="13"/>
            <w:shd w:val="clear" w:color="auto" w:fill="CCEEFF"/>
          </w:tcPr>
          <w:p>
            <w:pPr>
              <w:ind w:left="20"/>
              <w:spacing w:after="0" w:line="201" w:lineRule="exact"/>
              <w:rPr>
                <w:sz w:val="20"/>
                <w:szCs w:val="20"/>
                <w:color w:val="auto"/>
              </w:rPr>
            </w:pPr>
            <w:r>
              <w:rPr>
                <w:rFonts w:ascii="Arial" w:cs="Arial" w:eastAsia="Arial" w:hAnsi="Arial"/>
                <w:sz w:val="18"/>
                <w:szCs w:val="18"/>
                <w:color w:val="auto"/>
              </w:rPr>
              <w:t>Common warrants, $0.13 Strike</w:t>
            </w:r>
          </w:p>
        </w:tc>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tcBorders>
              <w:left w:val="single" w:sz="8" w:color="CCEEFF"/>
            </w:tcBorders>
            <w:gridSpan w:val="13"/>
            <w:shd w:val="clear" w:color="auto" w:fill="CCEEFF"/>
          </w:tcPr>
          <w:p>
            <w:pPr>
              <w:ind w:left="200"/>
              <w:spacing w:after="0"/>
              <w:rPr>
                <w:sz w:val="20"/>
                <w:szCs w:val="20"/>
                <w:color w:val="auto"/>
              </w:rPr>
            </w:pPr>
            <w:r>
              <w:rPr>
                <w:rFonts w:ascii="Arial" w:cs="Arial" w:eastAsia="Arial" w:hAnsi="Arial"/>
                <w:sz w:val="18"/>
                <w:szCs w:val="18"/>
                <w:color w:val="auto"/>
                <w:w w:val="96"/>
              </w:rPr>
              <w:t>Price, Expiration Date 6/15/2018</w:t>
            </w:r>
          </w:p>
        </w:tc>
        <w:tc>
          <w:tcPr>
            <w:tcW w:w="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770,934</w:t>
            </w:r>
          </w:p>
        </w:tc>
        <w:tc>
          <w:tcPr>
            <w:tcW w:w="94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23,128</w:t>
            </w:r>
          </w:p>
        </w:tc>
        <w:tc>
          <w:tcPr>
            <w:tcW w:w="94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69,384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13"/>
          </w:tcPr>
          <w:p>
            <w:pPr>
              <w:ind w:left="20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2,282,844</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2,319,383</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69"/>
        </w:trPr>
        <w:tc>
          <w:tcPr>
            <w:tcW w:w="2720" w:type="dxa"/>
            <w:vAlign w:val="bottom"/>
            <w:tcBorders>
              <w:left w:val="single" w:sz="8" w:color="CCEEFF"/>
            </w:tcBorders>
            <w:gridSpan w:val="13"/>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DreamBox Learning, Inc.</w:t>
            </w: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2"/>
              </w:rPr>
              <w:t>Bellevue, WA</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gridSpan w:val="13"/>
          </w:tcPr>
          <w:p>
            <w:pPr>
              <w:ind w:left="20"/>
              <w:spacing w:after="0"/>
              <w:rPr>
                <w:sz w:val="20"/>
                <w:szCs w:val="20"/>
                <w:color w:val="auto"/>
              </w:rPr>
            </w:pPr>
            <w:r>
              <w:rPr>
                <w:rFonts w:ascii="Arial" w:cs="Arial" w:eastAsia="Arial" w:hAnsi="Arial"/>
                <w:sz w:val="18"/>
                <w:szCs w:val="18"/>
                <w:color w:val="auto"/>
              </w:rPr>
              <w:t>Preferred shares, Series A-1</w:t>
            </w:r>
          </w:p>
        </w:tc>
        <w:tc>
          <w:tcPr>
            <w:tcW w:w="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Education Technology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7,159,221</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1,502,362</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1,503,436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720" w:type="dxa"/>
            <w:vAlign w:val="bottom"/>
            <w:tcBorders>
              <w:left w:val="single" w:sz="8" w:color="CCEEFF"/>
            </w:tcBorders>
            <w:gridSpan w:val="13"/>
            <w:shd w:val="clear" w:color="auto" w:fill="CCEEFF"/>
          </w:tcPr>
          <w:p>
            <w:pPr>
              <w:ind w:left="20"/>
              <w:spacing w:after="0"/>
              <w:rPr>
                <w:sz w:val="20"/>
                <w:szCs w:val="20"/>
                <w:color w:val="auto"/>
              </w:rPr>
            </w:pPr>
            <w:r>
              <w:rPr>
                <w:rFonts w:ascii="Arial" w:cs="Arial" w:eastAsia="Arial" w:hAnsi="Arial"/>
                <w:sz w:val="18"/>
                <w:szCs w:val="18"/>
                <w:color w:val="auto"/>
              </w:rPr>
              <w:t>Preferred shares, Series A</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3,579,610</w:t>
            </w:r>
          </w:p>
        </w:tc>
        <w:tc>
          <w:tcPr>
            <w:tcW w:w="94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758,017</w:t>
            </w:r>
          </w:p>
        </w:tc>
        <w:tc>
          <w:tcPr>
            <w:tcW w:w="94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751,718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13"/>
          </w:tcPr>
          <w:p>
            <w:pPr>
              <w:ind w:left="20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2,260,379</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2,255,154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720" w:type="dxa"/>
            <w:vAlign w:val="bottom"/>
            <w:tcBorders>
              <w:left w:val="single" w:sz="8" w:color="CCEEFF"/>
            </w:tcBorders>
            <w:gridSpan w:val="13"/>
            <w:shd w:val="clear" w:color="auto" w:fill="CCEEFF"/>
          </w:tcPr>
          <w:p>
            <w:pPr>
              <w:ind w:left="20"/>
              <w:spacing w:after="0" w:line="210" w:lineRule="exact"/>
              <w:rPr>
                <w:sz w:val="20"/>
                <w:szCs w:val="20"/>
                <w:color w:val="auto"/>
              </w:rPr>
            </w:pPr>
            <w:r>
              <w:rPr>
                <w:rFonts w:ascii="Arial" w:cs="Arial" w:eastAsia="Arial" w:hAnsi="Arial"/>
                <w:sz w:val="15"/>
                <w:szCs w:val="15"/>
                <w:b w:val="1"/>
                <w:bCs w:val="1"/>
                <w:color w:val="auto"/>
              </w:rPr>
              <w:t>Maven Research, Inc.</w:t>
            </w:r>
            <w:r>
              <w:rPr>
                <w:rFonts w:ascii="Arial" w:cs="Arial" w:eastAsia="Arial" w:hAnsi="Arial"/>
                <w:sz w:val="24"/>
                <w:szCs w:val="24"/>
                <w:b w:val="1"/>
                <w:bCs w:val="1"/>
                <w:color w:val="auto"/>
                <w:vertAlign w:val="superscript"/>
              </w:rPr>
              <w:t>(1)</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San Francisco, CA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gridSpan w:val="13"/>
          </w:tcPr>
          <w:p>
            <w:pPr>
              <w:ind w:left="20"/>
              <w:spacing w:after="0"/>
              <w:rPr>
                <w:sz w:val="20"/>
                <w:szCs w:val="20"/>
                <w:color w:val="auto"/>
              </w:rPr>
            </w:pPr>
            <w:r>
              <w:rPr>
                <w:rFonts w:ascii="Arial" w:cs="Arial" w:eastAsia="Arial" w:hAnsi="Arial"/>
                <w:sz w:val="18"/>
                <w:szCs w:val="18"/>
                <w:color w:val="auto"/>
              </w:rPr>
              <w:t>Preferred shares, Series C</w:t>
            </w:r>
          </w:p>
        </w:tc>
        <w:tc>
          <w:tcPr>
            <w:tcW w:w="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Knowledge Networks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318,979</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2,000,447</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1,999,998</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720" w:type="dxa"/>
            <w:vAlign w:val="bottom"/>
            <w:tcBorders>
              <w:left w:val="single" w:sz="8" w:color="CCEEFF"/>
            </w:tcBorders>
            <w:gridSpan w:val="13"/>
            <w:shd w:val="clear" w:color="auto" w:fill="CCEEFF"/>
          </w:tcPr>
          <w:p>
            <w:pPr>
              <w:ind w:left="20"/>
              <w:spacing w:after="0"/>
              <w:rPr>
                <w:sz w:val="20"/>
                <w:szCs w:val="20"/>
                <w:color w:val="auto"/>
              </w:rPr>
            </w:pPr>
            <w:r>
              <w:rPr>
                <w:rFonts w:ascii="Arial" w:cs="Arial" w:eastAsia="Arial" w:hAnsi="Arial"/>
                <w:sz w:val="18"/>
                <w:szCs w:val="18"/>
                <w:color w:val="auto"/>
              </w:rPr>
              <w:t>Preferred shares, Series B</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49,505</w:t>
            </w:r>
          </w:p>
        </w:tc>
        <w:tc>
          <w:tcPr>
            <w:tcW w:w="94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217,206</w:t>
            </w:r>
          </w:p>
        </w:tc>
        <w:tc>
          <w:tcPr>
            <w:tcW w:w="94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223,763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13"/>
          </w:tcPr>
          <w:p>
            <w:pPr>
              <w:ind w:left="20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2,217,653</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2,223,761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2720" w:type="dxa"/>
            <w:vAlign w:val="bottom"/>
            <w:tcBorders>
              <w:left w:val="single" w:sz="8" w:color="CCEEFF"/>
            </w:tcBorders>
            <w:gridSpan w:val="13"/>
            <w:shd w:val="clear" w:color="auto" w:fill="CCEEFF"/>
          </w:tcPr>
          <w:p>
            <w:pPr>
              <w:ind w:left="20"/>
              <w:spacing w:after="0" w:line="210" w:lineRule="exact"/>
              <w:rPr>
                <w:sz w:val="20"/>
                <w:szCs w:val="20"/>
                <w:color w:val="auto"/>
              </w:rPr>
            </w:pPr>
            <w:r>
              <w:rPr>
                <w:rFonts w:ascii="Arial" w:cs="Arial" w:eastAsia="Arial" w:hAnsi="Arial"/>
                <w:sz w:val="15"/>
                <w:szCs w:val="15"/>
                <w:b w:val="1"/>
                <w:bCs w:val="1"/>
                <w:color w:val="auto"/>
              </w:rPr>
              <w:t>Strategic Data Command, LLC</w:t>
            </w:r>
            <w:r>
              <w:rPr>
                <w:rFonts w:ascii="Arial" w:cs="Arial" w:eastAsia="Arial" w:hAnsi="Arial"/>
                <w:sz w:val="24"/>
                <w:szCs w:val="24"/>
                <w:b w:val="1"/>
                <w:bCs w:val="1"/>
                <w:color w:val="auto"/>
                <w:vertAlign w:val="superscript"/>
              </w:rPr>
              <w:t>(1)</w:t>
            </w:r>
          </w:p>
        </w:tc>
        <w:tc>
          <w:tcPr>
            <w:tcW w:w="40" w:type="dxa"/>
            <w:vAlign w:val="bottom"/>
            <w:shd w:val="clear" w:color="auto" w:fill="CCEEFF"/>
          </w:tcPr>
          <w:p>
            <w:pPr>
              <w:spacing w:after="0"/>
              <w:rPr>
                <w:sz w:val="18"/>
                <w:szCs w:val="18"/>
                <w:color w:val="auto"/>
              </w:rPr>
            </w:pP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Sunnyvale, CA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0" w:type="dxa"/>
            <w:vAlign w:val="bottom"/>
            <w:tcBorders>
              <w:top w:val="single" w:sz="8" w:color="auto"/>
              <w:left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b w:val="1"/>
                <w:bCs w:val="1"/>
                <w:color w:val="auto"/>
              </w:rPr>
              <w:t>(7)</w:t>
            </w:r>
          </w:p>
        </w:tc>
        <w:tc>
          <w:tcPr>
            <w:tcW w:w="1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right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CCEEFF"/>
            </w:tcBorders>
            <w:vMerge w:val="continue"/>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right w:val="single" w:sz="8" w:color="CCEEFF"/>
            </w:tcBorders>
            <w:shd w:val="clear" w:color="auto" w:fill="CCEEFF"/>
          </w:tcPr>
          <w:p>
            <w:pPr>
              <w:spacing w:after="0"/>
              <w:rPr>
                <w:sz w:val="19"/>
                <w:szCs w:val="19"/>
                <w:color w:val="auto"/>
              </w:rPr>
            </w:pPr>
          </w:p>
        </w:tc>
        <w:tc>
          <w:tcPr>
            <w:tcW w:w="940" w:type="dxa"/>
            <w:vAlign w:val="bottom"/>
            <w:tcBorders>
              <w:top w:val="single" w:sz="8" w:color="CCEEFF"/>
              <w:right w:val="single" w:sz="8" w:color="CCEEFF"/>
            </w:tcBorders>
            <w:shd w:val="clear" w:color="auto" w:fill="CCEEFF"/>
          </w:tcPr>
          <w:p>
            <w:pPr>
              <w:spacing w:after="0"/>
              <w:rPr>
                <w:sz w:val="19"/>
                <w:szCs w:val="19"/>
                <w:color w:val="auto"/>
              </w:rPr>
            </w:pPr>
          </w:p>
        </w:tc>
        <w:tc>
          <w:tcPr>
            <w:tcW w:w="940" w:type="dxa"/>
            <w:vAlign w:val="bottom"/>
            <w:tcBorders>
              <w:top w:val="single" w:sz="8" w:color="CCEEFF"/>
              <w:right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gridSpan w:val="13"/>
          </w:tcPr>
          <w:p>
            <w:pPr>
              <w:ind w:left="20"/>
              <w:spacing w:after="0"/>
              <w:rPr>
                <w:sz w:val="20"/>
                <w:szCs w:val="20"/>
                <w:color w:val="auto"/>
              </w:rPr>
            </w:pPr>
            <w:r>
              <w:rPr>
                <w:rFonts w:ascii="Arial" w:cs="Arial" w:eastAsia="Arial" w:hAnsi="Arial"/>
                <w:sz w:val="18"/>
                <w:szCs w:val="18"/>
                <w:color w:val="auto"/>
              </w:rPr>
              <w:t>Common shares</w:t>
            </w:r>
          </w:p>
        </w:tc>
        <w:tc>
          <w:tcPr>
            <w:tcW w:w="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Big Data Consulting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2,400,000</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989,277</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2,052,555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76"/>
        </w:trPr>
        <w:tc>
          <w:tcPr>
            <w:tcW w:w="2720" w:type="dxa"/>
            <w:vAlign w:val="bottom"/>
            <w:tcBorders>
              <w:left w:val="single" w:sz="8" w:color="CCEEFF"/>
            </w:tcBorders>
            <w:gridSpan w:val="13"/>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Clever, Inc.</w:t>
            </w:r>
          </w:p>
        </w:tc>
        <w:tc>
          <w:tcPr>
            <w:tcW w:w="4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San Francisco, CA</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gridSpan w:val="13"/>
          </w:tcPr>
          <w:p>
            <w:pPr>
              <w:ind w:left="20"/>
              <w:spacing w:after="0"/>
              <w:rPr>
                <w:sz w:val="20"/>
                <w:szCs w:val="20"/>
                <w:color w:val="auto"/>
              </w:rPr>
            </w:pPr>
            <w:r>
              <w:rPr>
                <w:rFonts w:ascii="Arial" w:cs="Arial" w:eastAsia="Arial" w:hAnsi="Arial"/>
                <w:sz w:val="18"/>
                <w:szCs w:val="18"/>
                <w:color w:val="auto"/>
              </w:rPr>
              <w:t>Preferred shares, Series B</w:t>
            </w:r>
          </w:p>
        </w:tc>
        <w:tc>
          <w:tcPr>
            <w:tcW w:w="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Education Software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1,799,047</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2,000,601</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2,000,001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720" w:type="dxa"/>
            <w:vAlign w:val="bottom"/>
            <w:tcBorders>
              <w:left w:val="single" w:sz="8" w:color="CCEEFF"/>
            </w:tcBorders>
            <w:gridSpan w:val="13"/>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EdSurge, Inc.</w:t>
            </w:r>
            <w:r>
              <w:rPr>
                <w:rFonts w:ascii="Arial" w:cs="Arial" w:eastAsia="Arial" w:hAnsi="Arial"/>
                <w:sz w:val="25"/>
                <w:szCs w:val="25"/>
                <w:b w:val="1"/>
                <w:bCs w:val="1"/>
                <w:color w:val="auto"/>
                <w:vertAlign w:val="superscript"/>
              </w:rPr>
              <w:t>(1)</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Burlingame, CA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20" w:type="dxa"/>
            <w:vAlign w:val="bottom"/>
            <w:gridSpan w:val="13"/>
          </w:tcPr>
          <w:p>
            <w:pPr>
              <w:ind w:left="20"/>
              <w:spacing w:after="0" w:line="201" w:lineRule="exact"/>
              <w:rPr>
                <w:sz w:val="20"/>
                <w:szCs w:val="20"/>
                <w:color w:val="auto"/>
              </w:rPr>
            </w:pPr>
            <w:r>
              <w:rPr>
                <w:rFonts w:ascii="Arial" w:cs="Arial" w:eastAsia="Arial" w:hAnsi="Arial"/>
                <w:sz w:val="18"/>
                <w:szCs w:val="18"/>
                <w:color w:val="auto"/>
              </w:rPr>
              <w:t>Preferred shares, Series A-1</w:t>
            </w:r>
          </w:p>
        </w:tc>
        <w:tc>
          <w:tcPr>
            <w:tcW w:w="40" w:type="dxa"/>
            <w:vAlign w:val="bottom"/>
          </w:tcPr>
          <w:p>
            <w:pPr>
              <w:spacing w:after="0"/>
              <w:rPr>
                <w:sz w:val="17"/>
                <w:szCs w:val="17"/>
                <w:color w:val="auto"/>
              </w:rPr>
            </w:pP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92"/>
              </w:rPr>
              <w:t>Education Media</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Platform</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378,788</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501,360</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500,000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720" w:type="dxa"/>
            <w:vAlign w:val="bottom"/>
            <w:tcBorders>
              <w:left w:val="single" w:sz="8" w:color="CCEEFF"/>
            </w:tcBorders>
            <w:gridSpan w:val="13"/>
            <w:shd w:val="clear" w:color="auto" w:fill="CCEEFF"/>
          </w:tcPr>
          <w:p>
            <w:pPr>
              <w:ind w:left="20"/>
              <w:spacing w:after="0"/>
              <w:rPr>
                <w:sz w:val="20"/>
                <w:szCs w:val="20"/>
                <w:color w:val="auto"/>
              </w:rPr>
            </w:pPr>
            <w:r>
              <w:rPr>
                <w:rFonts w:ascii="Arial" w:cs="Arial" w:eastAsia="Arial" w:hAnsi="Arial"/>
                <w:sz w:val="18"/>
                <w:szCs w:val="18"/>
                <w:color w:val="auto"/>
              </w:rPr>
              <w:t>Preferred shares, Series A</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494,365</w:t>
            </w:r>
          </w:p>
        </w:tc>
        <w:tc>
          <w:tcPr>
            <w:tcW w:w="94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500,801</w:t>
            </w:r>
          </w:p>
        </w:tc>
        <w:tc>
          <w:tcPr>
            <w:tcW w:w="94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588,294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13"/>
          </w:tcPr>
          <w:p>
            <w:pPr>
              <w:ind w:left="20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1,002,161</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1,088,294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169"/>
        </w:trPr>
        <w:tc>
          <w:tcPr>
            <w:tcW w:w="2720" w:type="dxa"/>
            <w:vAlign w:val="bottom"/>
            <w:tcBorders>
              <w:left w:val="single" w:sz="8" w:color="CCEEFF"/>
            </w:tcBorders>
            <w:gridSpan w:val="13"/>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Tynker (f/k/a Neuron Fuel, Inc.)</w:t>
            </w: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4"/>
              </w:rPr>
              <w:t>Mountain View, CA</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720" w:type="dxa"/>
            <w:vAlign w:val="bottom"/>
            <w:gridSpan w:val="13"/>
          </w:tcPr>
          <w:p>
            <w:pPr>
              <w:ind w:left="20"/>
              <w:spacing w:after="0"/>
              <w:rPr>
                <w:sz w:val="20"/>
                <w:szCs w:val="20"/>
                <w:color w:val="auto"/>
              </w:rPr>
            </w:pPr>
            <w:r>
              <w:rPr>
                <w:rFonts w:ascii="Arial" w:cs="Arial" w:eastAsia="Arial" w:hAnsi="Arial"/>
                <w:sz w:val="18"/>
                <w:szCs w:val="18"/>
                <w:color w:val="auto"/>
              </w:rPr>
              <w:t>Preferred shares, Series A</w:t>
            </w:r>
          </w:p>
        </w:tc>
        <w:tc>
          <w:tcPr>
            <w:tcW w:w="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Computer Software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534,162</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309,310</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881,367</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0.46%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-7272020</wp:posOffset>
            </wp:positionV>
            <wp:extent cx="52400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4002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-6543040</wp:posOffset>
            </wp:positionV>
            <wp:extent cx="52400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4002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-4553585</wp:posOffset>
            </wp:positionV>
            <wp:extent cx="52400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4002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-3027045</wp:posOffset>
            </wp:positionV>
            <wp:extent cx="52400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4002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-2461260</wp:posOffset>
            </wp:positionV>
            <wp:extent cx="52400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4002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-1869440</wp:posOffset>
            </wp:positionV>
            <wp:extent cx="52400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4002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-437515</wp:posOffset>
            </wp:positionV>
            <wp:extent cx="52400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40020" cy="15430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27" w:gutter="0" w:footer="0" w:header="0"/>
        </w:sectPr>
      </w:pPr>
    </w:p>
    <w:bookmarkStart w:id="18" w:name="page19"/>
    <w:bookmarkEnd w:id="1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-36195</wp:posOffset>
            </wp:positionV>
            <wp:extent cx="52139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212"/>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720" w:type="dxa"/>
            <w:vAlign w:val="bottom"/>
            <w:tcBorders>
              <w:bottom w:val="single" w:sz="8" w:color="auto"/>
            </w:tcBorders>
            <w:gridSpan w:val="17"/>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6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Headquarters/Industry</w:t>
            </w: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3"/>
                <w:szCs w:val="13"/>
                <w:b w:val="1"/>
                <w:bCs w:val="1"/>
                <w:color w:val="auto"/>
              </w:rPr>
              <w:t>Principal</w:t>
            </w: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w w:val="90"/>
              </w:rPr>
              <w:t>Fair Value</w:t>
            </w:r>
          </w:p>
        </w:tc>
        <w:tc>
          <w:tcPr>
            <w:tcW w:w="80" w:type="dxa"/>
            <w:vAlign w:val="bottom"/>
          </w:tcPr>
          <w:p>
            <w:pPr>
              <w:spacing w:after="0"/>
              <w:rPr>
                <w:sz w:val="13"/>
                <w:szCs w:val="13"/>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6"/>
              </w:rPr>
              <w:t>Net Assets</w:t>
            </w:r>
          </w:p>
        </w:tc>
        <w:tc>
          <w:tcPr>
            <w:tcW w:w="0" w:type="dxa"/>
            <w:vAlign w:val="bottom"/>
          </w:tcPr>
          <w:p>
            <w:pPr>
              <w:spacing w:after="0"/>
              <w:rPr>
                <w:sz w:val="1"/>
                <w:szCs w:val="1"/>
                <w:color w:val="auto"/>
              </w:rPr>
            </w:pPr>
          </w:p>
        </w:tc>
      </w:tr>
      <w:tr>
        <w:trPr>
          <w:trHeight w:val="169"/>
        </w:trPr>
        <w:tc>
          <w:tcPr>
            <w:tcW w:w="2720" w:type="dxa"/>
            <w:vAlign w:val="bottom"/>
            <w:gridSpan w:val="17"/>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Fullbridge, Inc.</w:t>
            </w: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4"/>
              </w:rPr>
              <w:t>Cambridge, MA</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gridSpan w:val="17"/>
          </w:tcPr>
          <w:p>
            <w:pPr>
              <w:ind w:left="20"/>
              <w:spacing w:after="0"/>
              <w:rPr>
                <w:sz w:val="20"/>
                <w:szCs w:val="20"/>
                <w:color w:val="auto"/>
              </w:rPr>
            </w:pPr>
            <w:r>
              <w:rPr>
                <w:rFonts w:ascii="Arial" w:cs="Arial" w:eastAsia="Arial" w:hAnsi="Arial"/>
                <w:sz w:val="18"/>
                <w:szCs w:val="18"/>
                <w:color w:val="auto"/>
              </w:rPr>
              <w:t>Common shares</w:t>
            </w:r>
          </w:p>
        </w:tc>
        <w:tc>
          <w:tcPr>
            <w:tcW w:w="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Business Education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517,917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6,150,506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20" w:type="dxa"/>
            <w:vAlign w:val="bottom"/>
            <w:gridSpan w:val="17"/>
            <w:shd w:val="clear" w:color="auto" w:fill="CCEEFF"/>
          </w:tcPr>
          <w:p>
            <w:pPr>
              <w:ind w:left="20"/>
              <w:spacing w:after="0"/>
              <w:rPr>
                <w:sz w:val="20"/>
                <w:szCs w:val="20"/>
                <w:color w:val="auto"/>
              </w:rPr>
            </w:pPr>
            <w:r>
              <w:rPr>
                <w:rFonts w:ascii="Arial" w:cs="Arial" w:eastAsia="Arial" w:hAnsi="Arial"/>
                <w:sz w:val="18"/>
                <w:szCs w:val="18"/>
                <w:color w:val="auto"/>
                <w:w w:val="98"/>
              </w:rPr>
              <w:t>Junior note 1.49%, Due 11/9/2021</w:t>
            </w:r>
          </w:p>
        </w:tc>
        <w:tc>
          <w:tcPr>
            <w:tcW w:w="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2,270,458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2,270,858</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877,359</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15"/>
          </w:tcPr>
          <w:p>
            <w:pPr>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8,421,364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877,359</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169"/>
        </w:trPr>
        <w:tc>
          <w:tcPr>
            <w:tcW w:w="2720" w:type="dxa"/>
            <w:vAlign w:val="bottom"/>
            <w:gridSpan w:val="17"/>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Circle Media (f/k/a S3 Digital</w:t>
            </w: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9"/>
              </w:rPr>
              <w:t>Corp.</w:t>
            </w:r>
          </w:p>
        </w:tc>
        <w:tc>
          <w:tcPr>
            <w:tcW w:w="1640" w:type="dxa"/>
            <w:vAlign w:val="bottom"/>
            <w:tcBorders>
              <w:top w:val="single" w:sz="8" w:color="auto"/>
              <w:bottom w:val="single" w:sz="8" w:color="CCEEFF"/>
            </w:tcBorders>
            <w:gridSpan w:val="10"/>
            <w:shd w:val="clear" w:color="auto" w:fill="CCEEFF"/>
          </w:tcPr>
          <w:p>
            <w:pPr>
              <w:spacing w:after="0"/>
              <w:rPr>
                <w:sz w:val="17"/>
                <w:szCs w:val="17"/>
                <w:color w:val="auto"/>
              </w:rPr>
            </w:pPr>
          </w:p>
        </w:tc>
        <w:tc>
          <w:tcPr>
            <w:tcW w:w="44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8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520" w:type="dxa"/>
            <w:vAlign w:val="bottom"/>
            <w:gridSpan w:val="15"/>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(d/b/a S3i))</w:t>
            </w:r>
            <w:r>
              <w:rPr>
                <w:rFonts w:ascii="Arial" w:cs="Arial" w:eastAsia="Arial" w:hAnsi="Arial"/>
                <w:sz w:val="27"/>
                <w:szCs w:val="27"/>
                <w:b w:val="1"/>
                <w:bCs w:val="1"/>
                <w:color w:val="auto"/>
                <w:vertAlign w:val="superscript"/>
              </w:rPr>
              <w:t>(1)</w:t>
            </w:r>
          </w:p>
        </w:tc>
        <w:tc>
          <w:tcPr>
            <w:tcW w:w="60" w:type="dxa"/>
            <w:vAlign w:val="bottom"/>
            <w:shd w:val="clear" w:color="auto" w:fill="CCEEFF"/>
          </w:tcPr>
          <w:p>
            <w:pPr>
              <w:spacing w:after="0"/>
              <w:rPr>
                <w:sz w:val="20"/>
                <w:szCs w:val="20"/>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New York, NY</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720" w:type="dxa"/>
            <w:vAlign w:val="bottom"/>
            <w:gridSpan w:val="17"/>
          </w:tcPr>
          <w:p>
            <w:pPr>
              <w:ind w:left="20"/>
              <w:spacing w:after="0" w:line="206" w:lineRule="exact"/>
              <w:rPr>
                <w:sz w:val="20"/>
                <w:szCs w:val="20"/>
                <w:color w:val="auto"/>
              </w:rPr>
            </w:pPr>
            <w:r>
              <w:rPr>
                <w:rFonts w:ascii="Arial" w:cs="Arial" w:eastAsia="Arial" w:hAnsi="Arial"/>
                <w:sz w:val="18"/>
                <w:szCs w:val="18"/>
                <w:color w:val="auto"/>
              </w:rPr>
              <w:t>Promissory Note 12%, Due</w:t>
            </w:r>
          </w:p>
        </w:tc>
        <w:tc>
          <w:tcPr>
            <w:tcW w:w="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560" w:type="dxa"/>
            <w:vAlign w:val="bottom"/>
            <w:gridSpan w:val="9"/>
          </w:tcPr>
          <w:p>
            <w:pPr>
              <w:ind w:left="200"/>
              <w:spacing w:after="0" w:line="266" w:lineRule="exact"/>
              <w:rPr>
                <w:sz w:val="20"/>
                <w:szCs w:val="20"/>
                <w:color w:val="auto"/>
              </w:rPr>
            </w:pPr>
            <w:r>
              <w:rPr>
                <w:rFonts w:ascii="Arial" w:cs="Arial" w:eastAsia="Arial" w:hAnsi="Arial"/>
                <w:sz w:val="18"/>
                <w:szCs w:val="18"/>
                <w:color w:val="auto"/>
                <w:w w:val="91"/>
              </w:rPr>
              <w:t>11/17/2017***</w:t>
            </w:r>
            <w:r>
              <w:rPr>
                <w:rFonts w:ascii="Arial" w:cs="Arial" w:eastAsia="Arial" w:hAnsi="Arial"/>
                <w:sz w:val="30"/>
                <w:szCs w:val="30"/>
                <w:color w:val="auto"/>
                <w:w w:val="91"/>
                <w:vertAlign w:val="superscript"/>
              </w:rPr>
              <w:t>(15)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Sports Analytics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26,840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26,544</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720" w:type="dxa"/>
            <w:vAlign w:val="bottom"/>
            <w:gridSpan w:val="17"/>
            <w:shd w:val="clear" w:color="auto" w:fill="CCEEFF"/>
          </w:tcPr>
          <w:p>
            <w:pPr>
              <w:ind w:left="20"/>
              <w:spacing w:after="0"/>
              <w:rPr>
                <w:sz w:val="20"/>
                <w:szCs w:val="20"/>
                <w:color w:val="auto"/>
              </w:rPr>
            </w:pPr>
            <w:r>
              <w:rPr>
                <w:rFonts w:ascii="Arial" w:cs="Arial" w:eastAsia="Arial" w:hAnsi="Arial"/>
                <w:sz w:val="18"/>
                <w:szCs w:val="18"/>
                <w:color w:val="auto"/>
              </w:rPr>
              <w:t>Preferred shares, Series A</w:t>
            </w:r>
          </w:p>
        </w:tc>
        <w:tc>
          <w:tcPr>
            <w:tcW w:w="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1,864,495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1,777,576</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484,769</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2"/>
        </w:trPr>
        <w:tc>
          <w:tcPr>
            <w:tcW w:w="2720" w:type="dxa"/>
            <w:vAlign w:val="bottom"/>
            <w:gridSpan w:val="17"/>
          </w:tcPr>
          <w:p>
            <w:pPr>
              <w:ind w:left="20"/>
              <w:spacing w:after="0" w:line="201" w:lineRule="exact"/>
              <w:rPr>
                <w:sz w:val="20"/>
                <w:szCs w:val="20"/>
                <w:color w:val="auto"/>
              </w:rPr>
            </w:pPr>
            <w:r>
              <w:rPr>
                <w:rFonts w:ascii="Arial" w:cs="Arial" w:eastAsia="Arial" w:hAnsi="Arial"/>
                <w:sz w:val="18"/>
                <w:szCs w:val="18"/>
                <w:color w:val="auto"/>
              </w:rPr>
              <w:t>Preferred warrants, $1.17 Strike</w:t>
            </w:r>
          </w:p>
        </w:tc>
        <w:tc>
          <w:tcPr>
            <w:tcW w:w="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15"/>
          </w:tcPr>
          <w:p>
            <w:pPr>
              <w:spacing w:after="0"/>
              <w:rPr>
                <w:sz w:val="20"/>
                <w:szCs w:val="20"/>
                <w:color w:val="auto"/>
              </w:rPr>
            </w:pPr>
            <w:r>
              <w:rPr>
                <w:rFonts w:ascii="Arial" w:cs="Arial" w:eastAsia="Arial" w:hAnsi="Arial"/>
                <w:sz w:val="18"/>
                <w:szCs w:val="18"/>
                <w:color w:val="auto"/>
                <w:w w:val="92"/>
              </w:rPr>
              <w:t>Price, Expiration Date 11/18/2022</w:t>
            </w:r>
          </w:p>
        </w:tc>
        <w:tc>
          <w:tcPr>
            <w:tcW w:w="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5,360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20" w:type="dxa"/>
            <w:vAlign w:val="bottom"/>
            <w:gridSpan w:val="17"/>
            <w:shd w:val="clear" w:color="auto" w:fill="CCEEFF"/>
          </w:tcPr>
          <w:p>
            <w:pPr>
              <w:ind w:left="20"/>
              <w:spacing w:after="0" w:line="201" w:lineRule="exact"/>
              <w:rPr>
                <w:sz w:val="20"/>
                <w:szCs w:val="20"/>
                <w:color w:val="auto"/>
              </w:rPr>
            </w:pPr>
            <w:r>
              <w:rPr>
                <w:rFonts w:ascii="Arial" w:cs="Arial" w:eastAsia="Arial" w:hAnsi="Arial"/>
                <w:sz w:val="18"/>
                <w:szCs w:val="18"/>
                <w:color w:val="auto"/>
              </w:rPr>
              <w:t>Preferred warrants, $1.17 Strike</w:t>
            </w:r>
          </w:p>
        </w:tc>
        <w:tc>
          <w:tcPr>
            <w:tcW w:w="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520" w:type="dxa"/>
            <w:vAlign w:val="bottom"/>
            <w:gridSpan w:val="15"/>
            <w:shd w:val="clear" w:color="auto" w:fill="CCEEFF"/>
          </w:tcPr>
          <w:p>
            <w:pPr>
              <w:spacing w:after="0"/>
              <w:rPr>
                <w:sz w:val="20"/>
                <w:szCs w:val="20"/>
                <w:color w:val="auto"/>
              </w:rPr>
            </w:pPr>
            <w:r>
              <w:rPr>
                <w:rFonts w:ascii="Arial" w:cs="Arial" w:eastAsia="Arial" w:hAnsi="Arial"/>
                <w:sz w:val="18"/>
                <w:szCs w:val="18"/>
                <w:color w:val="auto"/>
                <w:w w:val="96"/>
              </w:rPr>
              <w:t>Price, Expiration Date 8/29/2021</w:t>
            </w:r>
          </w:p>
        </w:tc>
        <w:tc>
          <w:tcPr>
            <w:tcW w:w="6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175,815</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20" w:type="dxa"/>
            <w:vAlign w:val="bottom"/>
            <w:gridSpan w:val="17"/>
          </w:tcPr>
          <w:p>
            <w:pPr>
              <w:ind w:left="20"/>
              <w:spacing w:after="0" w:line="201" w:lineRule="exact"/>
              <w:rPr>
                <w:sz w:val="20"/>
                <w:szCs w:val="20"/>
                <w:color w:val="auto"/>
              </w:rPr>
            </w:pPr>
            <w:r>
              <w:rPr>
                <w:rFonts w:ascii="Arial" w:cs="Arial" w:eastAsia="Arial" w:hAnsi="Arial"/>
                <w:sz w:val="18"/>
                <w:szCs w:val="18"/>
                <w:color w:val="auto"/>
              </w:rPr>
              <w:t>Preferred warrants, $1.17 Strike</w:t>
            </w:r>
          </w:p>
        </w:tc>
        <w:tc>
          <w:tcPr>
            <w:tcW w:w="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15"/>
          </w:tcPr>
          <w:p>
            <w:pPr>
              <w:spacing w:after="0"/>
              <w:rPr>
                <w:sz w:val="20"/>
                <w:szCs w:val="20"/>
                <w:color w:val="auto"/>
              </w:rPr>
            </w:pPr>
            <w:r>
              <w:rPr>
                <w:rFonts w:ascii="Arial" w:cs="Arial" w:eastAsia="Arial" w:hAnsi="Arial"/>
                <w:sz w:val="18"/>
                <w:szCs w:val="18"/>
                <w:color w:val="auto"/>
                <w:w w:val="96"/>
              </w:rPr>
              <w:t>Price, Expiration Date 6/26/2021</w:t>
            </w:r>
          </w:p>
        </w:tc>
        <w:tc>
          <w:tcPr>
            <w:tcW w:w="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38,594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20" w:type="dxa"/>
            <w:vAlign w:val="bottom"/>
            <w:gridSpan w:val="17"/>
            <w:shd w:val="clear" w:color="auto" w:fill="CCEEFF"/>
          </w:tcPr>
          <w:p>
            <w:pPr>
              <w:ind w:left="20"/>
              <w:spacing w:after="0" w:line="201" w:lineRule="exact"/>
              <w:rPr>
                <w:sz w:val="20"/>
                <w:szCs w:val="20"/>
                <w:color w:val="auto"/>
              </w:rPr>
            </w:pPr>
            <w:r>
              <w:rPr>
                <w:rFonts w:ascii="Arial" w:cs="Arial" w:eastAsia="Arial" w:hAnsi="Arial"/>
                <w:sz w:val="18"/>
                <w:szCs w:val="18"/>
                <w:color w:val="auto"/>
              </w:rPr>
              <w:t>Preferred warrants, $1.17 Strike</w:t>
            </w:r>
          </w:p>
        </w:tc>
        <w:tc>
          <w:tcPr>
            <w:tcW w:w="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520" w:type="dxa"/>
            <w:vAlign w:val="bottom"/>
            <w:gridSpan w:val="15"/>
            <w:shd w:val="clear" w:color="auto" w:fill="CCEEFF"/>
          </w:tcPr>
          <w:p>
            <w:pPr>
              <w:spacing w:after="0"/>
              <w:rPr>
                <w:sz w:val="20"/>
                <w:szCs w:val="20"/>
                <w:color w:val="auto"/>
              </w:rPr>
            </w:pPr>
            <w:r>
              <w:rPr>
                <w:rFonts w:ascii="Arial" w:cs="Arial" w:eastAsia="Arial" w:hAnsi="Arial"/>
                <w:sz w:val="18"/>
                <w:szCs w:val="18"/>
                <w:color w:val="auto"/>
                <w:w w:val="96"/>
              </w:rPr>
              <w:t>Price, Expiration Date 9/30/2020</w:t>
            </w:r>
          </w:p>
        </w:tc>
        <w:tc>
          <w:tcPr>
            <w:tcW w:w="6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160,806</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20" w:type="dxa"/>
            <w:vAlign w:val="bottom"/>
            <w:gridSpan w:val="17"/>
          </w:tcPr>
          <w:p>
            <w:pPr>
              <w:ind w:left="20"/>
              <w:spacing w:after="0" w:line="201" w:lineRule="exact"/>
              <w:rPr>
                <w:sz w:val="20"/>
                <w:szCs w:val="20"/>
                <w:color w:val="auto"/>
              </w:rPr>
            </w:pPr>
            <w:r>
              <w:rPr>
                <w:rFonts w:ascii="Arial" w:cs="Arial" w:eastAsia="Arial" w:hAnsi="Arial"/>
                <w:sz w:val="18"/>
                <w:szCs w:val="18"/>
                <w:color w:val="auto"/>
              </w:rPr>
              <w:t>Preferred warrants, $1.00 Strike</w:t>
            </w:r>
          </w:p>
        </w:tc>
        <w:tc>
          <w:tcPr>
            <w:tcW w:w="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15"/>
          </w:tcPr>
          <w:p>
            <w:pPr>
              <w:spacing w:after="0"/>
              <w:rPr>
                <w:sz w:val="20"/>
                <w:szCs w:val="20"/>
                <w:color w:val="auto"/>
              </w:rPr>
            </w:pPr>
            <w:r>
              <w:rPr>
                <w:rFonts w:ascii="Arial" w:cs="Arial" w:eastAsia="Arial" w:hAnsi="Arial"/>
                <w:sz w:val="18"/>
                <w:szCs w:val="18"/>
                <w:color w:val="auto"/>
                <w:w w:val="92"/>
              </w:rPr>
              <w:t>Price, Expiration Date 11/21/2017</w:t>
            </w:r>
          </w:p>
        </w:tc>
        <w:tc>
          <w:tcPr>
            <w:tcW w:w="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31,354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52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Total</w:t>
            </w:r>
          </w:p>
        </w:tc>
        <w:tc>
          <w:tcPr>
            <w:tcW w:w="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1,836,346</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511,313</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169"/>
        </w:trPr>
        <w:tc>
          <w:tcPr>
            <w:tcW w:w="2720" w:type="dxa"/>
            <w:vAlign w:val="bottom"/>
            <w:tcBorders>
              <w:top w:val="single" w:sz="8" w:color="CCEEFF"/>
            </w:tcBorders>
            <w:gridSpan w:val="17"/>
          </w:tcPr>
          <w:p>
            <w:pPr>
              <w:ind w:left="20"/>
              <w:spacing w:after="0" w:line="170" w:lineRule="exact"/>
              <w:rPr>
                <w:sz w:val="20"/>
                <w:szCs w:val="20"/>
                <w:color w:val="auto"/>
              </w:rPr>
            </w:pPr>
            <w:r>
              <w:rPr>
                <w:rFonts w:ascii="Arial" w:cs="Arial" w:eastAsia="Arial" w:hAnsi="Arial"/>
                <w:sz w:val="18"/>
                <w:szCs w:val="18"/>
                <w:b w:val="1"/>
                <w:bCs w:val="1"/>
                <w:color w:val="auto"/>
              </w:rPr>
              <w:t>4C Insights (f/k/a The Echo</w:t>
            </w:r>
          </w:p>
        </w:tc>
        <w:tc>
          <w:tcPr>
            <w:tcW w:w="6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10"/>
          </w:tcPr>
          <w:p>
            <w:pPr>
              <w:spacing w:after="0" w:line="196" w:lineRule="exact"/>
              <w:rPr>
                <w:sz w:val="20"/>
                <w:szCs w:val="20"/>
                <w:color w:val="auto"/>
              </w:rPr>
            </w:pPr>
            <w:r>
              <w:rPr>
                <w:rFonts w:ascii="Arial" w:cs="Arial" w:eastAsia="Arial" w:hAnsi="Arial"/>
                <w:sz w:val="18"/>
                <w:szCs w:val="18"/>
                <w:b w:val="1"/>
                <w:bCs w:val="1"/>
                <w:color w:val="auto"/>
              </w:rPr>
              <w:t>Systems Corp.)</w:t>
            </w:r>
          </w:p>
        </w:tc>
        <w:tc>
          <w:tcPr>
            <w:tcW w:w="600" w:type="dxa"/>
            <w:vAlign w:val="bottom"/>
            <w:gridSpan w:val="5"/>
          </w:tcPr>
          <w:p>
            <w:pPr>
              <w:spacing w:after="0"/>
              <w:rPr>
                <w:sz w:val="17"/>
                <w:szCs w:val="17"/>
                <w:color w:val="auto"/>
              </w:rPr>
            </w:pPr>
          </w:p>
        </w:tc>
        <w:tc>
          <w:tcPr>
            <w:tcW w:w="60" w:type="dxa"/>
            <w:vAlign w:val="bottom"/>
          </w:tcPr>
          <w:p>
            <w:pPr>
              <w:spacing w:after="0"/>
              <w:rPr>
                <w:sz w:val="17"/>
                <w:szCs w:val="17"/>
                <w:color w:val="auto"/>
              </w:rPr>
            </w:pPr>
          </w:p>
        </w:tc>
        <w:tc>
          <w:tcPr>
            <w:tcW w:w="1840" w:type="dxa"/>
            <w:vAlign w:val="bottom"/>
          </w:tcPr>
          <w:p>
            <w:pPr>
              <w:jc w:val="center"/>
              <w:spacing w:after="0" w:line="196" w:lineRule="exact"/>
              <w:rPr>
                <w:sz w:val="20"/>
                <w:szCs w:val="20"/>
                <w:color w:val="auto"/>
              </w:rPr>
            </w:pPr>
            <w:r>
              <w:rPr>
                <w:rFonts w:ascii="Arial" w:cs="Arial" w:eastAsia="Arial" w:hAnsi="Arial"/>
                <w:sz w:val="18"/>
                <w:szCs w:val="18"/>
                <w:color w:val="auto"/>
                <w:w w:val="94"/>
              </w:rPr>
              <w:t>Chicago, IL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gridSpan w:val="17"/>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6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Social Data Platform</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436,219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1,436,404</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505,744</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176"/>
        </w:trPr>
        <w:tc>
          <w:tcPr>
            <w:tcW w:w="2720" w:type="dxa"/>
            <w:vAlign w:val="bottom"/>
            <w:gridSpan w:val="17"/>
          </w:tcPr>
          <w:p>
            <w:pPr>
              <w:ind w:left="20"/>
              <w:spacing w:after="0" w:line="176" w:lineRule="exact"/>
              <w:rPr>
                <w:sz w:val="20"/>
                <w:szCs w:val="20"/>
                <w:color w:val="auto"/>
              </w:rPr>
            </w:pPr>
            <w:r>
              <w:rPr>
                <w:rFonts w:ascii="Arial" w:cs="Arial" w:eastAsia="Arial" w:hAnsi="Arial"/>
                <w:sz w:val="18"/>
                <w:szCs w:val="18"/>
                <w:b w:val="1"/>
                <w:bCs w:val="1"/>
                <w:color w:val="auto"/>
              </w:rPr>
              <w:t>Aspiration Partners, Inc.</w:t>
            </w:r>
          </w:p>
        </w:tc>
        <w:tc>
          <w:tcPr>
            <w:tcW w:w="6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color w:val="auto"/>
                <w:w w:val="93"/>
              </w:rPr>
              <w:t>Marina Del Rey, CA</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720" w:type="dxa"/>
            <w:vAlign w:val="bottom"/>
            <w:gridSpan w:val="17"/>
            <w:shd w:val="clear" w:color="auto" w:fill="CCEEFF"/>
          </w:tcPr>
          <w:p>
            <w:pPr>
              <w:ind w:left="20"/>
              <w:spacing w:after="0" w:line="256" w:lineRule="exact"/>
              <w:rPr>
                <w:sz w:val="20"/>
                <w:szCs w:val="20"/>
                <w:color w:val="auto"/>
              </w:rPr>
            </w:pPr>
            <w:r>
              <w:rPr>
                <w:rFonts w:ascii="Arial" w:cs="Arial" w:eastAsia="Arial" w:hAnsi="Arial"/>
                <w:sz w:val="18"/>
                <w:szCs w:val="18"/>
                <w:color w:val="auto"/>
              </w:rPr>
              <w:t>Preferred shares, Series A</w:t>
            </w:r>
            <w:r>
              <w:rPr>
                <w:rFonts w:ascii="Arial" w:cs="Arial" w:eastAsia="Arial" w:hAnsi="Arial"/>
                <w:sz w:val="29"/>
                <w:szCs w:val="29"/>
                <w:color w:val="auto"/>
                <w:vertAlign w:val="superscript"/>
              </w:rPr>
              <w:t>(11)</w:t>
            </w:r>
          </w:p>
        </w:tc>
        <w:tc>
          <w:tcPr>
            <w:tcW w:w="60" w:type="dxa"/>
            <w:vAlign w:val="bottom"/>
            <w:shd w:val="clear" w:color="auto" w:fill="CCEEFF"/>
          </w:tcPr>
          <w:p>
            <w:pPr>
              <w:spacing w:after="0"/>
              <w:rPr>
                <w:sz w:val="22"/>
                <w:szCs w:val="22"/>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Financial Services</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540,270</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1,001,815</w:t>
            </w:r>
          </w:p>
        </w:tc>
        <w:tc>
          <w:tcPr>
            <w:tcW w:w="120" w:type="dxa"/>
            <w:vAlign w:val="bottom"/>
            <w:tcBorders>
              <w:lef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307,954</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76"/>
        </w:trPr>
        <w:tc>
          <w:tcPr>
            <w:tcW w:w="2720" w:type="dxa"/>
            <w:vAlign w:val="bottom"/>
            <w:gridSpan w:val="17"/>
          </w:tcPr>
          <w:p>
            <w:pPr>
              <w:ind w:left="20"/>
              <w:spacing w:after="0" w:line="176" w:lineRule="exact"/>
              <w:rPr>
                <w:sz w:val="20"/>
                <w:szCs w:val="20"/>
                <w:color w:val="auto"/>
              </w:rPr>
            </w:pPr>
            <w:r>
              <w:rPr>
                <w:rFonts w:ascii="Arial" w:cs="Arial" w:eastAsia="Arial" w:hAnsi="Arial"/>
                <w:sz w:val="18"/>
                <w:szCs w:val="18"/>
                <w:b w:val="1"/>
                <w:bCs w:val="1"/>
                <w:color w:val="auto"/>
              </w:rPr>
              <w:t>Handle Financial, Inc. (f/k/a</w:t>
            </w:r>
          </w:p>
        </w:tc>
        <w:tc>
          <w:tcPr>
            <w:tcW w:w="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gridSpan w:val="11"/>
          </w:tcPr>
          <w:p>
            <w:pPr>
              <w:spacing w:after="0" w:line="196" w:lineRule="exact"/>
              <w:rPr>
                <w:sz w:val="20"/>
                <w:szCs w:val="20"/>
                <w:color w:val="auto"/>
              </w:rPr>
            </w:pPr>
            <w:r>
              <w:rPr>
                <w:rFonts w:ascii="Arial" w:cs="Arial" w:eastAsia="Arial" w:hAnsi="Arial"/>
                <w:sz w:val="18"/>
                <w:szCs w:val="18"/>
                <w:b w:val="1"/>
                <w:bCs w:val="1"/>
                <w:color w:val="auto"/>
              </w:rPr>
              <w:t>PayNearMe, Inc.)</w:t>
            </w:r>
          </w:p>
        </w:tc>
        <w:tc>
          <w:tcPr>
            <w:tcW w:w="540" w:type="dxa"/>
            <w:vAlign w:val="bottom"/>
            <w:gridSpan w:val="4"/>
          </w:tcPr>
          <w:p>
            <w:pPr>
              <w:spacing w:after="0"/>
              <w:rPr>
                <w:sz w:val="17"/>
                <w:szCs w:val="17"/>
                <w:color w:val="auto"/>
              </w:rPr>
            </w:pPr>
          </w:p>
        </w:tc>
        <w:tc>
          <w:tcPr>
            <w:tcW w:w="60" w:type="dxa"/>
            <w:vAlign w:val="bottom"/>
          </w:tcPr>
          <w:p>
            <w:pPr>
              <w:spacing w:after="0"/>
              <w:rPr>
                <w:sz w:val="17"/>
                <w:szCs w:val="17"/>
                <w:color w:val="auto"/>
              </w:rPr>
            </w:pPr>
          </w:p>
        </w:tc>
        <w:tc>
          <w:tcPr>
            <w:tcW w:w="1840" w:type="dxa"/>
            <w:vAlign w:val="bottom"/>
          </w:tcPr>
          <w:p>
            <w:pPr>
              <w:jc w:val="center"/>
              <w:spacing w:after="0" w:line="196" w:lineRule="exact"/>
              <w:rPr>
                <w:sz w:val="20"/>
                <w:szCs w:val="20"/>
                <w:color w:val="auto"/>
              </w:rPr>
            </w:pPr>
            <w:r>
              <w:rPr>
                <w:rFonts w:ascii="Arial" w:cs="Arial" w:eastAsia="Arial" w:hAnsi="Arial"/>
                <w:sz w:val="18"/>
                <w:szCs w:val="18"/>
                <w:color w:val="auto"/>
                <w:w w:val="92"/>
              </w:rPr>
              <w:t>Sunnyvale, CA</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20" w:type="dxa"/>
            <w:vAlign w:val="bottom"/>
            <w:gridSpan w:val="17"/>
            <w:shd w:val="clear" w:color="auto" w:fill="CCEEFF"/>
          </w:tcPr>
          <w:p>
            <w:pPr>
              <w:ind w:left="20"/>
              <w:spacing w:after="0" w:line="202" w:lineRule="exact"/>
              <w:rPr>
                <w:sz w:val="20"/>
                <w:szCs w:val="20"/>
                <w:color w:val="auto"/>
              </w:rPr>
            </w:pPr>
            <w:r>
              <w:rPr>
                <w:rFonts w:ascii="Arial" w:cs="Arial" w:eastAsia="Arial" w:hAnsi="Arial"/>
                <w:sz w:val="15"/>
                <w:szCs w:val="15"/>
                <w:color w:val="auto"/>
              </w:rPr>
              <w:t>Common shares</w:t>
            </w:r>
            <w:r>
              <w:rPr>
                <w:rFonts w:ascii="Arial" w:cs="Arial" w:eastAsia="Arial" w:hAnsi="Arial"/>
                <w:sz w:val="23"/>
                <w:szCs w:val="23"/>
                <w:color w:val="auto"/>
                <w:vertAlign w:val="superscript"/>
              </w:rPr>
              <w:t>(13)</w:t>
            </w:r>
          </w:p>
        </w:tc>
        <w:tc>
          <w:tcPr>
            <w:tcW w:w="6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Cash Payment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89"/>
              </w:rPr>
              <w:t>5,480,348</w:t>
            </w:r>
          </w:p>
        </w:tc>
        <w:tc>
          <w:tcPr>
            <w:tcW w:w="1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14,000,398</w:t>
            </w: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5"/>
              </w:rPr>
              <w:t>164,410</w:t>
            </w:r>
          </w:p>
        </w:tc>
        <w:tc>
          <w:tcPr>
            <w:tcW w:w="7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Network</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72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20" w:type="dxa"/>
            <w:vAlign w:val="bottom"/>
            <w:gridSpan w:val="17"/>
          </w:tcPr>
          <w:p>
            <w:pPr>
              <w:ind w:left="20"/>
              <w:spacing w:after="0" w:line="176" w:lineRule="exact"/>
              <w:rPr>
                <w:sz w:val="20"/>
                <w:szCs w:val="20"/>
                <w:color w:val="auto"/>
              </w:rPr>
            </w:pPr>
            <w:r>
              <w:rPr>
                <w:rFonts w:ascii="Arial" w:cs="Arial" w:eastAsia="Arial" w:hAnsi="Arial"/>
                <w:sz w:val="18"/>
                <w:szCs w:val="18"/>
                <w:b w:val="1"/>
                <w:bCs w:val="1"/>
                <w:color w:val="auto"/>
              </w:rPr>
              <w:t>Global Education Learning</w:t>
            </w:r>
          </w:p>
        </w:tc>
        <w:tc>
          <w:tcPr>
            <w:tcW w:w="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gridSpan w:val="10"/>
          </w:tcPr>
          <w:p>
            <w:pPr>
              <w:spacing w:after="0" w:line="236" w:lineRule="exact"/>
              <w:rPr>
                <w:sz w:val="20"/>
                <w:szCs w:val="20"/>
                <w:color w:val="auto"/>
              </w:rPr>
            </w:pPr>
            <w:r>
              <w:rPr>
                <w:rFonts w:ascii="Arial" w:cs="Arial" w:eastAsia="Arial" w:hAnsi="Arial"/>
                <w:sz w:val="17"/>
                <w:szCs w:val="17"/>
                <w:b w:val="1"/>
                <w:bCs w:val="1"/>
                <w:color w:val="auto"/>
              </w:rPr>
              <w:t>(Holdings) Ltd.</w:t>
            </w:r>
            <w:r>
              <w:rPr>
                <w:rFonts w:ascii="Arial" w:cs="Arial" w:eastAsia="Arial" w:hAnsi="Arial"/>
                <w:sz w:val="27"/>
                <w:szCs w:val="27"/>
                <w:b w:val="1"/>
                <w:bCs w:val="1"/>
                <w:color w:val="auto"/>
                <w:vertAlign w:val="superscript"/>
              </w:rPr>
              <w:t>(1)</w:t>
            </w:r>
            <w:r>
              <w:rPr>
                <w:rFonts w:ascii="Arial" w:cs="Arial" w:eastAsia="Arial" w:hAnsi="Arial"/>
                <w:sz w:val="17"/>
                <w:szCs w:val="17"/>
                <w:b w:val="1"/>
                <w:bCs w:val="1"/>
                <w:color w:val="auto"/>
              </w:rPr>
              <w:t>**</w:t>
            </w:r>
          </w:p>
        </w:tc>
        <w:tc>
          <w:tcPr>
            <w:tcW w:w="600" w:type="dxa"/>
            <w:vAlign w:val="bottom"/>
            <w:gridSpan w:val="5"/>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Hong Kong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gridSpan w:val="17"/>
            <w:shd w:val="clear" w:color="auto" w:fill="CCEEFF"/>
          </w:tcPr>
          <w:p>
            <w:pPr>
              <w:ind w:left="20"/>
              <w:spacing w:after="0"/>
              <w:rPr>
                <w:sz w:val="20"/>
                <w:szCs w:val="20"/>
                <w:color w:val="auto"/>
              </w:rPr>
            </w:pPr>
            <w:r>
              <w:rPr>
                <w:rFonts w:ascii="Arial" w:cs="Arial" w:eastAsia="Arial" w:hAnsi="Arial"/>
                <w:sz w:val="18"/>
                <w:szCs w:val="18"/>
                <w:color w:val="auto"/>
              </w:rPr>
              <w:t>Preferred shares, Series A</w:t>
            </w:r>
          </w:p>
        </w:tc>
        <w:tc>
          <w:tcPr>
            <w:tcW w:w="6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Education Technology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2,126,475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675,495</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20" w:type="dxa"/>
            <w:vAlign w:val="bottom"/>
            <w:gridSpan w:val="17"/>
          </w:tcPr>
          <w:p>
            <w:pPr>
              <w:ind w:left="20"/>
              <w:spacing w:after="0" w:line="216" w:lineRule="exact"/>
              <w:rPr>
                <w:sz w:val="20"/>
                <w:szCs w:val="20"/>
                <w:color w:val="auto"/>
              </w:rPr>
            </w:pPr>
            <w:r>
              <w:rPr>
                <w:rFonts w:ascii="Arial" w:cs="Arial" w:eastAsia="Arial" w:hAnsi="Arial"/>
                <w:sz w:val="16"/>
                <w:szCs w:val="16"/>
                <w:b w:val="1"/>
                <w:bCs w:val="1"/>
                <w:color w:val="auto"/>
              </w:rPr>
              <w:t>AlwaysOn, Inc.</w:t>
            </w:r>
            <w:r>
              <w:rPr>
                <w:rFonts w:ascii="Arial" w:cs="Arial" w:eastAsia="Arial" w:hAnsi="Arial"/>
                <w:sz w:val="25"/>
                <w:szCs w:val="25"/>
                <w:b w:val="1"/>
                <w:bCs w:val="1"/>
                <w:color w:val="auto"/>
                <w:vertAlign w:val="superscript"/>
              </w:rPr>
              <w:t>(1)</w:t>
            </w:r>
          </w:p>
        </w:tc>
        <w:tc>
          <w:tcPr>
            <w:tcW w:w="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Woodside, CA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gridSpan w:val="17"/>
            <w:shd w:val="clear" w:color="auto" w:fill="CCEEFF"/>
          </w:tcPr>
          <w:p>
            <w:pPr>
              <w:ind w:left="20"/>
              <w:spacing w:after="0"/>
              <w:rPr>
                <w:sz w:val="20"/>
                <w:szCs w:val="20"/>
                <w:color w:val="auto"/>
              </w:rPr>
            </w:pPr>
            <w:r>
              <w:rPr>
                <w:rFonts w:ascii="Arial" w:cs="Arial" w:eastAsia="Arial" w:hAnsi="Arial"/>
                <w:sz w:val="18"/>
                <w:szCs w:val="18"/>
                <w:color w:val="auto"/>
              </w:rPr>
              <w:t>Preferred shares, Series A-1</w:t>
            </w:r>
          </w:p>
        </w:tc>
        <w:tc>
          <w:tcPr>
            <w:tcW w:w="6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Social Media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4,465,925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876,023</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20" w:type="dxa"/>
            <w:vAlign w:val="bottom"/>
            <w:gridSpan w:val="17"/>
          </w:tcPr>
          <w:p>
            <w:pPr>
              <w:ind w:left="20"/>
              <w:spacing w:after="0"/>
              <w:rPr>
                <w:sz w:val="20"/>
                <w:szCs w:val="20"/>
                <w:color w:val="auto"/>
              </w:rPr>
            </w:pPr>
            <w:r>
              <w:rPr>
                <w:rFonts w:ascii="Arial" w:cs="Arial" w:eastAsia="Arial" w:hAnsi="Arial"/>
                <w:sz w:val="18"/>
                <w:szCs w:val="18"/>
                <w:color w:val="auto"/>
              </w:rPr>
              <w:t>Preferred shares, Series A</w:t>
            </w: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w w:val="89"/>
              </w:rPr>
              <w:t>1,066,626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1,027,391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20" w:type="dxa"/>
            <w:vAlign w:val="bottom"/>
            <w:gridSpan w:val="17"/>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Preferred warrants Series A, $1.00</w:t>
            </w:r>
          </w:p>
        </w:tc>
        <w:tc>
          <w:tcPr>
            <w:tcW w:w="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52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Strike Price, Expiration Date</w:t>
            </w:r>
          </w:p>
        </w:tc>
        <w:tc>
          <w:tcPr>
            <w:tcW w:w="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1/9/2017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109,375</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15"/>
          </w:tcPr>
          <w:p>
            <w:pPr>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1,903,414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720" w:type="dxa"/>
            <w:vAlign w:val="bottom"/>
            <w:gridSpan w:val="17"/>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w w:val="93"/>
              </w:rPr>
              <w:t>Orchestra One, Inc. (f/k/a Learnist</w:t>
            </w: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500" w:type="dxa"/>
            <w:vAlign w:val="bottom"/>
            <w:tcBorders>
              <w:top w:val="single" w:sz="8" w:color="auto"/>
            </w:tcBorders>
            <w:gridSpan w:val="1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San Francisco, CA</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20" w:type="dxa"/>
            <w:vAlign w:val="bottom"/>
            <w:gridSpan w:val="17"/>
          </w:tcPr>
          <w:p>
            <w:pPr>
              <w:ind w:left="20"/>
              <w:spacing w:after="0" w:line="201" w:lineRule="exact"/>
              <w:rPr>
                <w:sz w:val="20"/>
                <w:szCs w:val="20"/>
                <w:color w:val="auto"/>
              </w:rPr>
            </w:pPr>
            <w:r>
              <w:rPr>
                <w:rFonts w:ascii="Arial" w:cs="Arial" w:eastAsia="Arial" w:hAnsi="Arial"/>
                <w:sz w:val="18"/>
                <w:szCs w:val="18"/>
                <w:color w:val="auto"/>
              </w:rPr>
              <w:t>Common shares</w:t>
            </w:r>
          </w:p>
        </w:tc>
        <w:tc>
          <w:tcPr>
            <w:tcW w:w="60" w:type="dxa"/>
            <w:vAlign w:val="bottom"/>
          </w:tcPr>
          <w:p>
            <w:pPr>
              <w:spacing w:after="0"/>
              <w:rPr>
                <w:sz w:val="17"/>
                <w:szCs w:val="17"/>
                <w:color w:val="auto"/>
              </w:rPr>
            </w:pP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89"/>
              </w:rPr>
              <w:t>Consumer Health</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Technology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57,026</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4,959,614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20" w:type="dxa"/>
            <w:vAlign w:val="bottom"/>
            <w:gridSpan w:val="17"/>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Cricket Media (f/k/a ePals Inc.)</w:t>
            </w:r>
            <w:r>
              <w:rPr>
                <w:rFonts w:ascii="Arial" w:cs="Arial" w:eastAsia="Arial" w:hAnsi="Arial"/>
                <w:sz w:val="25"/>
                <w:szCs w:val="25"/>
                <w:b w:val="1"/>
                <w:bCs w:val="1"/>
                <w:color w:val="auto"/>
                <w:vertAlign w:val="superscript"/>
              </w:rPr>
              <w:t>(10)</w:t>
            </w:r>
          </w:p>
        </w:tc>
        <w:tc>
          <w:tcPr>
            <w:tcW w:w="6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Herndon, VA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gridSpan w:val="17"/>
          </w:tcPr>
          <w:p>
            <w:pPr>
              <w:ind w:left="20"/>
              <w:spacing w:after="0"/>
              <w:rPr>
                <w:sz w:val="20"/>
                <w:szCs w:val="20"/>
                <w:color w:val="auto"/>
              </w:rPr>
            </w:pPr>
            <w:r>
              <w:rPr>
                <w:rFonts w:ascii="Arial" w:cs="Arial" w:eastAsia="Arial" w:hAnsi="Arial"/>
                <w:sz w:val="18"/>
                <w:szCs w:val="18"/>
                <w:color w:val="auto"/>
              </w:rPr>
              <w:t>Common shares</w:t>
            </w:r>
          </w:p>
        </w:tc>
        <w:tc>
          <w:tcPr>
            <w:tcW w:w="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Online Education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133,333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2,448,959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720" w:type="dxa"/>
            <w:vAlign w:val="bottom"/>
            <w:gridSpan w:val="17"/>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Earlyshares.com, Inc.</w:t>
            </w:r>
          </w:p>
        </w:tc>
        <w:tc>
          <w:tcPr>
            <w:tcW w:w="6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8"/>
              </w:rPr>
              <w:t>Miami, FL</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720" w:type="dxa"/>
            <w:vAlign w:val="bottom"/>
            <w:gridSpan w:val="17"/>
          </w:tcPr>
          <w:p>
            <w:pPr>
              <w:ind w:left="20"/>
              <w:spacing w:after="0" w:line="206" w:lineRule="exact"/>
              <w:rPr>
                <w:sz w:val="20"/>
                <w:szCs w:val="20"/>
                <w:color w:val="auto"/>
              </w:rPr>
            </w:pPr>
            <w:r>
              <w:rPr>
                <w:rFonts w:ascii="Arial" w:cs="Arial" w:eastAsia="Arial" w:hAnsi="Arial"/>
                <w:sz w:val="18"/>
                <w:szCs w:val="18"/>
                <w:color w:val="auto"/>
              </w:rPr>
              <w:t>Convertible Promissory Note 5%,</w:t>
            </w:r>
          </w:p>
        </w:tc>
        <w:tc>
          <w:tcPr>
            <w:tcW w:w="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520" w:type="dxa"/>
            <w:vAlign w:val="bottom"/>
            <w:gridSpan w:val="15"/>
          </w:tcPr>
          <w:p>
            <w:pPr>
              <w:spacing w:after="0" w:line="266" w:lineRule="exact"/>
              <w:rPr>
                <w:sz w:val="20"/>
                <w:szCs w:val="20"/>
                <w:color w:val="auto"/>
              </w:rPr>
            </w:pPr>
            <w:r>
              <w:rPr>
                <w:rFonts w:ascii="Arial" w:cs="Arial" w:eastAsia="Arial" w:hAnsi="Arial"/>
                <w:sz w:val="18"/>
                <w:szCs w:val="18"/>
                <w:color w:val="auto"/>
              </w:rPr>
              <w:t>Due 2/26/2017***</w:t>
            </w:r>
            <w:r>
              <w:rPr>
                <w:rFonts w:ascii="Arial" w:cs="Arial" w:eastAsia="Arial" w:hAnsi="Arial"/>
                <w:sz w:val="30"/>
                <w:szCs w:val="30"/>
                <w:color w:val="auto"/>
                <w:vertAlign w:val="superscript"/>
              </w:rPr>
              <w:t>(9)(3)</w:t>
            </w:r>
          </w:p>
        </w:tc>
        <w:tc>
          <w:tcPr>
            <w:tcW w:w="60" w:type="dxa"/>
            <w:vAlign w:val="bottom"/>
          </w:tcPr>
          <w:p>
            <w:pPr>
              <w:spacing w:after="0"/>
              <w:rPr>
                <w:sz w:val="23"/>
                <w:szCs w:val="23"/>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Equity Crowdfunding</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50,840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20" w:type="dxa"/>
            <w:vAlign w:val="bottom"/>
            <w:gridSpan w:val="17"/>
            <w:shd w:val="clear" w:color="auto" w:fill="CCEEFF"/>
          </w:tcPr>
          <w:p>
            <w:pPr>
              <w:ind w:left="20"/>
              <w:spacing w:after="0"/>
              <w:rPr>
                <w:sz w:val="20"/>
                <w:szCs w:val="20"/>
                <w:color w:val="auto"/>
              </w:rPr>
            </w:pPr>
            <w:r>
              <w:rPr>
                <w:rFonts w:ascii="Arial" w:cs="Arial" w:eastAsia="Arial" w:hAnsi="Arial"/>
                <w:sz w:val="18"/>
                <w:szCs w:val="18"/>
                <w:color w:val="auto"/>
              </w:rPr>
              <w:t>Preferred shares, Series A</w:t>
            </w:r>
          </w:p>
        </w:tc>
        <w:tc>
          <w:tcPr>
            <w:tcW w:w="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165,715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261,598</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15"/>
          </w:tcPr>
          <w:p>
            <w:pPr>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312,438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-6834505</wp:posOffset>
            </wp:positionV>
            <wp:extent cx="5213985"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-4287520</wp:posOffset>
            </wp:positionV>
            <wp:extent cx="5213985" cy="2832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-1731645</wp:posOffset>
            </wp:positionV>
            <wp:extent cx="5213985"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883" w:gutter="0" w:footer="0" w:header="0"/>
        </w:sectPr>
      </w:pPr>
    </w:p>
    <w:bookmarkStart w:id="20" w:name="page21"/>
    <w:bookmarkEnd w:id="2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-36195</wp:posOffset>
            </wp:positionV>
            <wp:extent cx="5411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11470" cy="8890"/>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38"/>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 of</w:t>
            </w:r>
          </w:p>
        </w:tc>
      </w:tr>
      <w:tr>
        <w:trPr>
          <w:trHeight w:val="153"/>
        </w:trPr>
        <w:tc>
          <w:tcPr>
            <w:tcW w:w="272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4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Principal</w:t>
            </w: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3"/>
                <w:szCs w:val="13"/>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w w:val="95"/>
              </w:rPr>
              <w:t>Net Assets</w:t>
            </w:r>
          </w:p>
        </w:tc>
      </w:tr>
      <w:tr>
        <w:trPr>
          <w:trHeight w:val="169"/>
        </w:trPr>
        <w:tc>
          <w:tcPr>
            <w:tcW w:w="2720" w:type="dxa"/>
            <w:vAlign w:val="bottom"/>
            <w:gridSpan w:val="8"/>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Beamreach Solar, Inc. (f/k/a</w:t>
            </w: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gridSpan w:val="5"/>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Solexel, Inc.)</w:t>
            </w:r>
          </w:p>
        </w:tc>
        <w:tc>
          <w:tcPr>
            <w:tcW w:w="56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Milpitas, CA</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05"/>
        </w:trPr>
        <w:tc>
          <w:tcPr>
            <w:tcW w:w="2720" w:type="dxa"/>
            <w:vAlign w:val="bottom"/>
            <w:gridSpan w:val="8"/>
          </w:tcPr>
          <w:p>
            <w:pPr>
              <w:ind w:left="20"/>
              <w:spacing w:after="0" w:line="206" w:lineRule="exact"/>
              <w:rPr>
                <w:sz w:val="20"/>
                <w:szCs w:val="20"/>
                <w:color w:val="auto"/>
              </w:rPr>
            </w:pPr>
            <w:r>
              <w:rPr>
                <w:rFonts w:ascii="Arial" w:cs="Arial" w:eastAsia="Arial" w:hAnsi="Arial"/>
                <w:sz w:val="18"/>
                <w:szCs w:val="18"/>
                <w:color w:val="auto"/>
              </w:rPr>
              <w:t>Convertible Promissory Note 9%,</w:t>
            </w: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67"/>
        </w:trPr>
        <w:tc>
          <w:tcPr>
            <w:tcW w:w="20" w:type="dxa"/>
            <w:vAlign w:val="bottom"/>
          </w:tcPr>
          <w:p>
            <w:pPr>
              <w:spacing w:after="0"/>
              <w:rPr>
                <w:sz w:val="23"/>
                <w:szCs w:val="23"/>
                <w:color w:val="auto"/>
              </w:rPr>
            </w:pPr>
          </w:p>
        </w:tc>
        <w:tc>
          <w:tcPr>
            <w:tcW w:w="2700" w:type="dxa"/>
            <w:vAlign w:val="bottom"/>
            <w:gridSpan w:val="7"/>
          </w:tcPr>
          <w:p>
            <w:pPr>
              <w:ind w:left="180"/>
              <w:spacing w:after="0" w:line="266" w:lineRule="exact"/>
              <w:rPr>
                <w:sz w:val="20"/>
                <w:szCs w:val="20"/>
                <w:color w:val="auto"/>
              </w:rPr>
            </w:pPr>
            <w:r>
              <w:rPr>
                <w:rFonts w:ascii="Arial" w:cs="Arial" w:eastAsia="Arial" w:hAnsi="Arial"/>
                <w:sz w:val="18"/>
                <w:szCs w:val="18"/>
                <w:color w:val="auto"/>
              </w:rPr>
              <w:t>Due 5/10/2017***</w:t>
            </w:r>
            <w:r>
              <w:rPr>
                <w:rFonts w:ascii="Arial" w:cs="Arial" w:eastAsia="Arial" w:hAnsi="Arial"/>
                <w:sz w:val="30"/>
                <w:szCs w:val="30"/>
                <w:color w:val="auto"/>
                <w:vertAlign w:val="superscript"/>
              </w:rPr>
              <w:t>(3)(16)</w:t>
            </w:r>
          </w:p>
        </w:tc>
        <w:tc>
          <w:tcPr>
            <w:tcW w:w="40" w:type="dxa"/>
            <w:vAlign w:val="bottom"/>
          </w:tcPr>
          <w:p>
            <w:pPr>
              <w:spacing w:after="0"/>
              <w:rPr>
                <w:sz w:val="23"/>
                <w:szCs w:val="23"/>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Solar Power</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250,000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254,444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Preferred shares, Series D</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w w:val="97"/>
              </w:rPr>
              <w:t>1,613,413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2,419,751</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gridSpan w:val="8"/>
          </w:tcPr>
          <w:p>
            <w:pPr>
              <w:ind w:left="20"/>
              <w:spacing w:after="0"/>
              <w:rPr>
                <w:sz w:val="20"/>
                <w:szCs w:val="20"/>
                <w:color w:val="auto"/>
              </w:rPr>
            </w:pPr>
            <w:r>
              <w:rPr>
                <w:rFonts w:ascii="Arial" w:cs="Arial" w:eastAsia="Arial" w:hAnsi="Arial"/>
                <w:sz w:val="18"/>
                <w:szCs w:val="18"/>
                <w:color w:val="auto"/>
              </w:rPr>
              <w:t>Preferred shares, Series C</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w w:val="97"/>
              </w:rPr>
              <w:t>5,300,158</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11,598,648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7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14,272,843</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169"/>
        </w:trPr>
        <w:tc>
          <w:tcPr>
            <w:tcW w:w="2720" w:type="dxa"/>
            <w:vAlign w:val="bottom"/>
            <w:tcBorders>
              <w:top w:val="single" w:sz="8" w:color="CCEEFF"/>
            </w:tcBorders>
            <w:gridSpan w:val="8"/>
          </w:tcPr>
          <w:p>
            <w:pPr>
              <w:ind w:left="20"/>
              <w:spacing w:after="0" w:line="170" w:lineRule="exact"/>
              <w:rPr>
                <w:sz w:val="20"/>
                <w:szCs w:val="20"/>
                <w:color w:val="auto"/>
              </w:rPr>
            </w:pPr>
            <w:r>
              <w:rPr>
                <w:rFonts w:ascii="Arial" w:cs="Arial" w:eastAsia="Arial" w:hAnsi="Arial"/>
                <w:sz w:val="18"/>
                <w:szCs w:val="18"/>
                <w:b w:val="1"/>
                <w:bCs w:val="1"/>
                <w:color w:val="auto"/>
              </w:rPr>
              <w:t>AliphCom, Inc. (d/b/a Jawbone)</w:t>
            </w:r>
          </w:p>
        </w:tc>
        <w:tc>
          <w:tcPr>
            <w:tcW w:w="4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line="170" w:lineRule="exact"/>
              <w:rPr>
                <w:sz w:val="20"/>
                <w:szCs w:val="20"/>
                <w:color w:val="auto"/>
              </w:rPr>
            </w:pPr>
            <w:r>
              <w:rPr>
                <w:rFonts w:ascii="Arial" w:cs="Arial" w:eastAsia="Arial" w:hAnsi="Arial"/>
                <w:sz w:val="18"/>
                <w:szCs w:val="18"/>
                <w:color w:val="auto"/>
                <w:w w:val="90"/>
              </w:rPr>
              <w:t>San Francisco, CA</w:t>
            </w: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Smart Device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7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40" w:type="dxa"/>
            <w:vAlign w:val="bottom"/>
            <w:shd w:val="clear" w:color="auto" w:fill="CCEEFF"/>
          </w:tcPr>
          <w:p>
            <w:pPr>
              <w:spacing w:after="0"/>
              <w:rPr>
                <w:sz w:val="20"/>
                <w:szCs w:val="20"/>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Company</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793,152</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0"/>
        </w:trPr>
        <w:tc>
          <w:tcPr>
            <w:tcW w:w="2720" w:type="dxa"/>
            <w:vAlign w:val="bottom"/>
            <w:gridSpan w:val="8"/>
          </w:tcPr>
          <w:p>
            <w:pPr>
              <w:ind w:left="20"/>
              <w:spacing w:after="0"/>
              <w:rPr>
                <w:sz w:val="20"/>
                <w:szCs w:val="20"/>
                <w:color w:val="auto"/>
              </w:rPr>
            </w:pPr>
            <w:r>
              <w:rPr>
                <w:rFonts w:ascii="Arial" w:cs="Arial" w:eastAsia="Arial" w:hAnsi="Arial"/>
                <w:sz w:val="18"/>
                <w:szCs w:val="18"/>
                <w:b w:val="1"/>
                <w:bCs w:val="1"/>
                <w:color w:val="auto"/>
              </w:rPr>
              <w:t>Total Portfolio Investments</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9"/>
              </w:rPr>
              <w:t>278,768,274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262,015,146</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136.38%</w:t>
            </w:r>
          </w:p>
        </w:tc>
      </w:tr>
      <w:tr>
        <w:trPr>
          <w:trHeight w:val="169"/>
        </w:trPr>
        <w:tc>
          <w:tcPr>
            <w:tcW w:w="2720" w:type="dxa"/>
            <w:vAlign w:val="bottom"/>
            <w:gridSpan w:val="8"/>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U.S. Treasury</w:t>
            </w: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2720" w:type="dxa"/>
            <w:vAlign w:val="bottom"/>
            <w:gridSpan w:val="8"/>
          </w:tcPr>
          <w:p>
            <w:pPr>
              <w:ind w:left="20"/>
              <w:spacing w:after="0" w:line="201" w:lineRule="exact"/>
              <w:rPr>
                <w:sz w:val="20"/>
                <w:szCs w:val="20"/>
                <w:color w:val="auto"/>
              </w:rPr>
            </w:pPr>
            <w:r>
              <w:rPr>
                <w:rFonts w:ascii="Arial" w:cs="Arial" w:eastAsia="Arial" w:hAnsi="Arial"/>
                <w:sz w:val="18"/>
                <w:szCs w:val="18"/>
                <w:color w:val="auto"/>
              </w:rPr>
              <w:t>U.S. Treasury Bill, 0%,</w:t>
            </w: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gridSpan w:val="7"/>
          </w:tcPr>
          <w:p>
            <w:pPr>
              <w:ind w:left="180"/>
              <w:spacing w:after="0"/>
              <w:rPr>
                <w:sz w:val="20"/>
                <w:szCs w:val="20"/>
                <w:color w:val="auto"/>
              </w:rPr>
            </w:pPr>
            <w:r>
              <w:rPr>
                <w:rFonts w:ascii="Arial" w:cs="Arial" w:eastAsia="Arial" w:hAnsi="Arial"/>
                <w:sz w:val="18"/>
                <w:szCs w:val="18"/>
                <w:color w:val="auto"/>
              </w:rPr>
              <w:t>due 1/5/2017***</w:t>
            </w:r>
          </w:p>
        </w:tc>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8"/>
              <w:spacing w:after="0"/>
              <w:rPr>
                <w:sz w:val="20"/>
                <w:szCs w:val="20"/>
                <w:color w:val="auto"/>
              </w:rPr>
            </w:pPr>
            <w:r>
              <w:rPr>
                <w:rFonts w:ascii="Arial" w:cs="Arial" w:eastAsia="Arial" w:hAnsi="Arial"/>
                <w:sz w:val="18"/>
                <w:szCs w:val="18"/>
                <w:color w:val="auto"/>
                <w:w w:val="86"/>
              </w:rPr>
              <w:t>30,000,000</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29,998,750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29,998,490</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15.62%</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720" w:type="dxa"/>
            <w:vAlign w:val="bottom"/>
            <w:gridSpan w:val="8"/>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w:t>
            </w:r>
          </w:p>
        </w:tc>
        <w:tc>
          <w:tcPr>
            <w:tcW w:w="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308,767,024</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292,013,636</w:t>
            </w:r>
          </w:p>
        </w:tc>
        <w:tc>
          <w:tcPr>
            <w:tcW w:w="8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152.00%</w:t>
            </w:r>
          </w:p>
        </w:tc>
      </w:tr>
      <w:tr>
        <w:trPr>
          <w:trHeight w:val="264"/>
        </w:trPr>
        <w:tc>
          <w:tcPr>
            <w:tcW w:w="20" w:type="dxa"/>
            <w:vAlign w:val="bottom"/>
            <w:tcBorders>
              <w:top w:val="single" w:sz="8" w:color="CCEEFF"/>
            </w:tcBorders>
          </w:tcPr>
          <w:p>
            <w:pPr>
              <w:spacing w:after="0"/>
              <w:rPr>
                <w:sz w:val="22"/>
                <w:szCs w:val="22"/>
                <w:color w:val="auto"/>
              </w:rPr>
            </w:pPr>
          </w:p>
        </w:tc>
        <w:tc>
          <w:tcPr>
            <w:tcW w:w="180" w:type="dxa"/>
            <w:vAlign w:val="bottom"/>
            <w:tcBorders>
              <w:top w:val="single" w:sz="8" w:color="CCEEFF"/>
              <w:bottom w:val="single" w:sz="8" w:color="auto"/>
            </w:tcBorders>
          </w:tcPr>
          <w:p>
            <w:pPr>
              <w:spacing w:after="0"/>
              <w:rPr>
                <w:sz w:val="22"/>
                <w:szCs w:val="22"/>
                <w:color w:val="auto"/>
              </w:rPr>
            </w:pPr>
          </w:p>
        </w:tc>
        <w:tc>
          <w:tcPr>
            <w:tcW w:w="800" w:type="dxa"/>
            <w:vAlign w:val="bottom"/>
            <w:tcBorders>
              <w:top w:val="single" w:sz="8" w:color="CCEEFF"/>
              <w:bottom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98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8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-1345565</wp:posOffset>
            </wp:positionV>
            <wp:extent cx="548005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8005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-925830</wp:posOffset>
            </wp:positionV>
            <wp:extent cx="548005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8005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48005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80050" cy="34290"/>
                    </a:xfrm>
                    <a:prstGeom prst="rect">
                      <a:avLst/>
                    </a:prstGeom>
                    <a:noFill/>
                  </pic:spPr>
                </pic:pic>
              </a:graphicData>
            </a:graphic>
          </wp:anchor>
        </w:drawing>
      </w:r>
    </w:p>
    <w:p>
      <w:pPr>
        <w:spacing w:after="0" w:line="236" w:lineRule="exact"/>
        <w:rPr>
          <w:sz w:val="20"/>
          <w:szCs w:val="20"/>
          <w:color w:val="auto"/>
        </w:rPr>
      </w:pPr>
    </w:p>
    <w:p>
      <w:pPr>
        <w:ind w:left="300" w:right="579" w:hanging="272"/>
        <w:spacing w:after="0" w:line="257"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non-income-producing, unless identified. Equity investments are subject to lock-up restrictions upon their IPO. Unless otherwise noted, all investments were pledged as collateral under the SVB Credit Facility, which expired in accordance with its terms on December 31, 2016. The Company’s and GSV Asset Management, LLC’s officers and staff, as applicable; may serve on the board of directors of the Company’s portfolio investments.</w:t>
      </w:r>
    </w:p>
    <w:p>
      <w:pPr>
        <w:spacing w:after="0" w:line="80" w:lineRule="exact"/>
        <w:rPr>
          <w:sz w:val="20"/>
          <w:szCs w:val="20"/>
          <w:color w:val="auto"/>
        </w:rPr>
      </w:pPr>
    </w:p>
    <w:p>
      <w:pPr>
        <w:ind w:left="300" w:right="779" w:hanging="272"/>
        <w:spacing w:after="0" w:line="264"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 Of GSV Capital Corp.’s total portfolio, 9.47% of its total investments are non-qualifying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income-producing.</w:t>
      </w:r>
    </w:p>
    <w:p>
      <w:pPr>
        <w:spacing w:after="0" w:line="117" w:lineRule="exact"/>
        <w:rPr>
          <w:sz w:val="20"/>
          <w:szCs w:val="20"/>
          <w:color w:val="auto"/>
        </w:rPr>
      </w:pPr>
    </w:p>
    <w:p>
      <w:pPr>
        <w:jc w:val="both"/>
        <w:ind w:left="300" w:right="599" w:hanging="272"/>
        <w:spacing w:after="0" w:line="286" w:lineRule="auto"/>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Denotes an Affiliate Investment. “Affiliate Investments” are investments in those companies that are “Affiliated Companies” of GSV Capital Corp., as defined in the Investment Company Act of 1940, as amended. A company is deemed to be an “Affiliate” of GSV Capital Corp. if GSV Capital Corp. owns 5% or more of the voting securities of such company.</w:t>
      </w:r>
    </w:p>
    <w:p>
      <w:pPr>
        <w:spacing w:after="0" w:line="57" w:lineRule="exact"/>
        <w:rPr>
          <w:rFonts w:ascii="Arial" w:cs="Arial" w:eastAsia="Arial" w:hAnsi="Arial"/>
          <w:sz w:val="17"/>
          <w:szCs w:val="17"/>
          <w:color w:val="auto"/>
        </w:rPr>
      </w:pPr>
    </w:p>
    <w:p>
      <w:pPr>
        <w:ind w:left="300" w:right="599" w:hanging="272"/>
        <w:spacing w:after="0" w:line="312" w:lineRule="auto"/>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Denotes a Control Investment. “Control Investments” are investments in those companies that are “Controlled Companies” of GSV Capital Corp., as defined in the Investment Company Act of 1940, as amended. A company is deemed to be a “Controlled Company” of GSV Capital Corp. if GSV Capital Corp. owns more than 25% of the voting securities of such company.</w:t>
      </w:r>
    </w:p>
    <w:p>
      <w:pPr>
        <w:spacing w:after="0" w:line="38" w:lineRule="exact"/>
        <w:rPr>
          <w:rFonts w:ascii="Arial" w:cs="Arial" w:eastAsia="Arial" w:hAnsi="Arial"/>
          <w:sz w:val="16"/>
          <w:szCs w:val="16"/>
          <w:color w:val="auto"/>
        </w:rPr>
      </w:pPr>
    </w:p>
    <w:p>
      <w:pPr>
        <w:ind w:left="300" w:hanging="27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 was on non-accrual status as of December 31, 2016.</w:t>
      </w:r>
    </w:p>
    <w:p>
      <w:pPr>
        <w:spacing w:after="0" w:line="117" w:lineRule="exact"/>
        <w:rPr>
          <w:rFonts w:ascii="Arial" w:cs="Arial" w:eastAsia="Arial" w:hAnsi="Arial"/>
          <w:sz w:val="18"/>
          <w:szCs w:val="18"/>
          <w:color w:val="auto"/>
        </w:rPr>
      </w:pPr>
    </w:p>
    <w:p>
      <w:pPr>
        <w:ind w:left="300" w:right="959" w:hanging="272"/>
        <w:spacing w:after="0" w:line="277"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 owned subsidiary GSVC AV Holdings, Inc.</w:t>
      </w:r>
    </w:p>
    <w:p>
      <w:pPr>
        <w:spacing w:after="0" w:line="62" w:lineRule="exact"/>
        <w:rPr>
          <w:rFonts w:ascii="Arial" w:cs="Arial" w:eastAsia="Arial" w:hAnsi="Arial"/>
          <w:sz w:val="18"/>
          <w:szCs w:val="18"/>
          <w:color w:val="auto"/>
        </w:rPr>
      </w:pPr>
    </w:p>
    <w:p>
      <w:pPr>
        <w:jc w:val="both"/>
        <w:ind w:left="300" w:right="519" w:hanging="272"/>
        <w:spacing w:after="0" w:line="264"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 owned subsidiary GSVC SW Holdings, Inc.</w:t>
      </w:r>
    </w:p>
    <w:p>
      <w:pPr>
        <w:spacing w:after="0" w:line="128" w:lineRule="exact"/>
        <w:rPr>
          <w:rFonts w:ascii="Arial" w:cs="Arial" w:eastAsia="Arial" w:hAnsi="Arial"/>
          <w:sz w:val="17"/>
          <w:szCs w:val="17"/>
          <w:color w:val="auto"/>
        </w:rPr>
      </w:pPr>
    </w:p>
    <w:p>
      <w:pPr>
        <w:ind w:left="300" w:right="759" w:hanging="272"/>
        <w:spacing w:after="0" w:line="277"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62" w:lineRule="exact"/>
        <w:rPr>
          <w:rFonts w:ascii="Arial" w:cs="Arial" w:eastAsia="Arial" w:hAnsi="Arial"/>
          <w:sz w:val="18"/>
          <w:szCs w:val="18"/>
          <w:color w:val="auto"/>
        </w:rPr>
      </w:pPr>
    </w:p>
    <w:p>
      <w:pPr>
        <w:ind w:left="300" w:right="799" w:hanging="272"/>
        <w:spacing w:after="0" w:line="264"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200" w:lineRule="exact"/>
        <w:rPr>
          <w:sz w:val="20"/>
          <w:szCs w:val="20"/>
          <w:color w:val="auto"/>
        </w:rPr>
      </w:pPr>
    </w:p>
    <w:p>
      <w:pPr>
        <w:spacing w:after="0" w:line="305"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03" w:lineRule="exact"/>
        <w:rPr>
          <w:sz w:val="20"/>
          <w:szCs w:val="20"/>
          <w:color w:val="auto"/>
        </w:rPr>
      </w:pPr>
    </w:p>
    <w:p>
      <w:pPr>
        <w:ind w:left="280" w:right="559" w:hanging="272"/>
        <w:spacing w:after="0" w:line="264"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February 26, 2015. Accrued interest is not payable until the earlier of (a) the closing of a subsequent equity offering by Earlyshares.com, Inc., or (b) the maturity of the note (February 26,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(10)On June 6, 2016, Cricket Media (f/k/a ePals Inc.) declared a 10:1 reverse split of its common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(11)On July 29, 2016, Aspiration Partners, Inc. declared a 30:1 split of its preferred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(12)On December 30, 2016, Declara, Inc. extended the maturity date of the note held for one year until June 30, 2017.</w:t>
      </w:r>
    </w:p>
    <w:p>
      <w:pPr>
        <w:spacing w:after="0" w:line="117" w:lineRule="exact"/>
        <w:rPr>
          <w:sz w:val="20"/>
          <w:szCs w:val="20"/>
          <w:color w:val="auto"/>
        </w:rPr>
      </w:pPr>
    </w:p>
    <w:p>
      <w:pPr>
        <w:ind w:left="320" w:right="759" w:hanging="310"/>
        <w:spacing w:after="0" w:line="277" w:lineRule="auto"/>
        <w:rPr>
          <w:sz w:val="20"/>
          <w:szCs w:val="20"/>
          <w:color w:val="auto"/>
        </w:rPr>
      </w:pPr>
      <w:r>
        <w:rPr>
          <w:rFonts w:ascii="Arial" w:cs="Arial" w:eastAsia="Arial" w:hAnsi="Arial"/>
          <w:sz w:val="18"/>
          <w:szCs w:val="18"/>
          <w:color w:val="auto"/>
        </w:rPr>
        <w:t>(13)On December 21, 2016, Handle Financial, Inc. (f/k/a PayNearMe, Inc.) converted its Series E Preferred shares into Common Class A shares on a 1:1 basis.</w:t>
      </w:r>
    </w:p>
    <w:p>
      <w:pPr>
        <w:spacing w:after="0" w:line="62" w:lineRule="exact"/>
        <w:rPr>
          <w:sz w:val="20"/>
          <w:szCs w:val="20"/>
          <w:color w:val="auto"/>
        </w:rPr>
      </w:pPr>
    </w:p>
    <w:p>
      <w:pPr>
        <w:ind w:left="320" w:right="679" w:hanging="310"/>
        <w:spacing w:after="0" w:line="277" w:lineRule="auto"/>
        <w:rPr>
          <w:sz w:val="20"/>
          <w:szCs w:val="20"/>
          <w:color w:val="auto"/>
        </w:rPr>
      </w:pPr>
      <w:r>
        <w:rPr>
          <w:rFonts w:ascii="Arial" w:cs="Arial" w:eastAsia="Arial" w:hAnsi="Arial"/>
          <w:sz w:val="18"/>
          <w:szCs w:val="18"/>
          <w:color w:val="auto"/>
        </w:rPr>
        <w:t>(14)On December 15, 2016, NestGSV, Inc. (d/b/a GSV Labs, Inc.) converted its Series A, B, C, and D Preferred shares into Series A-1, A-2, A-3, and A-4 preferred shares, respectively, on a 1:1 basis.</w:t>
      </w:r>
    </w:p>
    <w:p>
      <w:pPr>
        <w:spacing w:after="0" w:line="62" w:lineRule="exact"/>
        <w:rPr>
          <w:sz w:val="20"/>
          <w:szCs w:val="20"/>
          <w:color w:val="auto"/>
        </w:rPr>
      </w:pPr>
    </w:p>
    <w:p>
      <w:pPr>
        <w:ind w:left="320" w:right="819" w:hanging="310"/>
        <w:spacing w:after="0" w:line="277" w:lineRule="auto"/>
        <w:rPr>
          <w:sz w:val="20"/>
          <w:szCs w:val="20"/>
          <w:color w:val="auto"/>
        </w:rPr>
      </w:pPr>
      <w:r>
        <w:rPr>
          <w:rFonts w:ascii="Arial" w:cs="Arial" w:eastAsia="Arial" w:hAnsi="Arial"/>
          <w:sz w:val="18"/>
          <w:szCs w:val="18"/>
          <w:color w:val="auto"/>
        </w:rPr>
        <w:t>(15)On December 31, 2016, Circle Media (f/k/a S3 Digital Corp. (d/b/a S3i)) extended the maturity date of the note held for one year until November 17, 2017.</w:t>
      </w:r>
    </w:p>
    <w:p>
      <w:pPr>
        <w:spacing w:after="0" w:line="62" w:lineRule="exact"/>
        <w:rPr>
          <w:sz w:val="20"/>
          <w:szCs w:val="20"/>
          <w:color w:val="auto"/>
        </w:rPr>
      </w:pPr>
    </w:p>
    <w:p>
      <w:pPr>
        <w:ind w:left="320" w:right="519" w:hanging="312"/>
        <w:spacing w:after="0" w:line="286"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Interest will accrue daily on the unpaid principal balance of the note. Interest began compounding annually on November 26, 2016. Accrued interest is not payable until the earlier of (a) the closing of a subsequent equity offering by Beamreach Solar, Inc. (f/k/a Solexel, Inc.), or (b) the maturity of the note (May 10, 2017).</w:t>
      </w:r>
    </w:p>
    <w:p>
      <w:pPr>
        <w:spacing w:after="0" w:line="57" w:lineRule="exact"/>
        <w:rPr>
          <w:sz w:val="20"/>
          <w:szCs w:val="20"/>
          <w:color w:val="auto"/>
        </w:rPr>
      </w:pPr>
    </w:p>
    <w:p>
      <w:pPr>
        <w:ind w:left="320" w:right="579" w:hanging="310"/>
        <w:spacing w:after="0" w:line="264" w:lineRule="auto"/>
        <w:rPr>
          <w:sz w:val="20"/>
          <w:szCs w:val="20"/>
          <w:color w:val="auto"/>
        </w:rPr>
      </w:pPr>
      <w:r>
        <w:rPr>
          <w:rFonts w:ascii="Arial" w:cs="Arial" w:eastAsia="Arial" w:hAnsi="Arial"/>
          <w:sz w:val="18"/>
          <w:szCs w:val="18"/>
          <w:color w:val="auto"/>
        </w:rPr>
        <w:t>(17)On October 26, 2016, the Snap Inc. board of directors approved a distribution of shares of Class A common stock as a dividend to the holders of all preferred stock and common stock outstanding on October 31, 2016. One share of Class A common stock was distributed for each share of preferred stock and common stock outstanding.</w:t>
      </w:r>
    </w:p>
    <w:p>
      <w:pPr>
        <w:spacing w:after="0" w:line="200" w:lineRule="exact"/>
        <w:rPr>
          <w:sz w:val="20"/>
          <w:szCs w:val="20"/>
          <w:color w:val="auto"/>
        </w:rPr>
      </w:pPr>
    </w:p>
    <w:p>
      <w:pPr>
        <w:spacing w:after="0" w:line="305" w:lineRule="exact"/>
        <w:rPr>
          <w:sz w:val="20"/>
          <w:szCs w:val="20"/>
          <w:color w:val="auto"/>
        </w:rPr>
      </w:pPr>
    </w:p>
    <w:p>
      <w:pPr>
        <w:ind w:left="218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right="297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w:t>
      </w:r>
      <w:r>
        <w:rPr>
          <w:rFonts w:ascii="Arial" w:cs="Arial" w:eastAsia="Arial" w:hAnsi="Arial"/>
          <w:sz w:val="18"/>
          <w:szCs w:val="18"/>
          <w:b w:val="1"/>
          <w:bCs w:val="1"/>
          <w:u w:val="single" w:color="auto"/>
          <w:color w:val="auto"/>
        </w:rPr>
        <w:t>Nature of Operations</w:t>
      </w:r>
    </w:p>
    <w:p>
      <w:pPr>
        <w:spacing w:after="0" w:line="1" w:lineRule="exact"/>
        <w:rPr>
          <w:sz w:val="20"/>
          <w:szCs w:val="20"/>
          <w:color w:val="auto"/>
        </w:rPr>
      </w:pPr>
    </w:p>
    <w:p>
      <w:pPr>
        <w:ind w:left="60" w:right="619" w:firstLine="270"/>
        <w:spacing w:after="0" w:line="297" w:lineRule="auto"/>
        <w:rPr>
          <w:sz w:val="20"/>
          <w:szCs w:val="20"/>
          <w:color w:val="auto"/>
        </w:rPr>
      </w:pPr>
      <w:r>
        <w:rPr>
          <w:rFonts w:ascii="Arial" w:cs="Arial" w:eastAsia="Arial" w:hAnsi="Arial"/>
          <w:sz w:val="16"/>
          <w:szCs w:val="16"/>
          <w:color w:val="auto"/>
        </w:rPr>
        <w:t>GSV Capital Corp. (the “Company” or “GSV Capital”), formed in September 2010 as a Maryland corporation, is an externally managed, non-diversified closed-end management investment company. The Company has elected to be regulated as a business development company under the Investment Company Act of 1940, as amended (the “1940 Act”). The Company’s investment activities are managed by GSV Asset Management, LLC (“GSV Asset Management”), and GSV Capital Service Company, LLC (“GSV Capital Service Company”) provides the administrative services necessary for the Company to operate.</w:t>
      </w:r>
    </w:p>
    <w:p>
      <w:pPr>
        <w:spacing w:after="0" w:line="50" w:lineRule="exact"/>
        <w:rPr>
          <w:sz w:val="20"/>
          <w:szCs w:val="20"/>
          <w:color w:val="auto"/>
        </w:rPr>
      </w:pPr>
    </w:p>
    <w:p>
      <w:pPr>
        <w:jc w:val="both"/>
        <w:ind w:left="60" w:right="819" w:firstLine="270"/>
        <w:spacing w:after="0" w:line="264" w:lineRule="auto"/>
        <w:rPr>
          <w:sz w:val="20"/>
          <w:szCs w:val="20"/>
          <w:color w:val="auto"/>
        </w:rPr>
      </w:pPr>
      <w:r>
        <w:rPr>
          <w:rFonts w:ascii="Arial" w:cs="Arial" w:eastAsia="Arial" w:hAnsi="Arial"/>
          <w:sz w:val="18"/>
          <w:szCs w:val="18"/>
          <w:color w:val="auto"/>
        </w:rPr>
        <w:t>The Company’s date of inception was January 6, 2011, which is the date it commenced its development stage activities. The Company’s common stock is currently listed on the Nasdaq Capital Market under the symbol “GSVC”. The Company began its investment operations during the second quarter of 2011.</w:t>
      </w:r>
    </w:p>
    <w:p>
      <w:pPr>
        <w:spacing w:after="0" w:line="73" w:lineRule="exact"/>
        <w:rPr>
          <w:sz w:val="20"/>
          <w:szCs w:val="20"/>
          <w:color w:val="auto"/>
        </w:rPr>
      </w:pPr>
    </w:p>
    <w:p>
      <w:pPr>
        <w:ind w:left="60" w:right="559" w:firstLine="270"/>
        <w:spacing w:after="0" w:line="273" w:lineRule="auto"/>
        <w:rPr>
          <w:sz w:val="20"/>
          <w:szCs w:val="20"/>
          <w:color w:val="auto"/>
        </w:rPr>
      </w:pPr>
      <w:r>
        <w:rPr>
          <w:rFonts w:ascii="Arial" w:cs="Arial" w:eastAsia="Arial" w:hAnsi="Arial"/>
          <w:sz w:val="17"/>
          <w:szCs w:val="17"/>
          <w:color w:val="auto"/>
        </w:rPr>
        <w:t>The table below displays all the Company’s subsidiaries as of June 30, 2017, which, other than GSV Capital Lending, LLC (“GCL”), are collectively referred to as the “GSVC Holdings.” The GSVC Holdings were formed to hold portfolio investments. The GSVC Holdings,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 Summary of Significant Accounting Policies — Basis of Consolidation” below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52139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Jurisdiction of</w:t>
            </w:r>
          </w:p>
        </w:tc>
        <w:tc>
          <w:tcPr>
            <w:tcW w:w="16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Formation Date</w:t>
            </w:r>
          </w:p>
        </w:tc>
        <w:tc>
          <w:tcPr>
            <w:tcW w:w="1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Incorporation</w:t>
            </w:r>
          </w:p>
        </w:tc>
        <w:tc>
          <w:tcPr>
            <w:tcW w:w="16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GCL</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13,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98"/>
        </w:trPr>
        <w:tc>
          <w:tcPr>
            <w:tcW w:w="442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96"/>
              </w:rPr>
              <w:t>Subsidiaries below are referred to collectively, as the</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tcPr>
          <w:p>
            <w:pPr>
              <w:ind w:left="200"/>
              <w:spacing w:after="0"/>
              <w:rPr>
                <w:sz w:val="20"/>
                <w:szCs w:val="20"/>
                <w:color w:val="auto"/>
              </w:rPr>
            </w:pPr>
            <w:r>
              <w:rPr>
                <w:rFonts w:ascii="Arial" w:cs="Arial" w:eastAsia="Arial" w:hAnsi="Arial"/>
                <w:sz w:val="18"/>
                <w:szCs w:val="18"/>
                <w:b w:val="1"/>
                <w:bCs w:val="1"/>
                <w:color w:val="auto"/>
              </w:rPr>
              <w:t>“GSVC Holdings”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AE Holdings, Inc. (“GAE”)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GSVC AV Holdings, Inc. (“GAV”)</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NG Holdings, Inc. (“GNG”)</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GSVC SW Holdings, Inc. (“GSW”)</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WS Holdings, Inc. (“GWS”)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GSVC SVDS Holdings, Inc. (“SVDS”)</w:t>
            </w:r>
          </w:p>
        </w:tc>
        <w:tc>
          <w:tcPr>
            <w:tcW w:w="1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August 13, 2013</w:t>
            </w:r>
          </w:p>
        </w:tc>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right="539" w:firstLine="270"/>
        <w:spacing w:after="0" w:line="293" w:lineRule="auto"/>
        <w:rPr>
          <w:sz w:val="20"/>
          <w:szCs w:val="20"/>
          <w:color w:val="auto"/>
        </w:rPr>
      </w:pPr>
      <w:r>
        <w:rPr>
          <w:rFonts w:ascii="Arial" w:cs="Arial" w:eastAsia="Arial" w:hAnsi="Arial"/>
          <w:sz w:val="16"/>
          <w:szCs w:val="16"/>
          <w:color w:val="auto"/>
        </w:rPr>
        <w:t>The Company’s investment objective is to maximize its portfolio’s total return, principally by seeking capital gains on its equity and equity-related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The Company may also invest on an opportunistic basis in select publicly traded equity securities or certain non-U.S. companies that otherwise meet its investment criteria, subject to any applicable limitations under the 1940 Act.</w:t>
      </w:r>
    </w:p>
    <w:p>
      <w:pPr>
        <w:spacing w:after="0" w:line="200" w:lineRule="exact"/>
        <w:rPr>
          <w:sz w:val="20"/>
          <w:szCs w:val="20"/>
          <w:color w:val="auto"/>
        </w:rPr>
      </w:pPr>
    </w:p>
    <w:p>
      <w:pPr>
        <w:spacing w:after="0" w:line="3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w:t>
      </w:r>
      <w:r>
        <w:rPr>
          <w:rFonts w:ascii="Arial" w:cs="Arial" w:eastAsia="Arial" w:hAnsi="Arial"/>
          <w:sz w:val="16"/>
          <w:szCs w:val="16"/>
          <w:i w:val="1"/>
          <w:iCs w:val="1"/>
          <w:color w:val="auto"/>
        </w:rPr>
        <w:t>, Financial Services — Investment</w:t>
      </w:r>
      <w:r>
        <w:rPr>
          <w:rFonts w:ascii="Arial" w:cs="Arial" w:eastAsia="Arial" w:hAnsi="Arial"/>
          <w:sz w:val="16"/>
          <w:szCs w:val="16"/>
          <w:color w:val="auto"/>
        </w:rPr>
        <w:t xml:space="preserve"> </w:t>
      </w:r>
      <w:r>
        <w:rPr>
          <w:rFonts w:ascii="Arial" w:cs="Arial" w:eastAsia="Arial" w:hAnsi="Arial"/>
          <w:sz w:val="16"/>
          <w:szCs w:val="16"/>
          <w:i w:val="1"/>
          <w:iCs w:val="1"/>
          <w:color w:val="auto"/>
        </w:rPr>
        <w:t>Companies</w:t>
      </w:r>
      <w:r>
        <w:rPr>
          <w:rFonts w:ascii="Arial" w:cs="Arial" w:eastAsia="Arial" w:hAnsi="Arial"/>
          <w:sz w:val="16"/>
          <w:szCs w:val="16"/>
          <w:color w:val="auto"/>
        </w:rPr>
        <w:t>. In the opinion of management, all adjustments, all of which were of a normal recurring nature, considered necessary</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fair presentation of condensed consolidated financial statements for the interim period have been included. The results of operations for the current interim period are not necessarily indicative of results that ultimately may be achieved for any other interim period or for the year ending December 31, 2017. The interim unaudited condensed consolidated financial statements and notes hereto should be read in conjunction with the audited condensed consolidated financial statements and notes thereto contained in the Company’s annual report on Form 10-K for the year ended December 31, 2016.</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left="40" w:right="519" w:firstLine="270"/>
        <w:spacing w:after="0" w:line="273" w:lineRule="auto"/>
        <w:rPr>
          <w:sz w:val="20"/>
          <w:szCs w:val="20"/>
          <w:color w:val="auto"/>
        </w:rPr>
      </w:pPr>
      <w:r>
        <w:rPr>
          <w:rFonts w:ascii="Arial" w:cs="Arial" w:eastAsia="Arial" w:hAnsi="Arial"/>
          <w:sz w:val="17"/>
          <w:szCs w:val="17"/>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condensed consolidated financial statements include its accounts and the accounts of the GSVC Holdings and GCL, its wholly owned subsidiaries. All intercompany balances and transactions have been eliminated in consolidation.</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The preparation of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Uncertainties and Risk Factors</w:t>
      </w:r>
    </w:p>
    <w:p>
      <w:pPr>
        <w:spacing w:after="0" w:line="117" w:lineRule="exact"/>
        <w:rPr>
          <w:sz w:val="20"/>
          <w:szCs w:val="20"/>
          <w:color w:val="auto"/>
        </w:rPr>
      </w:pPr>
    </w:p>
    <w:p>
      <w:pPr>
        <w:ind w:left="40" w:right="859" w:firstLine="270"/>
        <w:spacing w:after="0" w:line="274" w:lineRule="auto"/>
        <w:rPr>
          <w:sz w:val="20"/>
          <w:szCs w:val="20"/>
          <w:color w:val="auto"/>
        </w:rPr>
      </w:pPr>
      <w:r>
        <w:rPr>
          <w:rFonts w:ascii="Arial" w:cs="Arial" w:eastAsia="Arial" w:hAnsi="Arial"/>
          <w:sz w:val="17"/>
          <w:szCs w:val="17"/>
          <w:color w:val="auto"/>
        </w:rPr>
        <w:t>The Company is subject to a number of risks and uncertainties in the nature of its operations, as well as vulnerability due to certain concentrations. Refer to “Management’s Discussion and Analysis of Financial Condition and Results of</w:t>
      </w:r>
    </w:p>
    <w:p>
      <w:pPr>
        <w:ind w:left="40" w:right="619"/>
        <w:spacing w:after="0" w:line="254" w:lineRule="auto"/>
        <w:rPr>
          <w:sz w:val="20"/>
          <w:szCs w:val="20"/>
          <w:color w:val="auto"/>
        </w:rPr>
      </w:pPr>
      <w:r>
        <w:rPr>
          <w:rFonts w:ascii="Arial" w:cs="Arial" w:eastAsia="Arial" w:hAnsi="Arial"/>
          <w:sz w:val="18"/>
          <w:szCs w:val="18"/>
          <w:color w:val="auto"/>
        </w:rPr>
        <w:t>Operations — Forward-Looking Statements” and “Item 1A. Risk Factors” of this quarterly report on Form 10-Q and “Item 1A. Risk Factors” of our annual report on Form 10-K for the fiscal year ended December 31, 2016 for a detailed discussion of the risks and uncertainties inherent in the nature of the Company’s operations. Refer to “Note 3 — Investments at Fair Value” for an overview of the Company’s geographic and industry concentrations.</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left="40" w:right="919" w:firstLine="270"/>
        <w:spacing w:after="0" w:line="342" w:lineRule="auto"/>
        <w:rPr>
          <w:sz w:val="20"/>
          <w:szCs w:val="20"/>
          <w:color w:val="auto"/>
        </w:rPr>
      </w:pPr>
      <w:r>
        <w:rPr>
          <w:rFonts w:ascii="Arial" w:cs="Arial" w:eastAsia="Arial" w:hAnsi="Arial"/>
          <w:sz w:val="16"/>
          <w:szCs w:val="16"/>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6"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81" w:lineRule="exact"/>
        <w:rPr>
          <w:sz w:val="20"/>
          <w:szCs w:val="20"/>
          <w:color w:val="auto"/>
        </w:rPr>
      </w:pPr>
    </w:p>
    <w:p>
      <w:pPr>
        <w:ind w:left="40" w:right="619" w:firstLine="27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based on unadjusted quoted prices for identical assets or liabilities in an active market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ability to access at the measurement date.</w:t>
      </w:r>
    </w:p>
    <w:p>
      <w:pPr>
        <w:spacing w:after="0" w:line="54" w:lineRule="exact"/>
        <w:rPr>
          <w:sz w:val="20"/>
          <w:szCs w:val="20"/>
          <w:color w:val="auto"/>
        </w:rPr>
      </w:pPr>
    </w:p>
    <w:p>
      <w:pPr>
        <w:ind w:left="40" w:right="899" w:firstLine="270"/>
        <w:spacing w:after="0" w:line="289"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 Valuations based on observable inputs other than Level 1 prices, such as quoted prices for similar assets or</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quoted prices in markets that are not active; or other inputs that are observable or can be corroborated by observable market data at the measurement date for substantially the full term of the assets or liabilities.</w:t>
      </w:r>
    </w:p>
    <w:p>
      <w:pPr>
        <w:spacing w:after="0" w:line="50" w:lineRule="exact"/>
        <w:rPr>
          <w:sz w:val="20"/>
          <w:szCs w:val="20"/>
          <w:color w:val="auto"/>
        </w:rPr>
      </w:pPr>
    </w:p>
    <w:p>
      <w:pPr>
        <w:ind w:left="40" w:right="539" w:firstLine="270"/>
        <w:spacing w:after="0" w:line="281" w:lineRule="auto"/>
        <w:rPr>
          <w:sz w:val="20"/>
          <w:szCs w:val="20"/>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 Valuations based on unobservable inputs that reflect management’s best estimate of what market participants would</w:t>
      </w:r>
      <w:r>
        <w:rPr>
          <w:rFonts w:ascii="Arial" w:cs="Arial" w:eastAsia="Arial" w:hAnsi="Arial"/>
          <w:sz w:val="17"/>
          <w:szCs w:val="17"/>
          <w:b w:val="1"/>
          <w:bCs w:val="1"/>
          <w:color w:val="auto"/>
        </w:rPr>
        <w:t xml:space="preserve"> </w:t>
      </w:r>
      <w:r>
        <w:rPr>
          <w:rFonts w:ascii="Arial" w:cs="Arial" w:eastAsia="Arial" w:hAnsi="Arial"/>
          <w:sz w:val="17"/>
          <w:szCs w:val="17"/>
          <w:color w:val="auto"/>
        </w:rPr>
        <w:t>use in pricing the asset or 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61" w:lineRule="exact"/>
        <w:rPr>
          <w:sz w:val="20"/>
          <w:szCs w:val="20"/>
          <w:color w:val="auto"/>
        </w:rPr>
      </w:pPr>
    </w:p>
    <w:p>
      <w:pPr>
        <w:jc w:val="both"/>
        <w:ind w:left="40" w:right="799" w:firstLine="270"/>
        <w:spacing w:after="0" w:line="288" w:lineRule="auto"/>
        <w:rPr>
          <w:sz w:val="20"/>
          <w:szCs w:val="20"/>
          <w:color w:val="auto"/>
        </w:rPr>
      </w:pPr>
      <w:r>
        <w:rPr>
          <w:rFonts w:ascii="Arial" w:cs="Arial" w:eastAsia="Arial" w:hAnsi="Arial"/>
          <w:sz w:val="16"/>
          <w:szCs w:val="16"/>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w:t>
      </w:r>
    </w:p>
    <w:p>
      <w:pPr>
        <w:ind w:left="40" w:right="579"/>
        <w:spacing w:after="0" w:line="255" w:lineRule="auto"/>
        <w:rPr>
          <w:sz w:val="20"/>
          <w:szCs w:val="20"/>
          <w:color w:val="auto"/>
        </w:rPr>
      </w:pPr>
      <w:r>
        <w:rPr>
          <w:rFonts w:ascii="Arial" w:cs="Arial" w:eastAsia="Arial" w:hAnsi="Arial"/>
          <w:sz w:val="18"/>
          <w:szCs w:val="18"/>
          <w:color w:val="auto"/>
        </w:rPr>
        <w:t>Therefore, gains and losses for such assets and liabilities categorized within the Level 3 table set forth in “Note 3 — Investments at Fair Value” may include changes in fair value that are attributable to both observable inputs (Levels 1 and 2) and unobservable inputs (Level 3).</w:t>
      </w:r>
    </w:p>
    <w:p>
      <w:pPr>
        <w:spacing w:after="0" w:line="82" w:lineRule="exact"/>
        <w:rPr>
          <w:sz w:val="20"/>
          <w:szCs w:val="20"/>
          <w:color w:val="auto"/>
        </w:rPr>
      </w:pPr>
    </w:p>
    <w:p>
      <w:pPr>
        <w:ind w:left="40" w:right="659" w:firstLine="270"/>
        <w:spacing w:after="0" w:line="276" w:lineRule="auto"/>
        <w:rPr>
          <w:sz w:val="20"/>
          <w:szCs w:val="20"/>
          <w:color w:val="auto"/>
        </w:rPr>
      </w:pPr>
      <w:r>
        <w:rPr>
          <w:rFonts w:ascii="Arial" w:cs="Arial" w:eastAsia="Arial" w:hAnsi="Arial"/>
          <w:sz w:val="17"/>
          <w:szCs w:val="17"/>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quarter in which the reclassifications occur. Refer to “Levelling Policy” below for a detailed discussion of the levelling of the Company’s financial assets or liabilities and events that may cause a reclassification within the fair value hierarchy.</w:t>
      </w:r>
    </w:p>
    <w:p>
      <w:pPr>
        <w:spacing w:after="0" w:line="64" w:lineRule="exact"/>
        <w:rPr>
          <w:sz w:val="20"/>
          <w:szCs w:val="20"/>
          <w:color w:val="auto"/>
        </w:rPr>
      </w:pPr>
    </w:p>
    <w:p>
      <w:pPr>
        <w:ind w:left="40" w:right="619" w:firstLine="270"/>
        <w:spacing w:after="0" w:line="272" w:lineRule="auto"/>
        <w:rPr>
          <w:sz w:val="20"/>
          <w:szCs w:val="20"/>
          <w:color w:val="auto"/>
        </w:rPr>
      </w:pPr>
      <w:r>
        <w:rPr>
          <w:rFonts w:ascii="Arial" w:cs="Arial" w:eastAsia="Arial" w:hAnsi="Arial"/>
          <w:sz w:val="17"/>
          <w:szCs w:val="17"/>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Securities for which reliable market quotations are not readily available or for which the pricing source does not provide a valuation or methodology, or provides a valuation or methodology that, in the judgment of GSV Asset Management, our board of directors or the valuation committee of the Company’s board of directors (the “Valuation Committee”), does not reliably represent fair value, shall each be valued as follows:</w:t>
      </w:r>
    </w:p>
    <w:p>
      <w:pPr>
        <w:spacing w:after="0" w:line="79" w:lineRule="exact"/>
        <w:rPr>
          <w:sz w:val="20"/>
          <w:szCs w:val="20"/>
          <w:color w:val="auto"/>
        </w:rPr>
      </w:pPr>
    </w:p>
    <w:p>
      <w:pPr>
        <w:ind w:left="540" w:right="699" w:hanging="26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of GSV Asset Management responsible for the portfolio investment;</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GSV Asset Management senior management;</w:t>
      </w:r>
    </w:p>
    <w:p>
      <w:pPr>
        <w:spacing w:after="0" w:line="140" w:lineRule="exact"/>
        <w:rPr>
          <w:rFonts w:ascii="Arial" w:cs="Arial" w:eastAsia="Arial" w:hAnsi="Arial"/>
          <w:sz w:val="16"/>
          <w:szCs w:val="16"/>
          <w:color w:val="auto"/>
        </w:rPr>
      </w:pPr>
    </w:p>
    <w:p>
      <w:pPr>
        <w:ind w:left="540" w:right="659" w:hanging="262"/>
        <w:spacing w:after="0" w:line="26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the Valuation Committee to conduct independent appraisals and review GSV Asset Management’s preliminary valuations and make its own independent assessment, for all investments for which there are no readily available market quotations;</w:t>
      </w:r>
    </w:p>
    <w:p>
      <w:pPr>
        <w:spacing w:after="0" w:line="73" w:lineRule="exact"/>
        <w:rPr>
          <w:rFonts w:ascii="Arial" w:cs="Arial" w:eastAsia="Arial" w:hAnsi="Arial"/>
          <w:sz w:val="18"/>
          <w:szCs w:val="18"/>
          <w:color w:val="auto"/>
        </w:rPr>
      </w:pPr>
    </w:p>
    <w:p>
      <w:pPr>
        <w:jc w:val="both"/>
        <w:ind w:left="540" w:right="819" w:hanging="262"/>
        <w:spacing w:after="0" w:line="26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Valuation Committee discusses the valuations and recommends to the Company’s board of directors a fair value for each investment in the portfolio based on the input of GSV Asset Management and the independent third-party valuation firm; and</w:t>
      </w:r>
    </w:p>
    <w:p>
      <w:pPr>
        <w:spacing w:after="0" w:line="73" w:lineRule="exact"/>
        <w:rPr>
          <w:rFonts w:ascii="Arial" w:cs="Arial" w:eastAsia="Arial" w:hAnsi="Arial"/>
          <w:sz w:val="18"/>
          <w:szCs w:val="18"/>
          <w:color w:val="auto"/>
        </w:rPr>
      </w:pPr>
    </w:p>
    <w:p>
      <w:pPr>
        <w:ind w:left="540" w:right="659" w:hanging="26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board of directors then discusses the valuations recommended by the Valuation Committee and determines in good faith the fair value of each investment in the portfolio.</w:t>
      </w:r>
    </w:p>
    <w:p>
      <w:pPr>
        <w:spacing w:after="0" w:line="62"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method to determine the fair value of each investment.</w:t>
      </w:r>
    </w:p>
    <w:p>
      <w:pPr>
        <w:spacing w:after="0" w:line="70" w:lineRule="exact"/>
        <w:rPr>
          <w:sz w:val="20"/>
          <w:szCs w:val="20"/>
          <w:color w:val="auto"/>
        </w:rPr>
      </w:pPr>
    </w:p>
    <w:p>
      <w:pPr>
        <w:ind w:left="40" w:right="759" w:firstLine="270"/>
        <w:spacing w:after="0" w:line="276" w:lineRule="auto"/>
        <w:rPr>
          <w:sz w:val="20"/>
          <w:szCs w:val="20"/>
          <w:color w:val="auto"/>
        </w:rPr>
      </w:pPr>
      <w:r>
        <w:rPr>
          <w:rFonts w:ascii="Arial" w:cs="Arial" w:eastAsia="Arial" w:hAnsi="Arial"/>
          <w:sz w:val="17"/>
          <w:szCs w:val="17"/>
          <w:color w:val="auto"/>
        </w:rPr>
        <w:t>For investments that are not publicly traded or that do not have readily available market quotations, the Valuation Committee generally engages at least one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74"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generally uses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ind w:left="40" w:right="519" w:firstLine="270"/>
        <w:spacing w:after="0" w:line="279" w:lineRule="auto"/>
        <w:rPr>
          <w:sz w:val="20"/>
          <w:szCs w:val="20"/>
          <w:color w:val="auto"/>
        </w:rPr>
      </w:pPr>
      <w:r>
        <w:rPr>
          <w:rFonts w:ascii="Arial" w:cs="Arial" w:eastAsia="Arial" w:hAnsi="Arial"/>
          <w:sz w:val="17"/>
          <w:szCs w:val="17"/>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by the Company’s board of directors.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The Company’s board of directors will ascribe value to warrants based on fair value analyses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warrants are valued at estimated fair value as determined by the Company’s board of directors.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Levelling Policy</w:t>
      </w:r>
    </w:p>
    <w:p>
      <w:pPr>
        <w:spacing w:after="0" w:line="117" w:lineRule="exact"/>
        <w:rPr>
          <w:sz w:val="20"/>
          <w:szCs w:val="20"/>
          <w:color w:val="auto"/>
        </w:rPr>
      </w:pPr>
    </w:p>
    <w:p>
      <w:pPr>
        <w:ind w:left="40" w:right="599" w:firstLine="270"/>
        <w:spacing w:after="0" w:line="271" w:lineRule="auto"/>
        <w:rPr>
          <w:sz w:val="20"/>
          <w:szCs w:val="20"/>
          <w:color w:val="auto"/>
        </w:rPr>
      </w:pPr>
      <w:r>
        <w:rPr>
          <w:rFonts w:ascii="Arial" w:cs="Arial" w:eastAsia="Arial" w:hAnsi="Arial"/>
          <w:sz w:val="17"/>
          <w:szCs w:val="17"/>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919"/>
        <w:spacing w:after="0" w:line="342" w:lineRule="auto"/>
        <w:rPr>
          <w:sz w:val="20"/>
          <w:szCs w:val="20"/>
          <w:color w:val="auto"/>
        </w:rPr>
      </w:pPr>
      <w:r>
        <w:rPr>
          <w:rFonts w:ascii="Arial" w:cs="Arial" w:eastAsia="Arial" w:hAnsi="Arial"/>
          <w:sz w:val="16"/>
          <w:szCs w:val="16"/>
          <w:color w:val="auto"/>
        </w:rPr>
        <w:t>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Valuation of Other Financial Instruments</w:t>
      </w:r>
    </w:p>
    <w:p>
      <w:pPr>
        <w:spacing w:after="0" w:line="117"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The carrying amounts of the Company’s other, non-investment financial instruments, consisting of cash, receivables, accounts payable, and accrued expenses, approximate fair value due to their short-term nature.</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Securities Transactions</w:t>
      </w:r>
    </w:p>
    <w:p>
      <w:pPr>
        <w:spacing w:after="0" w:line="117" w:lineRule="exact"/>
        <w:rPr>
          <w:sz w:val="20"/>
          <w:szCs w:val="20"/>
          <w:color w:val="auto"/>
        </w:rPr>
      </w:pPr>
    </w:p>
    <w:p>
      <w:pPr>
        <w:ind w:left="40" w:right="539" w:firstLine="270"/>
        <w:spacing w:after="0" w:line="279" w:lineRule="auto"/>
        <w:rPr>
          <w:sz w:val="20"/>
          <w:szCs w:val="20"/>
          <w:color w:val="auto"/>
        </w:rPr>
      </w:pPr>
      <w:r>
        <w:rPr>
          <w:rFonts w:ascii="Arial" w:cs="Arial" w:eastAsia="Arial" w:hAnsi="Arial"/>
          <w:sz w:val="17"/>
          <w:szCs w:val="17"/>
          <w:color w:val="auto"/>
        </w:rPr>
        <w:t>Securities transactions are accounted for on the date the transaction for the purchase or sale of the securities is entered into by the Company (</w:t>
      </w:r>
      <w:r>
        <w:rPr>
          <w:rFonts w:ascii="Arial" w:cs="Arial" w:eastAsia="Arial" w:hAnsi="Arial"/>
          <w:sz w:val="17"/>
          <w:szCs w:val="17"/>
          <w:i w:val="1"/>
          <w:iCs w:val="1"/>
          <w:color w:val="auto"/>
        </w:rPr>
        <w:t>i.e.</w:t>
      </w:r>
      <w:r>
        <w:rPr>
          <w:rFonts w:ascii="Arial" w:cs="Arial" w:eastAsia="Arial" w:hAnsi="Arial"/>
          <w:sz w:val="17"/>
          <w:szCs w:val="17"/>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117" w:lineRule="exact"/>
        <w:rPr>
          <w:sz w:val="20"/>
          <w:szCs w:val="20"/>
          <w:color w:val="auto"/>
        </w:rPr>
      </w:pPr>
    </w:p>
    <w:p>
      <w:pPr>
        <w:ind w:left="40" w:right="639" w:firstLine="270"/>
        <w:spacing w:after="0" w:line="271" w:lineRule="auto"/>
        <w:rPr>
          <w:sz w:val="20"/>
          <w:szCs w:val="20"/>
          <w:color w:val="auto"/>
        </w:rPr>
      </w:pPr>
      <w:r>
        <w:rPr>
          <w:rFonts w:ascii="Arial" w:cs="Arial" w:eastAsia="Arial" w:hAnsi="Arial"/>
          <w:sz w:val="17"/>
          <w:szCs w:val="17"/>
          <w:color w:val="auto"/>
        </w:rPr>
        <w:t>GSV Capital is a non-diversified company within the meaning of the 1940 Act. GSV Capital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Condensed Consolidated Schedules of Investments as of June 30, 2017 and December 31, 2016, respectively, for details regarding the nature and composition of the Company’s investment portfolio.</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w:t>
      </w:r>
    </w:p>
    <w:p>
      <w:pPr>
        <w:spacing w:after="0" w:line="117"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The Company places its cash with U.S. Bank, N.A., Bridge Bank (a subsidiary of Western Alliance Bank), and Silicon Valley Bank, and at times, cash held in these accounts may exceed the Federal Deposit Insurance Corporation insured limit. The Company believes that U.S. Bank, N.A., Western Alliance Bank, and Silicon Valley Bank are high-quality financial institutions and that the risk of loss associated with any uninsured balance is remote.</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7" w:lineRule="exact"/>
        <w:rPr>
          <w:sz w:val="20"/>
          <w:szCs w:val="20"/>
          <w:color w:val="auto"/>
        </w:rPr>
      </w:pPr>
    </w:p>
    <w:p>
      <w:pPr>
        <w:ind w:left="40" w:right="519" w:firstLine="270"/>
        <w:spacing w:after="0" w:line="253" w:lineRule="auto"/>
        <w:rPr>
          <w:sz w:val="20"/>
          <w:szCs w:val="20"/>
          <w:color w:val="auto"/>
        </w:rPr>
      </w:pPr>
      <w:r>
        <w:rPr>
          <w:rFonts w:ascii="Arial" w:cs="Arial" w:eastAsia="Arial" w:hAnsi="Arial"/>
          <w:sz w:val="18"/>
          <w:szCs w:val="18"/>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the shelf registration statement has expired. For equity capital raised, the offering costs reduce paid-in capital resulting from the offering. For debt capital raised, the associated offering costs are amortized over the life of the debt instrument using the effective interest method. As of June 30, 2017, and December 31, 2016, the Company had deferred financing costs of $446,018 and $311,268, respectively, on the Condensed Consolidated Statements of Assets and Liabilities.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40" w:right="899" w:firstLine="270"/>
        <w:spacing w:after="0" w:line="264" w:lineRule="auto"/>
        <w:rPr>
          <w:sz w:val="20"/>
          <w:szCs w:val="20"/>
          <w:color w:val="auto"/>
        </w:rPr>
      </w:pPr>
      <w:r>
        <w:rPr>
          <w:rFonts w:ascii="Arial" w:cs="Arial" w:eastAsia="Arial" w:hAnsi="Arial"/>
          <w:sz w:val="18"/>
          <w:szCs w:val="18"/>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 Transaction Costs and Escrow Deposits</w:t>
      </w:r>
    </w:p>
    <w:p>
      <w:pPr>
        <w:spacing w:after="0" w:line="117"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At June 30, 2017 and December 31, 2016, the Company had no escrow deposits.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Unrealized Appreciation or Depreciation of Investments</w:t>
      </w:r>
    </w:p>
    <w:p>
      <w:pPr>
        <w:spacing w:after="0" w:line="117" w:lineRule="exact"/>
        <w:rPr>
          <w:sz w:val="20"/>
          <w:szCs w:val="20"/>
          <w:color w:val="auto"/>
        </w:rPr>
      </w:pPr>
    </w:p>
    <w:p>
      <w:pPr>
        <w:ind w:left="40" w:right="899" w:firstLine="270"/>
        <w:spacing w:after="0" w:line="277" w:lineRule="auto"/>
        <w:rPr>
          <w:sz w:val="20"/>
          <w:szCs w:val="20"/>
          <w:color w:val="auto"/>
        </w:rPr>
      </w:pPr>
      <w:r>
        <w:rPr>
          <w:rFonts w:ascii="Arial" w:cs="Arial" w:eastAsia="Arial" w:hAnsi="Arial"/>
          <w:sz w:val="18"/>
          <w:szCs w:val="18"/>
          <w:color w:val="auto"/>
        </w:rPr>
        <w:t>Unrealized appreciation or depreciation is calculated as the difference between the fair value of the investment and the cost basis of such investment.</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jc w:val="both"/>
        <w:ind w:left="40" w:right="599" w:firstLine="270"/>
        <w:spacing w:after="0" w:line="259" w:lineRule="auto"/>
        <w:rPr>
          <w:sz w:val="20"/>
          <w:szCs w:val="20"/>
          <w:color w:val="auto"/>
        </w:rPr>
      </w:pPr>
      <w:r>
        <w:rPr>
          <w:rFonts w:ascii="Arial" w:cs="Arial" w:eastAsia="Arial" w:hAnsi="Arial"/>
          <w:sz w:val="18"/>
          <w:szCs w:val="18"/>
          <w:color w:val="auto"/>
        </w:rPr>
        <w:t>The Company elected to be treated as a regulated investment company (a “RIC”) under Subchapter M of the Internal Revenue Code of 1986, as amended (the “Code”), beginning with its taxable year ended December 31, 2014, has qualified to be treated as a RIC for subsequent taxable years, and intends to continue to operate in a manner so as to qualify for the tax treatment applicable to RICs.</w:t>
      </w:r>
    </w:p>
    <w:p>
      <w:pPr>
        <w:spacing w:after="0" w:line="79"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In order to qualify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and meet certain source of income and asset diversification requirements on a quarterly basis.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59" w:lineRule="exact"/>
        <w:rPr>
          <w:sz w:val="20"/>
          <w:szCs w:val="20"/>
          <w:color w:val="auto"/>
        </w:rPr>
      </w:pPr>
    </w:p>
    <w:p>
      <w:pPr>
        <w:ind w:left="40" w:right="599" w:firstLine="270"/>
        <w:spacing w:after="0" w:line="290" w:lineRule="auto"/>
        <w:rPr>
          <w:sz w:val="20"/>
          <w:szCs w:val="20"/>
          <w:color w:val="auto"/>
        </w:rPr>
      </w:pPr>
      <w:r>
        <w:rPr>
          <w:rFonts w:ascii="Arial" w:cs="Arial" w:eastAsia="Arial" w:hAnsi="Arial"/>
          <w:sz w:val="16"/>
          <w:szCs w:val="16"/>
          <w:color w:val="auto"/>
        </w:rPr>
        <w:t>If the Company does not distribute (or is not deemed to have distributed) each calendar year a sum of (1) 98% of its net ordinary income for each calendar year, (2) 98.2% of its capital gain net income for the one-year period ending October 31 in that calendar year and (3) any income recognized, but not distributed, in preceding years (the “Minimum Distribution Amount”), it will generally be required to pay an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58" w:lineRule="exact"/>
        <w:rPr>
          <w:sz w:val="20"/>
          <w:szCs w:val="20"/>
          <w:color w:val="auto"/>
        </w:rPr>
      </w:pPr>
    </w:p>
    <w:p>
      <w:pPr>
        <w:ind w:left="40" w:right="679" w:firstLine="270"/>
        <w:spacing w:after="0" w:line="273" w:lineRule="auto"/>
        <w:rPr>
          <w:sz w:val="20"/>
          <w:szCs w:val="20"/>
          <w:color w:val="auto"/>
        </w:rPr>
      </w:pPr>
      <w:r>
        <w:rPr>
          <w:rFonts w:ascii="Arial" w:cs="Arial" w:eastAsia="Arial" w:hAnsi="Arial"/>
          <w:sz w:val="17"/>
          <w:szCs w:val="17"/>
          <w:color w:val="auto"/>
        </w:rPr>
        <w:t>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condensed consolidated financial statements of the Company. Included in the Company’s condensed consolidated financial statements, the GSVC Holdings are taxable subsidiaries, regardless of whether the Company is a RIC. These taxable subsidiaries are not consolidated for income tax purposes and may generate income tax</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879"/>
        <w:spacing w:after="0" w:line="277" w:lineRule="auto"/>
        <w:rPr>
          <w:sz w:val="20"/>
          <w:szCs w:val="20"/>
          <w:color w:val="auto"/>
        </w:rPr>
      </w:pPr>
      <w:r>
        <w:rPr>
          <w:rFonts w:ascii="Arial" w:cs="Arial" w:eastAsia="Arial" w:hAnsi="Arial"/>
          <w:sz w:val="18"/>
          <w:szCs w:val="18"/>
          <w:color w:val="auto"/>
        </w:rPr>
        <w:t>expenses as a result of their ownership of the portfolio companies. Such income tax expenses and deferred taxes, if any, will be reflected in the Company’s condensed consolidated financial statements.</w:t>
      </w:r>
    </w:p>
    <w:p>
      <w:pPr>
        <w:spacing w:after="0" w:line="62" w:lineRule="exact"/>
        <w:rPr>
          <w:sz w:val="20"/>
          <w:szCs w:val="20"/>
          <w:color w:val="auto"/>
        </w:rPr>
      </w:pPr>
    </w:p>
    <w:p>
      <w:pPr>
        <w:ind w:left="40" w:right="579" w:firstLine="270"/>
        <w:spacing w:after="0" w:line="285" w:lineRule="auto"/>
        <w:rPr>
          <w:sz w:val="20"/>
          <w:szCs w:val="20"/>
          <w:color w:val="auto"/>
        </w:rPr>
      </w:pPr>
      <w:r>
        <w:rPr>
          <w:rFonts w:ascii="Arial" w:cs="Arial" w:eastAsia="Arial" w:hAnsi="Arial"/>
          <w:sz w:val="16"/>
          <w:szCs w:val="16"/>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regular corporate tax on any net built-in gains with respect to certain of its assets (</w:t>
      </w:r>
      <w:r>
        <w:rPr>
          <w:rFonts w:ascii="Arial" w:cs="Arial" w:eastAsia="Arial" w:hAnsi="Arial"/>
          <w:sz w:val="16"/>
          <w:szCs w:val="16"/>
          <w:i w:val="1"/>
          <w:iCs w:val="1"/>
          <w:color w:val="auto"/>
        </w:rPr>
        <w:t>i.e.</w:t>
      </w:r>
      <w:r>
        <w:rPr>
          <w:rFonts w:ascii="Arial" w:cs="Arial" w:eastAsia="Arial" w:hAnsi="Arial"/>
          <w:sz w:val="16"/>
          <w:szCs w:val="16"/>
          <w:color w:val="auto"/>
        </w:rPr>
        <w:t>,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 C corporation for its 2012 and 2013 taxable years. Refer to “Note 8 — Income Taxes” for further details regarding the Company’s tax status.</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117"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 xml:space="preserve">Basic net increase/(decrease) in net assets resulting from operations per common share is computed using the weighted-average number of shares outstanding for the period presented. Diluted net increase/(decrease)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w:t>
      </w:r>
      <w:r>
        <w:rPr>
          <w:rFonts w:ascii="Arial" w:cs="Arial" w:eastAsia="Arial" w:hAnsi="Arial"/>
          <w:sz w:val="17"/>
          <w:szCs w:val="17"/>
          <w:i w:val="1"/>
          <w:iCs w:val="1"/>
          <w:color w:val="auto"/>
        </w:rPr>
        <w:t>FASB ASC 260, Earnings Per Share</w:t>
      </w:r>
      <w:r>
        <w:rPr>
          <w:rFonts w:ascii="Arial" w:cs="Arial" w:eastAsia="Arial" w:hAnsi="Arial"/>
          <w:sz w:val="17"/>
          <w:szCs w:val="17"/>
          <w:color w:val="auto"/>
        </w:rPr>
        <w:t xml:space="preserve"> (“ASC 260”) to determine the number of potentially dilutive shares outstanding. Refer to “Note 5 — Net Increase/(Decrease) in Net Assets Resulting from Operations per Common Share — Basic and Diluted” for further detail.</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left="40" w:right="619" w:firstLine="270"/>
        <w:spacing w:after="0" w:line="272" w:lineRule="auto"/>
        <w:rPr>
          <w:sz w:val="20"/>
          <w:szCs w:val="20"/>
          <w:color w:val="auto"/>
        </w:rPr>
      </w:pPr>
      <w:r>
        <w:rPr>
          <w:rFonts w:ascii="Arial" w:cs="Arial" w:eastAsia="Arial" w:hAnsi="Arial"/>
          <w:sz w:val="17"/>
          <w:szCs w:val="17"/>
          <w:color w:val="auto"/>
        </w:rPr>
        <w:t>On October 13, 2016, the Securities and Exchange Commission (the “SEC”) amended Regulation S-X Article 6 and Article 12 to, among other things, standardize the reporting of certain derivative investments in the financial statements of business development companies. The amendments to Regulation S-X also update the required disclosure for other investments and investments in and advances to affiliates and amend the rules regarding the general form and content of a business development company’s financial statements. The compliance date for the amendments to Regulation S-X is for reporting periods ending on or after August 1, 2017. The Company is evaluating the impact that the adoption of the amendments to Regulation S-X will have on its consolidated financial statements and disclosures.</w:t>
      </w:r>
    </w:p>
    <w:p>
      <w:pPr>
        <w:spacing w:after="0" w:line="70" w:lineRule="exact"/>
        <w:rPr>
          <w:sz w:val="20"/>
          <w:szCs w:val="20"/>
          <w:color w:val="auto"/>
        </w:rPr>
      </w:pPr>
    </w:p>
    <w:p>
      <w:pPr>
        <w:ind w:left="40" w:right="1239" w:firstLine="270"/>
        <w:spacing w:after="0" w:line="277" w:lineRule="auto"/>
        <w:rPr>
          <w:sz w:val="20"/>
          <w:szCs w:val="20"/>
          <w:color w:val="auto"/>
        </w:rPr>
      </w:pPr>
      <w:r>
        <w:rPr>
          <w:rFonts w:ascii="Arial" w:cs="Arial" w:eastAsia="Arial" w:hAnsi="Arial"/>
          <w:sz w:val="18"/>
          <w:szCs w:val="18"/>
          <w:color w:val="auto"/>
        </w:rPr>
        <w:t>In January 2016, the FASB issued Accounting Standards Update (“ASU”) 2016-01, “Financial Instruments — Overall (Subtopic 825-10): Recognition and Measurement of Financial Assets and Financial</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699"/>
        <w:spacing w:after="0" w:line="254" w:lineRule="auto"/>
        <w:rPr>
          <w:sz w:val="20"/>
          <w:szCs w:val="20"/>
          <w:color w:val="auto"/>
        </w:rPr>
      </w:pPr>
      <w:r>
        <w:rPr>
          <w:rFonts w:ascii="Arial" w:cs="Arial" w:eastAsia="Arial" w:hAnsi="Arial"/>
          <w:sz w:val="18"/>
          <w:szCs w:val="18"/>
          <w:color w:val="auto"/>
        </w:rPr>
        <w:t>Liabilities,” which, among other things, requires (i) that all equity investments, other than equity-method investments, in unconsolidated entities generally be measured at fair value through earnings, and (ii)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Additionally, ASU 2016-01 changes the disclosure requirements for financial instruments. ASU 2016-01 is effective for annual reporting periods, and the interim periods within those periods, beginning after December 15, 2017. Early adoption is permitted for certain provisions. We do not believe that ASU 2016-01 will have a material impact on our consolidated financial statements and disclosures.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121"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The Company has entered into an investment advisory agreement with GSV Asset Management (the “Advisory Agreement”). Under the terms of the agreement, GSV Asset Management is paid a quarterly management fee and an annual incentive fee. GSV Asset Management is controlled by Michael Moe, the Company’s Chief Executive Officer and Chair of the Company’s board of directors. Mr. Moe, through his ownership interest in GSV Asset Management, is entitled to a portion of any profits earned by GSV Asset Management in performing its services under the Advisory Agreement. Mr. Moe, William Tanona, the Company’s Chief Financial Officer, Treasurer and Corporate Secretary, and Mark W. Flynn, the Company’s President, as principals of GSV Asset Management, collectively manage the business and internal affairs of GSV Asset Management. Mark Klein, a member of the Company’s board of directors, or entities with which he is affiliated, receives fees from GSV Asset Management equal to a percentage of each of the base management fee and the incentive fee paid by the Company to GSV Asset Management pursuant to a consulting agreement with GSV Asset Management.</w:t>
      </w:r>
    </w:p>
    <w:p>
      <w:pPr>
        <w:spacing w:after="0" w:line="70" w:lineRule="exact"/>
        <w:rPr>
          <w:sz w:val="20"/>
          <w:szCs w:val="20"/>
          <w:color w:val="auto"/>
        </w:rPr>
      </w:pPr>
    </w:p>
    <w:p>
      <w:pPr>
        <w:ind w:left="40" w:right="519" w:firstLine="270"/>
        <w:spacing w:after="0" w:line="254" w:lineRule="auto"/>
        <w:rPr>
          <w:sz w:val="20"/>
          <w:szCs w:val="20"/>
          <w:color w:val="auto"/>
        </w:rPr>
      </w:pPr>
      <w:r>
        <w:rPr>
          <w:rFonts w:ascii="Arial" w:cs="Arial" w:eastAsia="Arial" w:hAnsi="Arial"/>
          <w:sz w:val="18"/>
          <w:szCs w:val="18"/>
          <w:color w:val="auto"/>
        </w:rPr>
        <w:t>Under the Advisory Agreement, there are no restrictions on the right of any manager, partner, officer or employee of GSV Asset Management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GSV Asset Management has, however, adopted an internal policy whereby any fees or compensation received by a manager, partner, officer or employee of GSV Asset Management in exchange for serving as a director of, or providing consulting services to, any of the Company’s portfolio companies will be transferred to the Company, net of any personal taxes incurred, upon such receipt for the benefit of the Company and its stockholders.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 Fees</w:t>
      </w:r>
    </w:p>
    <w:p>
      <w:pPr>
        <w:spacing w:after="0" w:line="117" w:lineRule="exact"/>
        <w:rPr>
          <w:sz w:val="20"/>
          <w:szCs w:val="20"/>
          <w:color w:val="auto"/>
        </w:rPr>
      </w:pPr>
    </w:p>
    <w:p>
      <w:pPr>
        <w:ind w:left="40" w:right="739" w:firstLine="270"/>
        <w:spacing w:after="0" w:line="269" w:lineRule="auto"/>
        <w:rPr>
          <w:sz w:val="20"/>
          <w:szCs w:val="20"/>
          <w:color w:val="auto"/>
        </w:rPr>
      </w:pPr>
      <w:r>
        <w:rPr>
          <w:rFonts w:ascii="Arial" w:cs="Arial" w:eastAsia="Arial" w:hAnsi="Arial"/>
          <w:sz w:val="17"/>
          <w:szCs w:val="17"/>
          <w:color w:val="auto"/>
        </w:rPr>
        <w:t>Under the terms of the Advisory Agreement, GSV Asset Management is paid a base management fee of 2% of gross assets, which is the Company’s total assets reflected on its Condensed Consolidated Statements of Assets and Liabilities (with no deduction for liabilities) reduced by any non-portfolio investments. Effective January 1, 2017 through December 31, 2017, however, pursuant to a voluntary waiver by GSV Asset Management, the Company will pay GSV Asset Management a base management fee of 1.75%, a 0.25% reduction from the 2.0% base management fee payable under the Advisory Agreement. This waiver of a portion of the base management fee is not subject to recourse against or reimbursement by the Company. GSV Asset Management earned $1,359,180 and $2,813,600 in management fees for the three and six months ended June 30, 2017, respectively. GSV Asset Management earned $1,740,223 and $3,698,223 in management fees for the three and six months ended June 30, 2016, respectively. GSV Asset Management waived $169,898 and $351,700 in management fees for the three and six months ended June 30, 2017, respectively. GSV Asset Management did not waive management fees for the three and six months ended June 30, 2016.</w:t>
      </w:r>
    </w:p>
    <w:p>
      <w:pPr>
        <w:spacing w:after="0" w:line="200" w:lineRule="exact"/>
        <w:rPr>
          <w:sz w:val="20"/>
          <w:szCs w:val="20"/>
          <w:color w:val="auto"/>
        </w:rPr>
      </w:pPr>
    </w:p>
    <w:p>
      <w:pPr>
        <w:spacing w:after="0" w:line="33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 – (continued)</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Incentive Fees</w:t>
      </w:r>
    </w:p>
    <w:p>
      <w:pPr>
        <w:spacing w:after="0" w:line="117"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Under the terms of the Advisory Agreement, GSV Asset Management is paid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50" w:lineRule="exact"/>
        <w:rPr>
          <w:sz w:val="20"/>
          <w:szCs w:val="20"/>
          <w:color w:val="auto"/>
        </w:rPr>
      </w:pPr>
    </w:p>
    <w:p>
      <w:pPr>
        <w:ind w:left="40" w:right="659" w:firstLine="270"/>
        <w:spacing w:after="0" w:line="276" w:lineRule="auto"/>
        <w:rPr>
          <w:sz w:val="20"/>
          <w:szCs w:val="20"/>
          <w:color w:val="auto"/>
        </w:rPr>
      </w:pPr>
      <w:r>
        <w:rPr>
          <w:rFonts w:ascii="Arial" w:cs="Arial" w:eastAsia="Arial" w:hAnsi="Arial"/>
          <w:sz w:val="17"/>
          <w:szCs w:val="17"/>
          <w:color w:val="auto"/>
        </w:rPr>
        <w:t>For GAAP purposes, in accordance with the AICPA’s Technical Practice Aids (“TPA”) (TIS 6910.2), the Company is required to accrue incentive fees for all periods as if the Company had fully liquidated its entire investment portfolio at the fair value stated on the Condensed Consolidated Statements of Assets and Liabilities as of June 30, 2017 and December 31, 2016. This accrual considers both the hypothetical liquidation of the Company’s portfolio described previously, as well as the Company’s actual cumulative realized gains and losses since inception, as well any previously paid incentive fees.</w:t>
      </w:r>
    </w:p>
    <w:p>
      <w:pPr>
        <w:spacing w:after="0" w:line="64" w:lineRule="exact"/>
        <w:rPr>
          <w:sz w:val="20"/>
          <w:szCs w:val="20"/>
          <w:color w:val="auto"/>
        </w:rPr>
      </w:pPr>
    </w:p>
    <w:p>
      <w:pPr>
        <w:jc w:val="both"/>
        <w:ind w:left="40" w:right="1159" w:firstLine="270"/>
        <w:spacing w:after="0" w:line="264" w:lineRule="auto"/>
        <w:rPr>
          <w:sz w:val="20"/>
          <w:szCs w:val="20"/>
          <w:color w:val="auto"/>
        </w:rPr>
      </w:pPr>
      <w:r>
        <w:rPr>
          <w:rFonts w:ascii="Arial" w:cs="Arial" w:eastAsia="Arial" w:hAnsi="Arial"/>
          <w:sz w:val="18"/>
          <w:szCs w:val="18"/>
          <w:color w:val="auto"/>
        </w:rPr>
        <w:t>For the three and six months ended June 30, 2017, the Company accrued incentive fees of $2,430,825 and $4,148,133, respectively. For the three and six months ended June 30, 2016, the Company reversed previously accrued incentive fees of $2,907,224 and $8,025,808, respectively.</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Due to/from GSV Asset Management</w:t>
      </w:r>
    </w:p>
    <w:p>
      <w:pPr>
        <w:spacing w:after="0" w:line="117" w:lineRule="exact"/>
        <w:rPr>
          <w:sz w:val="20"/>
          <w:szCs w:val="20"/>
          <w:color w:val="auto"/>
        </w:rPr>
      </w:pPr>
    </w:p>
    <w:p>
      <w:pPr>
        <w:jc w:val="both"/>
        <w:ind w:left="40" w:right="679" w:firstLine="270"/>
        <w:spacing w:after="0" w:line="286" w:lineRule="auto"/>
        <w:rPr>
          <w:sz w:val="20"/>
          <w:szCs w:val="20"/>
          <w:color w:val="auto"/>
        </w:rPr>
      </w:pPr>
      <w:r>
        <w:rPr>
          <w:rFonts w:ascii="Arial" w:cs="Arial" w:eastAsia="Arial" w:hAnsi="Arial"/>
          <w:sz w:val="17"/>
          <w:szCs w:val="17"/>
          <w:color w:val="auto"/>
        </w:rPr>
        <w:t>As of June 30, 2017, there were no receivables owed to the Company by GSV Asset Management. In addition, as of June 30, 2017, the Company owed GSV Asset Management $347,807 primarily for the reimbursement of overhead allocation expenses, as well as travel expenses and, to a lesser extent, for the reimbursement of other expenses.</w:t>
      </w:r>
    </w:p>
    <w:p>
      <w:pPr>
        <w:spacing w:after="0" w:line="57"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As of December 31, 2016, there were no receivables owed to the Company by GSV Asset Management. In addition, as of December 31, 2016, the Company owed GSV Asset Management $422,025 primarily for the reimbursement of overhead allocation expenses.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121" w:lineRule="exact"/>
        <w:rPr>
          <w:sz w:val="20"/>
          <w:szCs w:val="20"/>
          <w:color w:val="auto"/>
        </w:rPr>
      </w:pPr>
    </w:p>
    <w:p>
      <w:pPr>
        <w:ind w:left="40" w:right="599" w:firstLine="270"/>
        <w:spacing w:after="0" w:line="269" w:lineRule="auto"/>
        <w:rPr>
          <w:sz w:val="20"/>
          <w:szCs w:val="20"/>
          <w:color w:val="auto"/>
        </w:rPr>
      </w:pPr>
      <w:r>
        <w:rPr>
          <w:rFonts w:ascii="Arial" w:cs="Arial" w:eastAsia="Arial" w:hAnsi="Arial"/>
          <w:sz w:val="17"/>
          <w:szCs w:val="17"/>
          <w:color w:val="auto"/>
        </w:rPr>
        <w:t>The Company has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GSV Asset Management controls GSV Capital Service Company. The Company reimburses GSV Capital Service Company an allocable portion of overhead and other expenses in performing its obligations under the Administration Agreement, including a portion of the rent and the compensation of the Company’s President, Chief Financial Officer, Chief Compliance Officer and other staff providing administrative services. While there is no limit on the total amount of expenses the Company may be required to reimburse to GSV Capital Service Company, GSV Capital Service Company will only charge the Company for the actual expenses GSV Capital Service Company incurs on the Company’s behalf, or the Company’s allocable portion thereof, without any profit to GSV Capital Service Company. There were $449,110 and $980,594 in such costs incurred under the Administration Agreement for the three and six months ended June 30, 2017, respectively. There were $698,692 and $1,298,642 in such costs incurred under the Administration Agreement for the three and six months ended June 30, 2016, respectively.</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121" w:lineRule="exact"/>
        <w:rPr>
          <w:sz w:val="20"/>
          <w:szCs w:val="20"/>
          <w:color w:val="auto"/>
        </w:rPr>
      </w:pPr>
    </w:p>
    <w:p>
      <w:pPr>
        <w:ind w:left="40" w:right="719" w:firstLine="270"/>
        <w:spacing w:after="0" w:line="277" w:lineRule="auto"/>
        <w:rPr>
          <w:sz w:val="20"/>
          <w:szCs w:val="20"/>
          <w:color w:val="auto"/>
        </w:rPr>
      </w:pPr>
      <w:r>
        <w:rPr>
          <w:rFonts w:ascii="Arial" w:cs="Arial" w:eastAsia="Arial" w:hAnsi="Arial"/>
          <w:sz w:val="18"/>
          <w:szCs w:val="18"/>
          <w:color w:val="auto"/>
        </w:rPr>
        <w:t>The Company entered into a license agreement with GSV Asset Management pursuant to which GSV Asset Management has agreed to grant the Company a non-exclusive, royalty-free license to use the</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 – (continued)</w:t>
      </w:r>
    </w:p>
    <w:p>
      <w:pPr>
        <w:spacing w:after="0" w:line="121" w:lineRule="exact"/>
        <w:rPr>
          <w:sz w:val="20"/>
          <w:szCs w:val="20"/>
          <w:color w:val="auto"/>
        </w:rPr>
      </w:pPr>
    </w:p>
    <w:p>
      <w:pPr>
        <w:jc w:val="both"/>
        <w:ind w:left="40" w:right="679"/>
        <w:spacing w:after="0" w:line="264" w:lineRule="auto"/>
        <w:rPr>
          <w:sz w:val="20"/>
          <w:szCs w:val="20"/>
          <w:color w:val="auto"/>
        </w:rPr>
      </w:pPr>
      <w:r>
        <w:rPr>
          <w:rFonts w:ascii="Arial" w:cs="Arial" w:eastAsia="Arial" w:hAnsi="Arial"/>
          <w:sz w:val="18"/>
          <w:szCs w:val="18"/>
          <w:color w:val="auto"/>
        </w:rPr>
        <w:t>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Other Arrangements</w:t>
      </w:r>
    </w:p>
    <w:p>
      <w:pPr>
        <w:spacing w:after="0" w:line="121"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Mark Moe, who is the brother of Michael Moe, the Company’s Chief Executive Officer and Chairman of the Company’s board of directors, serves as Vice President of Business Development, Global Expansion for NestGSV, Inc. (d/b/a GSV Labs, Inc.), one of the Company’s portfolio companies. Diane Flynn, who is the spouse of the Company’s President, Mark Flynn, served as Chief Marketing Officer of NestGSV, Inc. until her resignation in January 2017. Ron Johnson, the Chief Executive Officer of Enjoy Technology, Inc., one of the Company’s portfolio companies, is the brother-in-law of the Company’s President, Mark Flynn. As of June 30, 2017, the fair values of the Company’s investments in NestGSV, Inc. and Enjoy Technology, Inc. were $8,705,142 and $5,297,975, respectively. Another one of the Company’s portfolio companies, SPBRX, INC. (f/k/a GSV Sustainability Partners, Inc.), was previously allowed to utilize office space paid for by GSV Asset Management. SPBRX, INC. was not required to pay GSV Asset Management or the Company any consideration for rent. The Company did not consider this to be an arms-length transaction. In August 2016, SPBRX, INC. (f/k/a GSV Sustainability Partners, Inc.) moved out of the office space paid for by GSV Asset Management.</w:t>
      </w:r>
    </w:p>
    <w:p>
      <w:pPr>
        <w:spacing w:after="0" w:line="75"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In addition, the Company’s executive officers and directors, and the principals of the Company’s investment adviser, GSV Asset Management, serve or may serve as officers and directors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 For example, as of August 9, 2017, GSV Asset Management also manages Coursera@GSV Fund, LP, and Coursera@GSV-EDBI Fund, LP, special purpose vehicles each comprised of an underlying investment in Coursera stock (the “Coursera Funds”). GSV Asset Management also serves as sub-adviser for certain investment series of GSV Ventures I LLC, GSV Ventures II LLC, GSV Ventures V LLC, GSV Ventures VI LLC and a pooled investment fund, GSV Ventures III LLC, each a venture capital fund (collectively, the “GSV Ventures Funds”). GSV Asset Management will likely manage one or more private funds, or series within such private funds, in the future. The Company has no ownership interests in the Coursera Funds or the GSV Ventures Funds sub-advised by GSV Asset Management.</w:t>
      </w:r>
    </w:p>
    <w:p>
      <w:pPr>
        <w:spacing w:after="0" w:line="75"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While the investment focus of each of these entities, including the Coursera Funds and the GSV Ventures Funds, may be different from the Company’s investment objective, it is likely that new investment opportunities that meet the Company’s investment objective will come to the attention of one of these entities, or new entities that will likely be formed in the future in connection with another investment advisory client or program, and, if so, such opportunity might not be offered, or otherwise made available, to the Company. However, the Company’s executive officers, directors and investment adviser, GSV Asset Management, intend to treat the Company in a fair and equitable manner consistent with their applicable duties under law so that the Company will not be disadvantaged in relation to any other particular client. In addition, while GSV Asset Management anticipates that it will from time to time identify investment opportunities that are appropriate for both the Company and the other funds that are currently, or in the future may be, managed by GSV Asset Management, to the extent it does identify such opportunities, GSV Asset Management has established an allocation policy to ensure that the Company has priority over such other funds. The Company’s board of directors will monitor on a quarterly basis any such allocation of investment opportunities between the Company and any such other funds.</w:t>
      </w:r>
    </w:p>
    <w:p>
      <w:pPr>
        <w:spacing w:after="0" w:line="200" w:lineRule="exact"/>
        <w:rPr>
          <w:sz w:val="20"/>
          <w:szCs w:val="20"/>
          <w:color w:val="auto"/>
        </w:rPr>
      </w:pPr>
    </w:p>
    <w:p>
      <w:pPr>
        <w:spacing w:after="0" w:line="31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 w:name="page34"/>
    <w:bookmarkEnd w:id="33"/>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2 — RELATED-PARTY ARRANGEMENTS – (continued)</w:t>
      </w:r>
    </w:p>
    <w:p>
      <w:pPr>
        <w:spacing w:after="0" w:line="121" w:lineRule="exact"/>
        <w:rPr>
          <w:sz w:val="20"/>
          <w:szCs w:val="20"/>
          <w:color w:val="auto"/>
        </w:rPr>
      </w:pPr>
    </w:p>
    <w:p>
      <w:pPr>
        <w:ind w:left="180" w:right="599" w:firstLine="270"/>
        <w:spacing w:after="0" w:line="271" w:lineRule="auto"/>
        <w:rPr>
          <w:sz w:val="20"/>
          <w:szCs w:val="20"/>
          <w:color w:val="auto"/>
        </w:rPr>
      </w:pPr>
      <w:r>
        <w:rPr>
          <w:rFonts w:ascii="Arial" w:cs="Arial" w:eastAsia="Arial" w:hAnsi="Arial"/>
          <w:sz w:val="17"/>
          <w:szCs w:val="17"/>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 During the year ended December 31, 2016, the Company received other income of $212,795 from the proceeds of Michael Moe’s sale of common shares of 2U, Inc. (f/k/a 2tor, Inc.), one of the Company’s former portfolio companies, that Mr. Moe received while serving on 2U’s board of directors. These sales proceeds were remitted directly to the Company.</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Investments in Controlled and Affiliated Portfolio Companies</w:t>
      </w:r>
    </w:p>
    <w:p>
      <w:pPr>
        <w:spacing w:after="0" w:line="121" w:lineRule="exact"/>
        <w:rPr>
          <w:sz w:val="20"/>
          <w:szCs w:val="20"/>
          <w:color w:val="auto"/>
        </w:rPr>
      </w:pPr>
    </w:p>
    <w:p>
      <w:pPr>
        <w:ind w:left="180" w:right="579" w:firstLine="270"/>
        <w:spacing w:after="0" w:line="277" w:lineRule="auto"/>
        <w:rPr>
          <w:sz w:val="20"/>
          <w:szCs w:val="20"/>
          <w:color w:val="auto"/>
        </w:rPr>
      </w:pPr>
      <w:r>
        <w:rPr>
          <w:rFonts w:ascii="Arial" w:cs="Arial" w:eastAsia="Arial" w:hAnsi="Arial"/>
          <w:sz w:val="18"/>
          <w:szCs w:val="18"/>
          <w:color w:val="auto"/>
        </w:rPr>
        <w:t>Under the 1940 Act, the Company’s investments in controlled and affiliated portfolio companies are deemed to be related-party transactions.</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w:t>
      </w:r>
    </w:p>
    <w:p>
      <w:pPr>
        <w:spacing w:after="0" w:line="121" w:lineRule="exact"/>
        <w:rPr>
          <w:sz w:val="20"/>
          <w:szCs w:val="20"/>
          <w:color w:val="auto"/>
        </w:rPr>
      </w:pPr>
    </w:p>
    <w:p>
      <w:pPr>
        <w:ind w:left="180" w:right="619" w:firstLine="270"/>
        <w:spacing w:after="0" w:line="293" w:lineRule="auto"/>
        <w:rPr>
          <w:sz w:val="20"/>
          <w:szCs w:val="20"/>
          <w:color w:val="auto"/>
        </w:rPr>
      </w:pPr>
      <w:r>
        <w:rPr>
          <w:rFonts w:ascii="Arial" w:cs="Arial" w:eastAsia="Arial" w:hAnsi="Arial"/>
          <w:sz w:val="16"/>
          <w:szCs w:val="16"/>
          <w:color w:val="auto"/>
        </w:rPr>
        <w:t>The Company’s investments in portfolio companies consist primarily of equity securities (such as common stock, preferred stock and warrants to purchase common and preferred stock) and to a lesser extent, debt securities, issued by private and publicly traded companies. The Company may also from time to time, invest in U.S. Treasury Securities. Non-portfolio investments represent investments in U.S. Treasury Securities. At June 30, 2017, the Company had 80 positions in 38 portfolio companies. At December 31, 2016, the Company had 91 positions in 45 portfolio companies. The following table summarizes the composition of the Company’s investment portfolio by security type at cost and fair value as of June 30, 2017 and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2540</wp:posOffset>
            </wp:positionV>
            <wp:extent cx="52139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June 30, 2017 (Unaudited)</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472"/>
              <w:spacing w:after="0"/>
              <w:rPr>
                <w:sz w:val="20"/>
                <w:szCs w:val="20"/>
                <w:color w:val="auto"/>
              </w:rPr>
            </w:pPr>
            <w:r>
              <w:rPr>
                <w:rFonts w:ascii="Arial" w:cs="Arial" w:eastAsia="Arial" w:hAnsi="Arial"/>
                <w:sz w:val="14"/>
                <w:szCs w:val="14"/>
                <w:b w:val="1"/>
                <w:bCs w:val="1"/>
                <w:color w:val="auto"/>
              </w:rPr>
              <w:t>December 31, 2016</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73,577,948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88,232,623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81,274,687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83,074,410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153,096,418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167,056,307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174,462,577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162,238,879</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Investments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8,565,822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7,874,128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8,849,434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7,821,948</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229,092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440,654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158,713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150,904</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7"/>
              </w:rPr>
              <w:t>Subtotal – Private Portfolio Companies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235,469,280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263,603,712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264,745,411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253,286,141</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18,025,133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19,164,106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14,022,863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8,729,005</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30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300" w:type="dxa"/>
            <w:vAlign w:val="bottom"/>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253,494,413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282,767,818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278,768,274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262,015,146</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U.S. Treasury Bill</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99,988,000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99,994,000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29,998,750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29,998,490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353,482,413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382,761,818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308,767,024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292,013,636</w:t>
            </w:r>
          </w:p>
        </w:tc>
        <w:tc>
          <w:tcPr>
            <w:tcW w:w="132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33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gridSpan w:val="2"/>
          </w:tcPr>
          <w:p>
            <w:pPr>
              <w:jc w:val="right"/>
              <w:ind w:right="712"/>
              <w:spacing w:after="0"/>
              <w:rPr>
                <w:sz w:val="20"/>
                <w:szCs w:val="20"/>
                <w:color w:val="auto"/>
              </w:rPr>
            </w:pPr>
            <w:r>
              <w:rPr>
                <w:rFonts w:ascii="Arial" w:cs="Arial" w:eastAsia="Arial" w:hAnsi="Arial"/>
                <w:sz w:val="18"/>
                <w:szCs w:val="18"/>
                <w:color w:val="auto"/>
                <w:w w:val="99"/>
              </w:rPr>
              <w:t>28</w:t>
            </w: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3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3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-1654810</wp:posOffset>
            </wp:positionV>
            <wp:extent cx="5213985"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-1371600</wp:posOffset>
            </wp:positionV>
            <wp:extent cx="5213985" cy="291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-659765</wp:posOffset>
            </wp:positionV>
            <wp:extent cx="5213985"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4" w:name="page35"/>
    <w:bookmarkEnd w:id="34"/>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21" w:lineRule="exact"/>
        <w:rPr>
          <w:sz w:val="20"/>
          <w:szCs w:val="20"/>
          <w:color w:val="auto"/>
        </w:rPr>
      </w:pPr>
    </w:p>
    <w:p>
      <w:pPr>
        <w:ind w:left="180" w:right="619" w:firstLine="270"/>
        <w:spacing w:after="0" w:line="277" w:lineRule="auto"/>
        <w:rPr>
          <w:sz w:val="20"/>
          <w:szCs w:val="20"/>
          <w:color w:val="auto"/>
        </w:rPr>
      </w:pPr>
      <w:r>
        <w:rPr>
          <w:rFonts w:ascii="Arial" w:cs="Arial" w:eastAsia="Arial" w:hAnsi="Arial"/>
          <w:sz w:val="18"/>
          <w:szCs w:val="18"/>
          <w:color w:val="auto"/>
        </w:rPr>
        <w:t>The industrial themes and geographic compositions of the Company’s portfolio at fair value as of June 30, 2017 and December 31, 2016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47421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8"/>
              </w:rPr>
              <w:t>December 31,</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240" w:type="dxa"/>
            <w:vAlign w:val="bottom"/>
            <w:gridSpan w:val="3"/>
          </w:tcPr>
          <w:p>
            <w:pPr>
              <w:jc w:val="center"/>
              <w:ind w:left="2314"/>
              <w:spacing w:after="0"/>
              <w:rPr>
                <w:sz w:val="20"/>
                <w:szCs w:val="20"/>
                <w:color w:val="auto"/>
              </w:rPr>
            </w:pPr>
            <w:r>
              <w:rPr>
                <w:rFonts w:ascii="Arial" w:cs="Arial" w:eastAsia="Arial" w:hAnsi="Arial"/>
                <w:sz w:val="14"/>
                <w:szCs w:val="14"/>
                <w:b w:val="1"/>
                <w:bCs w:val="1"/>
                <w:color w:val="auto"/>
                <w:w w:val="89"/>
              </w:rPr>
              <w:t>2017</w:t>
            </w:r>
          </w:p>
        </w:tc>
        <w:tc>
          <w:tcPr>
            <w:tcW w:w="11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3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Industry Theme</w:t>
            </w:r>
          </w:p>
        </w:tc>
        <w:tc>
          <w:tcPr>
            <w:tcW w:w="2380" w:type="dxa"/>
            <w:vAlign w:val="bottom"/>
          </w:tcPr>
          <w:p>
            <w:pPr>
              <w:spacing w:after="0"/>
              <w:rPr>
                <w:sz w:val="19"/>
                <w:szCs w:val="19"/>
                <w:color w:val="auto"/>
              </w:rPr>
            </w:pPr>
          </w:p>
        </w:tc>
        <w:tc>
          <w:tcPr>
            <w:tcW w:w="8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20" w:type="dxa"/>
            <w:vAlign w:val="bottom"/>
          </w:tcPr>
          <w:p>
            <w:pPr>
              <w:spacing w:after="0"/>
              <w:rPr>
                <w:sz w:val="17"/>
                <w:szCs w:val="17"/>
                <w:color w:val="auto"/>
              </w:rPr>
            </w:pPr>
          </w:p>
        </w:tc>
        <w:tc>
          <w:tcPr>
            <w:tcW w:w="3100" w:type="dxa"/>
            <w:vAlign w:val="bottom"/>
            <w:vMerge w:val="continue"/>
          </w:tcPr>
          <w:p>
            <w:pPr>
              <w:spacing w:after="0"/>
              <w:rPr>
                <w:sz w:val="17"/>
                <w:szCs w:val="17"/>
                <w:color w:val="auto"/>
              </w:rPr>
            </w:pPr>
          </w:p>
        </w:tc>
        <w:tc>
          <w:tcPr>
            <w:tcW w:w="2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Education Technology</w:t>
            </w:r>
          </w:p>
        </w:tc>
        <w:tc>
          <w:tcPr>
            <w:tcW w:w="3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Big Data/Cloud</w:t>
            </w:r>
          </w:p>
        </w:tc>
        <w:tc>
          <w:tcPr>
            <w:tcW w:w="3240" w:type="dxa"/>
            <w:vAlign w:val="bottom"/>
            <w:gridSpan w:val="3"/>
          </w:tcPr>
          <w:p>
            <w:pPr>
              <w:jc w:val="right"/>
              <w:ind w:right="300"/>
              <w:spacing w:after="0"/>
              <w:rPr>
                <w:sz w:val="20"/>
                <w:szCs w:val="20"/>
                <w:color w:val="auto"/>
              </w:rPr>
            </w:pPr>
            <w:r>
              <w:rPr>
                <w:rFonts w:ascii="Arial" w:cs="Arial" w:eastAsia="Arial" w:hAnsi="Arial"/>
                <w:sz w:val="18"/>
                <w:szCs w:val="18"/>
                <w:color w:val="auto"/>
              </w:rPr>
              <w:t>32.7</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34.3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Social/Mobile</w:t>
            </w:r>
          </w:p>
        </w:tc>
        <w:tc>
          <w:tcPr>
            <w:tcW w:w="3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18.8</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Marketplaces</w:t>
            </w:r>
          </w:p>
        </w:tc>
        <w:tc>
          <w:tcPr>
            <w:tcW w:w="3240" w:type="dxa"/>
            <w:vAlign w:val="bottom"/>
            <w:gridSpan w:val="3"/>
          </w:tcPr>
          <w:p>
            <w:pPr>
              <w:jc w:val="right"/>
              <w:ind w:right="300"/>
              <w:spacing w:after="0"/>
              <w:rPr>
                <w:sz w:val="20"/>
                <w:szCs w:val="20"/>
                <w:color w:val="auto"/>
              </w:rPr>
            </w:pPr>
            <w:r>
              <w:rPr>
                <w:rFonts w:ascii="Arial" w:cs="Arial" w:eastAsia="Arial" w:hAnsi="Arial"/>
                <w:sz w:val="18"/>
                <w:szCs w:val="18"/>
                <w:color w:val="auto"/>
              </w:rPr>
              <w:t>11.2</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9.7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Sustainability</w:t>
            </w:r>
          </w:p>
        </w:tc>
        <w:tc>
          <w:tcPr>
            <w:tcW w:w="2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3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100.0%</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100.0%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8"/>
              </w:rPr>
              <w:t>December 31,</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240" w:type="dxa"/>
            <w:vAlign w:val="bottom"/>
            <w:gridSpan w:val="3"/>
          </w:tcPr>
          <w:p>
            <w:pPr>
              <w:jc w:val="center"/>
              <w:ind w:left="2314"/>
              <w:spacing w:after="0"/>
              <w:rPr>
                <w:sz w:val="20"/>
                <w:szCs w:val="20"/>
                <w:color w:val="auto"/>
              </w:rPr>
            </w:pPr>
            <w:r>
              <w:rPr>
                <w:rFonts w:ascii="Arial" w:cs="Arial" w:eastAsia="Arial" w:hAnsi="Arial"/>
                <w:sz w:val="14"/>
                <w:szCs w:val="14"/>
                <w:b w:val="1"/>
                <w:bCs w:val="1"/>
                <w:color w:val="auto"/>
                <w:w w:val="89"/>
              </w:rPr>
              <w:t>2017</w:t>
            </w:r>
          </w:p>
        </w:tc>
        <w:tc>
          <w:tcPr>
            <w:tcW w:w="11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3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Geographic Region</w:t>
            </w:r>
          </w:p>
        </w:tc>
        <w:tc>
          <w:tcPr>
            <w:tcW w:w="2380" w:type="dxa"/>
            <w:vAlign w:val="bottom"/>
          </w:tcPr>
          <w:p>
            <w:pPr>
              <w:spacing w:after="0"/>
              <w:rPr>
                <w:sz w:val="19"/>
                <w:szCs w:val="19"/>
                <w:color w:val="auto"/>
              </w:rPr>
            </w:pPr>
          </w:p>
        </w:tc>
        <w:tc>
          <w:tcPr>
            <w:tcW w:w="8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20" w:type="dxa"/>
            <w:vAlign w:val="bottom"/>
          </w:tcPr>
          <w:p>
            <w:pPr>
              <w:spacing w:after="0"/>
              <w:rPr>
                <w:sz w:val="17"/>
                <w:szCs w:val="17"/>
                <w:color w:val="auto"/>
              </w:rPr>
            </w:pPr>
          </w:p>
        </w:tc>
        <w:tc>
          <w:tcPr>
            <w:tcW w:w="3100" w:type="dxa"/>
            <w:vAlign w:val="bottom"/>
            <w:vMerge w:val="continue"/>
          </w:tcPr>
          <w:p>
            <w:pPr>
              <w:spacing w:after="0"/>
              <w:rPr>
                <w:sz w:val="17"/>
                <w:szCs w:val="17"/>
                <w:color w:val="auto"/>
              </w:rPr>
            </w:pPr>
          </w:p>
        </w:tc>
        <w:tc>
          <w:tcPr>
            <w:tcW w:w="2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w:t>
            </w:r>
          </w:p>
        </w:tc>
        <w:tc>
          <w:tcPr>
            <w:tcW w:w="3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70.6%</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Northeast</w:t>
            </w:r>
          </w:p>
        </w:tc>
        <w:tc>
          <w:tcPr>
            <w:tcW w:w="3240" w:type="dxa"/>
            <w:vAlign w:val="bottom"/>
            <w:gridSpan w:val="3"/>
          </w:tcPr>
          <w:p>
            <w:pPr>
              <w:jc w:val="right"/>
              <w:ind w:right="300"/>
              <w:spacing w:after="0"/>
              <w:rPr>
                <w:sz w:val="20"/>
                <w:szCs w:val="20"/>
                <w:color w:val="auto"/>
              </w:rPr>
            </w:pPr>
            <w:r>
              <w:rPr>
                <w:rFonts w:ascii="Arial" w:cs="Arial" w:eastAsia="Arial" w:hAnsi="Arial"/>
                <w:sz w:val="18"/>
                <w:szCs w:val="18"/>
                <w:color w:val="auto"/>
              </w:rPr>
              <w:t>12.4</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15.8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9.6</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Mid-west</w:t>
            </w:r>
          </w:p>
        </w:tc>
        <w:tc>
          <w:tcPr>
            <w:tcW w:w="2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3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100.0%</w:t>
            </w: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3100" w:type="dxa"/>
            <w:vAlign w:val="bottom"/>
            <w:tcBorders>
              <w:top w:val="single" w:sz="8" w:color="CCEEFF"/>
            </w:tcBorders>
          </w:tcPr>
          <w:p>
            <w:pPr>
              <w:spacing w:after="0"/>
              <w:rPr>
                <w:sz w:val="24"/>
                <w:szCs w:val="24"/>
                <w:color w:val="auto"/>
              </w:rPr>
            </w:pPr>
          </w:p>
        </w:tc>
        <w:tc>
          <w:tcPr>
            <w:tcW w:w="2380" w:type="dxa"/>
            <w:vAlign w:val="bottom"/>
            <w:tcBorders>
              <w:top w:val="single" w:sz="8" w:color="CCEEFF"/>
            </w:tcBorders>
          </w:tcPr>
          <w:p>
            <w:pPr>
              <w:jc w:val="right"/>
              <w:ind w:right="634"/>
              <w:spacing w:after="0"/>
              <w:rPr>
                <w:sz w:val="20"/>
                <w:szCs w:val="20"/>
                <w:color w:val="auto"/>
              </w:rPr>
            </w:pPr>
            <w:r>
              <w:rPr>
                <w:rFonts w:ascii="Arial" w:cs="Arial" w:eastAsia="Arial" w:hAnsi="Arial"/>
                <w:sz w:val="18"/>
                <w:szCs w:val="18"/>
                <w:color w:val="auto"/>
              </w:rPr>
              <w:t>29</w:t>
            </w:r>
          </w:p>
        </w:tc>
        <w:tc>
          <w:tcPr>
            <w:tcW w:w="56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100" w:type="dxa"/>
            <w:vAlign w:val="bottom"/>
            <w:tcBorders>
              <w:bottom w:val="single" w:sz="8" w:color="9A9A9A"/>
            </w:tcBorders>
          </w:tcPr>
          <w:p>
            <w:pPr>
              <w:spacing w:after="0"/>
              <w:rPr>
                <w:sz w:val="14"/>
                <w:szCs w:val="14"/>
                <w:color w:val="auto"/>
              </w:rPr>
            </w:pPr>
          </w:p>
        </w:tc>
        <w:tc>
          <w:tcPr>
            <w:tcW w:w="23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c>
          <w:tcPr>
            <w:tcW w:w="238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-2117725</wp:posOffset>
            </wp:positionV>
            <wp:extent cx="4751070" cy="1803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-668020</wp:posOffset>
            </wp:positionV>
            <wp:extent cx="475107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-1911985</wp:posOffset>
            </wp:positionV>
            <wp:extent cx="47421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5" w:name="page36"/>
    <w:bookmarkEnd w:id="35"/>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details the composition of the Company’s industrial themes presented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51371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Industry Theme</w:t>
            </w:r>
          </w:p>
        </w:tc>
        <w:tc>
          <w:tcPr>
            <w:tcW w:w="5260" w:type="dxa"/>
            <w:vAlign w:val="bottom"/>
            <w:tcBorders>
              <w:bottom w:val="single" w:sz="8" w:color="auto"/>
            </w:tcBorders>
          </w:tcPr>
          <w:p>
            <w:pPr>
              <w:ind w:left="3000"/>
              <w:spacing w:after="0"/>
              <w:rPr>
                <w:sz w:val="20"/>
                <w:szCs w:val="20"/>
                <w:color w:val="auto"/>
              </w:rPr>
            </w:pPr>
            <w:r>
              <w:rPr>
                <w:rFonts w:ascii="Arial" w:cs="Arial" w:eastAsia="Arial" w:hAnsi="Arial"/>
                <w:sz w:val="14"/>
                <w:szCs w:val="14"/>
                <w:b w:val="1"/>
                <w:bCs w:val="1"/>
                <w:color w:val="auto"/>
              </w:rPr>
              <w:t>Industry</w:t>
            </w:r>
          </w:p>
        </w:tc>
        <w:tc>
          <w:tcPr>
            <w:tcW w:w="1260" w:type="dxa"/>
            <w:vAlign w:val="bottom"/>
          </w:tcPr>
          <w:p>
            <w:pPr>
              <w:spacing w:after="0"/>
              <w:rPr>
                <w:sz w:val="14"/>
                <w:szCs w:val="14"/>
                <w:color w:val="auto"/>
              </w:rPr>
            </w:pPr>
          </w:p>
        </w:tc>
      </w:tr>
      <w:tr>
        <w:trPr>
          <w:trHeight w:val="195"/>
        </w:trPr>
        <w:tc>
          <w:tcPr>
            <w:tcW w:w="120" w:type="dxa"/>
            <w:vAlign w:val="bottom"/>
          </w:tcPr>
          <w:p>
            <w:pPr>
              <w:spacing w:after="0"/>
              <w:rPr>
                <w:sz w:val="16"/>
                <w:szCs w:val="16"/>
                <w:color w:val="auto"/>
              </w:rPr>
            </w:pPr>
          </w:p>
        </w:tc>
        <w:tc>
          <w:tcPr>
            <w:tcW w:w="2960" w:type="dxa"/>
            <w:vAlign w:val="bottom"/>
          </w:tcPr>
          <w:p>
            <w:pPr>
              <w:ind w:left="20"/>
              <w:spacing w:after="0" w:line="195" w:lineRule="exact"/>
              <w:rPr>
                <w:sz w:val="20"/>
                <w:szCs w:val="20"/>
                <w:color w:val="auto"/>
              </w:rPr>
            </w:pPr>
            <w:r>
              <w:rPr>
                <w:rFonts w:ascii="Arial" w:cs="Arial" w:eastAsia="Arial" w:hAnsi="Arial"/>
                <w:sz w:val="18"/>
                <w:szCs w:val="18"/>
                <w:color w:val="auto"/>
              </w:rPr>
              <w:t>Big Data/Cloud</w:t>
            </w:r>
          </w:p>
        </w:tc>
        <w:tc>
          <w:tcPr>
            <w:tcW w:w="5260" w:type="dxa"/>
            <w:vAlign w:val="bottom"/>
          </w:tcPr>
          <w:p>
            <w:pPr>
              <w:ind w:left="1340"/>
              <w:spacing w:after="0" w:line="195" w:lineRule="exact"/>
              <w:rPr>
                <w:sz w:val="20"/>
                <w:szCs w:val="20"/>
                <w:color w:val="auto"/>
              </w:rPr>
            </w:pPr>
            <w:r>
              <w:rPr>
                <w:rFonts w:ascii="Arial" w:cs="Arial" w:eastAsia="Arial" w:hAnsi="Arial"/>
                <w:sz w:val="18"/>
                <w:szCs w:val="18"/>
                <w:color w:val="auto"/>
              </w:rPr>
              <w:t>Big Data Consulting</w:t>
            </w:r>
          </w:p>
        </w:tc>
        <w:tc>
          <w:tcPr>
            <w:tcW w:w="126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Cloud Computing Services</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Customer Relationship Manager</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Data Analysis</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Mobile Device Management</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Social Cognitive Learning</w:t>
            </w:r>
          </w:p>
        </w:tc>
        <w:tc>
          <w:tcPr>
            <w:tcW w:w="126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Social Media Analytics</w:t>
            </w:r>
          </w:p>
        </w:tc>
        <w:tc>
          <w:tcPr>
            <w:tcW w:w="126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2960" w:type="dxa"/>
            <w:vAlign w:val="bottom"/>
          </w:tcPr>
          <w:p>
            <w:pPr>
              <w:ind w:left="20"/>
              <w:spacing w:after="0" w:line="195" w:lineRule="exact"/>
              <w:rPr>
                <w:sz w:val="20"/>
                <w:szCs w:val="20"/>
                <w:color w:val="auto"/>
              </w:rPr>
            </w:pPr>
            <w:r>
              <w:rPr>
                <w:rFonts w:ascii="Arial" w:cs="Arial" w:eastAsia="Arial" w:hAnsi="Arial"/>
                <w:sz w:val="18"/>
                <w:szCs w:val="18"/>
                <w:color w:val="auto"/>
              </w:rPr>
              <w:t>Education Technology</w:t>
            </w:r>
          </w:p>
        </w:tc>
        <w:tc>
          <w:tcPr>
            <w:tcW w:w="5260" w:type="dxa"/>
            <w:vAlign w:val="bottom"/>
          </w:tcPr>
          <w:p>
            <w:pPr>
              <w:ind w:left="1340"/>
              <w:spacing w:after="0" w:line="195" w:lineRule="exact"/>
              <w:rPr>
                <w:sz w:val="20"/>
                <w:szCs w:val="20"/>
                <w:color w:val="auto"/>
              </w:rPr>
            </w:pPr>
            <w:r>
              <w:rPr>
                <w:rFonts w:ascii="Arial" w:cs="Arial" w:eastAsia="Arial" w:hAnsi="Arial"/>
                <w:sz w:val="18"/>
                <w:szCs w:val="18"/>
                <w:color w:val="auto"/>
              </w:rPr>
              <w:t>Business Education</w:t>
            </w:r>
          </w:p>
        </w:tc>
        <w:tc>
          <w:tcPr>
            <w:tcW w:w="126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Computer Software</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Corporate Education</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Education Media Platform</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Education Software</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Education Technology</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E-Transcript Exchange</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Globally-focused Private School</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Interactive Learning</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Online Education</w:t>
            </w:r>
          </w:p>
        </w:tc>
        <w:tc>
          <w:tcPr>
            <w:tcW w:w="126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Online Education Services</w:t>
            </w:r>
          </w:p>
        </w:tc>
        <w:tc>
          <w:tcPr>
            <w:tcW w:w="126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2960" w:type="dxa"/>
            <w:vAlign w:val="bottom"/>
          </w:tcPr>
          <w:p>
            <w:pPr>
              <w:ind w:left="20"/>
              <w:spacing w:after="0" w:line="195" w:lineRule="exact"/>
              <w:rPr>
                <w:sz w:val="20"/>
                <w:szCs w:val="20"/>
                <w:color w:val="auto"/>
              </w:rPr>
            </w:pPr>
            <w:r>
              <w:rPr>
                <w:rFonts w:ascii="Arial" w:cs="Arial" w:eastAsia="Arial" w:hAnsi="Arial"/>
                <w:sz w:val="18"/>
                <w:szCs w:val="18"/>
                <w:color w:val="auto"/>
              </w:rPr>
              <w:t>Marketplaces</w:t>
            </w:r>
          </w:p>
        </w:tc>
        <w:tc>
          <w:tcPr>
            <w:tcW w:w="5260" w:type="dxa"/>
            <w:vAlign w:val="bottom"/>
          </w:tcPr>
          <w:p>
            <w:pPr>
              <w:ind w:left="1340"/>
              <w:spacing w:after="0" w:line="195" w:lineRule="exact"/>
              <w:rPr>
                <w:sz w:val="20"/>
                <w:szCs w:val="20"/>
                <w:color w:val="auto"/>
              </w:rPr>
            </w:pPr>
            <w:r>
              <w:rPr>
                <w:rFonts w:ascii="Arial" w:cs="Arial" w:eastAsia="Arial" w:hAnsi="Arial"/>
                <w:sz w:val="18"/>
                <w:szCs w:val="18"/>
                <w:color w:val="auto"/>
              </w:rPr>
              <w:t>Cash Payment Network</w:t>
            </w:r>
          </w:p>
        </w:tc>
        <w:tc>
          <w:tcPr>
            <w:tcW w:w="126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Financial Services</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Global Innovation Platform</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Knowledge Networks</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On-Demand Commerce</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On-Demand Transportation Services</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Online Marketplace Finance</w:t>
            </w:r>
          </w:p>
        </w:tc>
        <w:tc>
          <w:tcPr>
            <w:tcW w:w="126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Peer-to-Peer Pet Services</w:t>
            </w:r>
          </w:p>
        </w:tc>
        <w:tc>
          <w:tcPr>
            <w:tcW w:w="126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2960" w:type="dxa"/>
            <w:vAlign w:val="bottom"/>
          </w:tcPr>
          <w:p>
            <w:pPr>
              <w:ind w:left="20"/>
              <w:spacing w:after="0" w:line="195" w:lineRule="exact"/>
              <w:rPr>
                <w:sz w:val="20"/>
                <w:szCs w:val="20"/>
                <w:color w:val="auto"/>
              </w:rPr>
            </w:pPr>
            <w:r>
              <w:rPr>
                <w:rFonts w:ascii="Arial" w:cs="Arial" w:eastAsia="Arial" w:hAnsi="Arial"/>
                <w:sz w:val="18"/>
                <w:szCs w:val="18"/>
                <w:color w:val="auto"/>
              </w:rPr>
              <w:t>Social/Mobile</w:t>
            </w:r>
          </w:p>
        </w:tc>
        <w:tc>
          <w:tcPr>
            <w:tcW w:w="5260" w:type="dxa"/>
            <w:vAlign w:val="bottom"/>
          </w:tcPr>
          <w:p>
            <w:pPr>
              <w:ind w:left="1340"/>
              <w:spacing w:after="0" w:line="195" w:lineRule="exact"/>
              <w:rPr>
                <w:sz w:val="20"/>
                <w:szCs w:val="20"/>
                <w:color w:val="auto"/>
              </w:rPr>
            </w:pPr>
            <w:r>
              <w:rPr>
                <w:rFonts w:ascii="Arial" w:cs="Arial" w:eastAsia="Arial" w:hAnsi="Arial"/>
                <w:sz w:val="18"/>
                <w:szCs w:val="18"/>
                <w:color w:val="auto"/>
              </w:rPr>
              <w:t>Digital Media Platform</w:t>
            </w:r>
          </w:p>
        </w:tc>
        <w:tc>
          <w:tcPr>
            <w:tcW w:w="126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Light Field Imaging Platform</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On-Demand Music Streaming</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Social Communication</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color w:val="auto"/>
              </w:rPr>
              <w:t>Social Data Platform</w:t>
            </w:r>
          </w:p>
        </w:tc>
        <w:tc>
          <w:tcPr>
            <w:tcW w:w="126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Sports Analytics</w:t>
            </w:r>
          </w:p>
        </w:tc>
        <w:tc>
          <w:tcPr>
            <w:tcW w:w="1260" w:type="dxa"/>
            <w:vAlign w:val="bottom"/>
          </w:tcPr>
          <w:p>
            <w:pPr>
              <w:spacing w:after="0"/>
              <w:rPr>
                <w:sz w:val="20"/>
                <w:szCs w:val="20"/>
                <w:color w:val="auto"/>
              </w:rPr>
            </w:pPr>
          </w:p>
        </w:tc>
      </w:tr>
      <w:tr>
        <w:trPr>
          <w:trHeight w:val="224"/>
        </w:trPr>
        <w:tc>
          <w:tcPr>
            <w:tcW w:w="120" w:type="dxa"/>
            <w:vAlign w:val="bottom"/>
          </w:tcPr>
          <w:p>
            <w:pPr>
              <w:spacing w:after="0"/>
              <w:rPr>
                <w:sz w:val="19"/>
                <w:szCs w:val="19"/>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Sustainability</w:t>
            </w:r>
          </w:p>
        </w:tc>
        <w:tc>
          <w:tcPr>
            <w:tcW w:w="5260" w:type="dxa"/>
            <w:vAlign w:val="bottom"/>
          </w:tcPr>
          <w:p>
            <w:pPr>
              <w:ind w:left="1340"/>
              <w:spacing w:after="0"/>
              <w:rPr>
                <w:sz w:val="20"/>
                <w:szCs w:val="20"/>
                <w:color w:val="auto"/>
              </w:rPr>
            </w:pPr>
            <w:r>
              <w:rPr>
                <w:rFonts w:ascii="Arial" w:cs="Arial" w:eastAsia="Arial" w:hAnsi="Arial"/>
                <w:sz w:val="18"/>
                <w:szCs w:val="18"/>
                <w:color w:val="auto"/>
              </w:rPr>
              <w:t>Clean Technology</w:t>
            </w:r>
          </w:p>
        </w:tc>
        <w:tc>
          <w:tcPr>
            <w:tcW w:w="1260" w:type="dxa"/>
            <w:vAlign w:val="bottom"/>
          </w:tcPr>
          <w:p>
            <w:pPr>
              <w:spacing w:after="0"/>
              <w:rPr>
                <w:sz w:val="19"/>
                <w:szCs w:val="19"/>
                <w:color w:val="auto"/>
              </w:rPr>
            </w:pPr>
          </w:p>
        </w:tc>
      </w:tr>
      <w:tr>
        <w:trPr>
          <w:trHeight w:val="769"/>
        </w:trPr>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260" w:type="dxa"/>
            <w:vAlign w:val="bottom"/>
          </w:tcPr>
          <w:p>
            <w:pPr>
              <w:ind w:left="1620"/>
              <w:spacing w:after="0"/>
              <w:rPr>
                <w:sz w:val="20"/>
                <w:szCs w:val="20"/>
                <w:color w:val="auto"/>
              </w:rPr>
            </w:pPr>
            <w:r>
              <w:rPr>
                <w:rFonts w:ascii="Arial" w:cs="Arial" w:eastAsia="Arial" w:hAnsi="Arial"/>
                <w:sz w:val="18"/>
                <w:szCs w:val="18"/>
                <w:color w:val="auto"/>
              </w:rPr>
              <w:t>30</w:t>
            </w: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2960" w:type="dxa"/>
            <w:vAlign w:val="bottom"/>
            <w:tcBorders>
              <w:bottom w:val="single" w:sz="8" w:color="9A9A9A"/>
            </w:tcBorders>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2960" w:type="dxa"/>
            <w:vAlign w:val="bottom"/>
            <w:tcBorders>
              <w:bottom w:val="single" w:sz="8" w:color="EEEEEE"/>
            </w:tcBorders>
          </w:tcPr>
          <w:p>
            <w:pPr>
              <w:spacing w:after="0" w:line="20" w:lineRule="exact"/>
              <w:rPr>
                <w:sz w:val="1"/>
                <w:szCs w:val="1"/>
                <w:color w:val="auto"/>
              </w:rPr>
            </w:pPr>
          </w:p>
        </w:tc>
        <w:tc>
          <w:tcPr>
            <w:tcW w:w="52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6" w:name="page37"/>
    <w:bookmarkEnd w:id="36"/>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21" w:lineRule="exact"/>
        <w:rPr>
          <w:sz w:val="20"/>
          <w:szCs w:val="20"/>
          <w:color w:val="auto"/>
        </w:rPr>
      </w:pPr>
    </w:p>
    <w:p>
      <w:pPr>
        <w:ind w:left="180" w:right="899" w:firstLine="270"/>
        <w:spacing w:after="0" w:line="342" w:lineRule="auto"/>
        <w:rPr>
          <w:sz w:val="20"/>
          <w:szCs w:val="20"/>
          <w:color w:val="auto"/>
        </w:rPr>
      </w:pPr>
      <w:r>
        <w:rPr>
          <w:rFonts w:ascii="Arial" w:cs="Arial" w:eastAsia="Arial" w:hAnsi="Arial"/>
          <w:sz w:val="16"/>
          <w:szCs w:val="16"/>
          <w:color w:val="auto"/>
        </w:rPr>
        <w:t>The fair values of the Company’s investments disaggregated into the three levels of the fair value hierarchy based upon the lowest level of significant input used in the valuation as of June 30, 2017 and December 31, 2016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-22860</wp:posOffset>
            </wp:positionV>
            <wp:extent cx="52139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9"/>
          </w:tcPr>
          <w:p>
            <w:pPr>
              <w:jc w:val="center"/>
              <w:ind w:right="160"/>
              <w:spacing w:after="0"/>
              <w:rPr>
                <w:sz w:val="20"/>
                <w:szCs w:val="20"/>
                <w:color w:val="auto"/>
              </w:rPr>
            </w:pPr>
            <w:r>
              <w:rPr>
                <w:rFonts w:ascii="Arial" w:cs="Arial" w:eastAsia="Arial" w:hAnsi="Arial"/>
                <w:sz w:val="14"/>
                <w:szCs w:val="14"/>
                <w:b w:val="1"/>
                <w:bCs w:val="1"/>
                <w:color w:val="auto"/>
                <w:w w:val="93"/>
              </w:rPr>
              <w:t>As of June 30, 2017 (Unaudited)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0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 at fair value</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88,232,623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88,232,623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167,056,307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167,056,307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Debt Investments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7,874,128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7,874,128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440,654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440,654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highlight w:val="white"/>
                <w:w w:val="97"/>
              </w:rPr>
              <w:t>Subtotal – Private Portfolio Companies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263,603,712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263,603,712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19,164,106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19,164,106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300" w:type="dxa"/>
            <w:vAlign w:val="bottom"/>
            <w:tcBorders>
              <w:right w:val="single" w:sz="8" w:color="CCEEFF"/>
            </w:tcBorders>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right w:val="single" w:sz="8" w:color="CCEEFF"/>
            </w:tcBorders>
            <w:shd w:val="clear" w:color="auto" w:fill="CCEEFF"/>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3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2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19,164,106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263,603,712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282,767,818</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Bill</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99,994,000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99,994,000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86"/>
              </w:rPr>
              <w:t>$ 119,158,106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263,603,712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382,761,818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88"/>
              </w:rPr>
              <w:t>As of December 31, 2016</w:t>
            </w: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0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 at fair value</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83,074,410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83,074,410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162,238,879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162,238,879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Debt Investments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7,821,948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7,821,948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150,904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150,904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w w:val="97"/>
              </w:rPr>
              <w:t>Subtotal – Private Portfolio Companies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253,286,141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253,286,141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8,729,005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8,729,005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300" w:type="dxa"/>
            <w:vAlign w:val="bottom"/>
            <w:tcBorders>
              <w:right w:val="single" w:sz="8" w:color="CCEEFF"/>
            </w:tcBorders>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right w:val="single" w:sz="8" w:color="CCEEFF"/>
            </w:tcBorders>
            <w:shd w:val="clear" w:color="auto" w:fill="CCEEFF"/>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3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2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8,729,005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253,286,141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262,015,146</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Bill</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29,998,490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29,998,490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38,727,495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253,286,141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292,013,636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gridSpan w:val="3"/>
          </w:tcPr>
          <w:p>
            <w:pPr>
              <w:jc w:val="right"/>
              <w:ind w:right="554"/>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3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3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-4527550</wp:posOffset>
            </wp:positionV>
            <wp:extent cx="1028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-4527550</wp:posOffset>
            </wp:positionV>
            <wp:extent cx="1460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-4527550</wp:posOffset>
            </wp:positionV>
            <wp:extent cx="2489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-4527550</wp:posOffset>
            </wp:positionV>
            <wp:extent cx="1460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-4527550</wp:posOffset>
            </wp:positionV>
            <wp:extent cx="431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-3815715</wp:posOffset>
            </wp:positionV>
            <wp:extent cx="5213985"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-3532505</wp:posOffset>
            </wp:positionV>
            <wp:extent cx="5213985" cy="1803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-1809115</wp:posOffset>
            </wp:positionV>
            <wp:extent cx="5213985"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-1097280</wp:posOffset>
            </wp:positionV>
            <wp:extent cx="5213985"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-814070</wp:posOffset>
            </wp:positionV>
            <wp:extent cx="5213985" cy="180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-3326765</wp:posOffset>
            </wp:positionV>
            <wp:extent cx="521398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7" w:name="page38"/>
    <w:bookmarkEnd w:id="3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Unobservable Inputs for Level 3 Assets and Liabilities</w:t>
      </w:r>
    </w:p>
    <w:p>
      <w:pPr>
        <w:spacing w:after="0" w:line="121" w:lineRule="exact"/>
        <w:rPr>
          <w:sz w:val="20"/>
          <w:szCs w:val="20"/>
          <w:color w:val="auto"/>
        </w:rPr>
      </w:pPr>
    </w:p>
    <w:p>
      <w:pPr>
        <w:ind w:left="60" w:right="679" w:firstLine="270"/>
        <w:spacing w:after="0" w:line="290" w:lineRule="auto"/>
        <w:rPr>
          <w:sz w:val="20"/>
          <w:szCs w:val="20"/>
          <w:color w:val="auto"/>
        </w:rPr>
      </w:pPr>
      <w:r>
        <w:rPr>
          <w:rFonts w:ascii="Arial" w:cs="Arial" w:eastAsia="Arial" w:hAnsi="Arial"/>
          <w:sz w:val="16"/>
          <w:szCs w:val="16"/>
          <w:color w:val="auto"/>
        </w:rPr>
        <w:t>In accordance with FASB ASC 820, the tables below provide quantitative information about the Company’s fair value measurements of its Level 3 assets as of June 30, 2017 and December 31, 2016.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June 30, 2017 and December 31, 2016. Significant changes in the inputs in isolation would result in a significant change in the fair value measurement, depending on the input and the materiality of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5218430" cy="30054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8430" cy="3005455"/>
                    </a:xfrm>
                    <a:prstGeom prst="rect">
                      <a:avLst/>
                    </a:prstGeom>
                    <a:noFill/>
                  </pic:spPr>
                </pic:pic>
              </a:graphicData>
            </a:graphic>
          </wp:anchor>
        </w:drawing>
      </w:r>
    </w:p>
    <w:p>
      <w:pPr>
        <w:spacing w:after="0" w:line="192"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auto"/>
        </w:rPr>
        <w:t>As of June 30, 2017 (Unaudited)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Borders>
              <w:top w:val="single" w:sz="8" w:color="auto"/>
            </w:tcBorders>
          </w:tcPr>
          <w:p>
            <w:pPr>
              <w:spacing w:after="0"/>
              <w:rPr>
                <w:sz w:val="14"/>
                <w:szCs w:val="14"/>
                <w:color w:val="auto"/>
              </w:rPr>
            </w:pPr>
          </w:p>
        </w:tc>
        <w:tc>
          <w:tcPr>
            <w:tcW w:w="1420" w:type="dxa"/>
            <w:vAlign w:val="bottom"/>
            <w:tcBorders>
              <w:top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3"/>
              </w:rPr>
              <w:t>Asset</w:t>
            </w:r>
          </w:p>
        </w:tc>
        <w:tc>
          <w:tcPr>
            <w:tcW w:w="1080" w:type="dxa"/>
            <w:vAlign w:val="bottom"/>
            <w:tcBorders>
              <w:top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w:t>
            </w:r>
          </w:p>
        </w:tc>
        <w:tc>
          <w:tcPr>
            <w:tcW w:w="20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Unobservable Inputs</w:t>
            </w:r>
          </w:p>
        </w:tc>
        <w:tc>
          <w:tcPr>
            <w:tcW w:w="17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gridSpan w:val="2"/>
            <w:vMerge w:val="continue"/>
          </w:tcPr>
          <w:p>
            <w:pPr>
              <w:spacing w:after="0"/>
              <w:rPr>
                <w:sz w:val="18"/>
                <w:szCs w:val="18"/>
                <w:color w:val="auto"/>
              </w:rPr>
            </w:pPr>
          </w:p>
        </w:tc>
        <w:tc>
          <w:tcPr>
            <w:tcW w:w="1080" w:type="dxa"/>
            <w:vAlign w:val="bottom"/>
            <w:tcBorders>
              <w:bottom w:val="single" w:sz="8" w:color="auto"/>
              <w:right w:val="single" w:sz="8" w:color="auto"/>
            </w:tcBorders>
            <w:vMerge w:val="continue"/>
          </w:tcPr>
          <w:p>
            <w:pPr>
              <w:spacing w:after="0"/>
              <w:rPr>
                <w:sz w:val="18"/>
                <w:szCs w:val="18"/>
                <w:color w:val="auto"/>
              </w:rPr>
            </w:pP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Technique / Approach</w:t>
            </w:r>
          </w:p>
        </w:tc>
        <w:tc>
          <w:tcPr>
            <w:tcW w:w="2080" w:type="dxa"/>
            <w:vAlign w:val="bottom"/>
            <w:tcBorders>
              <w:bottom w:val="single" w:sz="8" w:color="auto"/>
              <w:right w:val="single" w:sz="8" w:color="auto"/>
            </w:tcBorders>
            <w:vMerge w:val="continue"/>
          </w:tcPr>
          <w:p>
            <w:pPr>
              <w:spacing w:after="0"/>
              <w:rPr>
                <w:sz w:val="18"/>
                <w:szCs w:val="18"/>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87"/>
              </w:rPr>
              <w:t>Precedent transactions</w:t>
            </w:r>
            <w:r>
              <w:rPr>
                <w:rFonts w:ascii="Arial" w:cs="Arial" w:eastAsia="Arial" w:hAnsi="Arial"/>
                <w:sz w:val="23"/>
                <w:szCs w:val="23"/>
                <w:color w:val="auto"/>
                <w:w w:val="87"/>
                <w:vertAlign w:val="superscript"/>
              </w:rPr>
              <w:t>(1)</w:t>
            </w: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Common stock in</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$88,232,623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Market approach</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Collateral value</w:t>
            </w: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420" w:type="dxa"/>
            <w:vAlign w:val="bottom"/>
            <w:tcBorders>
              <w:right w:val="single" w:sz="8" w:color="auto"/>
            </w:tcBorders>
            <w:gridSpan w:val="2"/>
            <w:vMerge w:val="continue"/>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Revenue multiples</w:t>
            </w:r>
          </w:p>
        </w:tc>
        <w:tc>
          <w:tcPr>
            <w:tcW w:w="1720" w:type="dxa"/>
            <w:vAlign w:val="bottom"/>
            <w:gridSpan w:val="2"/>
            <w:vMerge w:val="restart"/>
          </w:tcPr>
          <w:p>
            <w:pPr>
              <w:jc w:val="center"/>
              <w:spacing w:after="0"/>
              <w:rPr>
                <w:sz w:val="20"/>
                <w:szCs w:val="20"/>
                <w:color w:val="auto"/>
              </w:rPr>
            </w:pPr>
            <w:r>
              <w:rPr>
                <w:rFonts w:ascii="Arial" w:cs="Arial" w:eastAsia="Arial" w:hAnsi="Arial"/>
                <w:sz w:val="14"/>
                <w:szCs w:val="14"/>
                <w:color w:val="auto"/>
                <w:w w:val="96"/>
              </w:rPr>
              <w:t>1.8x-4.1x (3.1x)</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2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4"/>
                <w:szCs w:val="14"/>
                <w:color w:val="auto"/>
                <w:w w:val="91"/>
              </w:rPr>
              <w:t>private companies</w:t>
            </w:r>
          </w:p>
        </w:tc>
        <w:tc>
          <w:tcPr>
            <w:tcW w:w="1080" w:type="dxa"/>
            <w:vAlign w:val="bottom"/>
            <w:tcBorders>
              <w:right w:val="single" w:sz="8" w:color="auto"/>
            </w:tcBorders>
          </w:tcPr>
          <w:p>
            <w:pPr>
              <w:spacing w:after="0"/>
              <w:rPr>
                <w:sz w:val="9"/>
                <w:szCs w:val="9"/>
                <w:color w:val="auto"/>
              </w:rPr>
            </w:pPr>
          </w:p>
        </w:tc>
        <w:tc>
          <w:tcPr>
            <w:tcW w:w="1900" w:type="dxa"/>
            <w:vAlign w:val="bottom"/>
            <w:tcBorders>
              <w:bottom w:val="single" w:sz="8" w:color="auto"/>
              <w:right w:val="single" w:sz="8" w:color="auto"/>
            </w:tcBorders>
          </w:tcPr>
          <w:p>
            <w:pPr>
              <w:spacing w:after="0"/>
              <w:rPr>
                <w:sz w:val="9"/>
                <w:szCs w:val="9"/>
                <w:color w:val="auto"/>
              </w:rPr>
            </w:pPr>
          </w:p>
        </w:tc>
        <w:tc>
          <w:tcPr>
            <w:tcW w:w="2080" w:type="dxa"/>
            <w:vAlign w:val="bottom"/>
            <w:tcBorders>
              <w:bottom w:val="single" w:sz="8" w:color="auto"/>
              <w:right w:val="single" w:sz="8" w:color="auto"/>
            </w:tcBorders>
            <w:vMerge w:val="continue"/>
          </w:tcPr>
          <w:p>
            <w:pPr>
              <w:spacing w:after="0"/>
              <w:rPr>
                <w:sz w:val="9"/>
                <w:szCs w:val="9"/>
                <w:color w:val="auto"/>
              </w:rPr>
            </w:pPr>
          </w:p>
        </w:tc>
        <w:tc>
          <w:tcPr>
            <w:tcW w:w="1720" w:type="dxa"/>
            <w:vAlign w:val="bottom"/>
            <w:tcBorders>
              <w:bottom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1900" w:type="dxa"/>
            <w:vAlign w:val="bottom"/>
            <w:tcBorders>
              <w:right w:val="single" w:sz="8" w:color="auto"/>
            </w:tcBorders>
            <w:vMerge w:val="restart"/>
          </w:tcPr>
          <w:p>
            <w:pPr>
              <w:jc w:val="center"/>
              <w:spacing w:after="0" w:line="197" w:lineRule="exact"/>
              <w:rPr>
                <w:sz w:val="20"/>
                <w:szCs w:val="20"/>
                <w:color w:val="auto"/>
              </w:rPr>
            </w:pPr>
            <w:r>
              <w:rPr>
                <w:rFonts w:ascii="Arial" w:cs="Arial" w:eastAsia="Arial" w:hAnsi="Arial"/>
                <w:sz w:val="14"/>
                <w:szCs w:val="14"/>
                <w:color w:val="auto"/>
                <w:w w:val="92"/>
              </w:rPr>
              <w:t>Discounted Cash Flow</w:t>
            </w:r>
            <w:r>
              <w:rPr>
                <w:rFonts w:ascii="Arial" w:cs="Arial" w:eastAsia="Arial" w:hAnsi="Arial"/>
                <w:sz w:val="22"/>
                <w:szCs w:val="22"/>
                <w:color w:val="auto"/>
                <w:w w:val="92"/>
                <w:vertAlign w:val="superscript"/>
              </w:rPr>
              <w:t>(2)</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Discount rate</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12.0%</w:t>
            </w:r>
          </w:p>
        </w:tc>
        <w:tc>
          <w:tcPr>
            <w:tcW w:w="920" w:type="dxa"/>
            <w:vAlign w:val="bottom"/>
            <w:vMerge w:val="restart"/>
          </w:tcPr>
          <w:p>
            <w:pPr>
              <w:ind w:left="2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vMerge w:val="continue"/>
          </w:tcPr>
          <w:p>
            <w:pPr>
              <w:spacing w:after="0"/>
              <w:rPr>
                <w:sz w:val="13"/>
                <w:szCs w:val="13"/>
                <w:color w:val="auto"/>
              </w:rPr>
            </w:pPr>
          </w:p>
        </w:tc>
        <w:tc>
          <w:tcPr>
            <w:tcW w:w="2080" w:type="dxa"/>
            <w:vAlign w:val="bottom"/>
            <w:tcBorders>
              <w:bottom w:val="single" w:sz="8" w:color="auto"/>
              <w:right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Long-term revenue growth</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w:t>
            </w: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PWERM</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Discount rate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w:t>
            </w: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87"/>
              </w:rPr>
              <w:t>Precedent transactions</w:t>
            </w:r>
            <w:r>
              <w:rPr>
                <w:rFonts w:ascii="Arial" w:cs="Arial" w:eastAsia="Arial" w:hAnsi="Arial"/>
                <w:sz w:val="23"/>
                <w:szCs w:val="23"/>
                <w:color w:val="auto"/>
                <w:w w:val="87"/>
                <w:vertAlign w:val="superscript"/>
              </w:rPr>
              <w:t>(1)</w:t>
            </w: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Market approach</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Collateral value</w:t>
            </w: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2"/>
              </w:rPr>
              <w:t>Preferred stock in</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$167,056,307</w:t>
            </w:r>
          </w:p>
        </w:tc>
        <w:tc>
          <w:tcPr>
            <w:tcW w:w="1900" w:type="dxa"/>
            <w:vAlign w:val="bottom"/>
            <w:tcBorders>
              <w:right w:val="single" w:sz="8" w:color="auto"/>
            </w:tcBorders>
            <w:vMerge w:val="continue"/>
          </w:tcPr>
          <w:p>
            <w:pPr>
              <w:spacing w:after="0"/>
              <w:rPr>
                <w:sz w:val="11"/>
                <w:szCs w:val="11"/>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Revenue multiples</w:t>
            </w:r>
          </w:p>
        </w:tc>
        <w:tc>
          <w:tcPr>
            <w:tcW w:w="1720" w:type="dxa"/>
            <w:vAlign w:val="bottom"/>
            <w:gridSpan w:val="2"/>
            <w:vMerge w:val="restart"/>
          </w:tcPr>
          <w:p>
            <w:pPr>
              <w:jc w:val="center"/>
              <w:spacing w:after="0"/>
              <w:rPr>
                <w:sz w:val="20"/>
                <w:szCs w:val="20"/>
                <w:color w:val="auto"/>
              </w:rPr>
            </w:pPr>
            <w:r>
              <w:rPr>
                <w:rFonts w:ascii="Arial" w:cs="Arial" w:eastAsia="Arial" w:hAnsi="Arial"/>
                <w:sz w:val="14"/>
                <w:szCs w:val="14"/>
                <w:color w:val="auto"/>
                <w:w w:val="96"/>
              </w:rPr>
              <w:t>1.4x-4.8x (3.1x)</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6"/>
                <w:szCs w:val="6"/>
                <w:color w:val="auto"/>
              </w:rPr>
            </w:pPr>
          </w:p>
        </w:tc>
        <w:tc>
          <w:tcPr>
            <w:tcW w:w="1420" w:type="dxa"/>
            <w:vAlign w:val="bottom"/>
            <w:tcBorders>
              <w:right w:val="single" w:sz="8" w:color="auto"/>
            </w:tcBorders>
            <w:gridSpan w:val="2"/>
            <w:vMerge w:val="continue"/>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2080" w:type="dxa"/>
            <w:vAlign w:val="bottom"/>
            <w:tcBorders>
              <w:bottom w:val="single" w:sz="8" w:color="auto"/>
              <w:right w:val="single" w:sz="8" w:color="auto"/>
            </w:tcBorders>
            <w:vMerge w:val="continue"/>
          </w:tcPr>
          <w:p>
            <w:pPr>
              <w:spacing w:after="0"/>
              <w:rPr>
                <w:sz w:val="6"/>
                <w:szCs w:val="6"/>
                <w:color w:val="auto"/>
              </w:rPr>
            </w:pPr>
          </w:p>
        </w:tc>
        <w:tc>
          <w:tcPr>
            <w:tcW w:w="172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91"/>
              </w:rPr>
              <w:t>private companies</w:t>
            </w:r>
          </w:p>
        </w:tc>
        <w:tc>
          <w:tcPr>
            <w:tcW w:w="1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EBIT multiples</w:t>
            </w: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15.0x-35.0x (20.8x)</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Discount for lack of control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14"/>
                <w:szCs w:val="14"/>
                <w:color w:val="auto"/>
                <w:w w:val="92"/>
              </w:rPr>
              <w:t>Discounted Cash Flow</w:t>
            </w:r>
            <w:r>
              <w:rPr>
                <w:rFonts w:ascii="Arial" w:cs="Arial" w:eastAsia="Arial" w:hAnsi="Arial"/>
                <w:sz w:val="22"/>
                <w:szCs w:val="22"/>
                <w:color w:val="auto"/>
                <w:w w:val="92"/>
                <w:vertAlign w:val="superscript"/>
              </w:rPr>
              <w:t>(2)</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Discount rate</w:t>
            </w: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12.0%-40.0 (35.9%)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Long-term revenue growth</w:t>
            </w: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0.0%-49.4% (23.9%)</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PWERM</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Discount rate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w:t>
            </w: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91"/>
              </w:rPr>
              <w:t>Debt Investments</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$7,874,128</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Market approach</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Liquidation Value</w:t>
            </w: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4"/>
                <w:szCs w:val="14"/>
                <w:color w:val="auto"/>
                <w:w w:val="91"/>
              </w:rPr>
              <w:t>Warrants</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$440,654</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Option pricing model</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Term to expiration (Years)</w:t>
            </w: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0.7-3.0 (2.4)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420" w:type="dxa"/>
            <w:vAlign w:val="bottom"/>
            <w:tcBorders>
              <w:right w:val="single" w:sz="8" w:color="auto"/>
            </w:tcBorders>
            <w:gridSpan w:val="2"/>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Volatility</w:t>
            </w:r>
          </w:p>
        </w:tc>
        <w:tc>
          <w:tcPr>
            <w:tcW w:w="1720" w:type="dxa"/>
            <w:vAlign w:val="bottom"/>
            <w:gridSpan w:val="2"/>
            <w:vMerge w:val="restart"/>
          </w:tcPr>
          <w:p>
            <w:pPr>
              <w:jc w:val="center"/>
              <w:spacing w:after="0"/>
              <w:rPr>
                <w:sz w:val="20"/>
                <w:szCs w:val="20"/>
                <w:color w:val="auto"/>
              </w:rPr>
            </w:pPr>
            <w:r>
              <w:rPr>
                <w:rFonts w:ascii="Arial" w:cs="Arial" w:eastAsia="Arial" w:hAnsi="Arial"/>
                <w:sz w:val="14"/>
                <w:szCs w:val="14"/>
                <w:color w:val="auto"/>
                <w:w w:val="94"/>
              </w:rPr>
              <w:t>11.7%-54.6% (40.2%)</w:t>
            </w:r>
          </w:p>
        </w:tc>
        <w:tc>
          <w:tcPr>
            <w:tcW w:w="0" w:type="dxa"/>
            <w:vAlign w:val="bottom"/>
          </w:tcPr>
          <w:p>
            <w:pPr>
              <w:spacing w:after="0"/>
              <w:rPr>
                <w:sz w:val="1"/>
                <w:szCs w:val="1"/>
                <w:color w:val="auto"/>
              </w:rPr>
            </w:pPr>
          </w:p>
        </w:tc>
      </w:tr>
      <w:tr>
        <w:trPr>
          <w:trHeight w:val="90"/>
        </w:trPr>
        <w:tc>
          <w:tcPr>
            <w:tcW w:w="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vMerge w:val="continue"/>
          </w:tcPr>
          <w:p>
            <w:pPr>
              <w:spacing w:after="0"/>
              <w:rPr>
                <w:sz w:val="7"/>
                <w:szCs w:val="7"/>
                <w:color w:val="auto"/>
              </w:rPr>
            </w:pPr>
          </w:p>
        </w:tc>
        <w:tc>
          <w:tcPr>
            <w:tcW w:w="172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hanging="272"/>
        <w:spacing w:after="0"/>
        <w:tabs>
          <w:tab w:leader="none" w:pos="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Precedent transactions include recent rounds of financing, recent purchases made by the Company, and tender offers.</w:t>
      </w:r>
    </w:p>
    <w:p>
      <w:pPr>
        <w:spacing w:after="0" w:line="128" w:lineRule="exact"/>
        <w:rPr>
          <w:rFonts w:ascii="Arial" w:cs="Arial" w:eastAsia="Arial" w:hAnsi="Arial"/>
          <w:sz w:val="17"/>
          <w:szCs w:val="17"/>
          <w:color w:val="auto"/>
        </w:rPr>
      </w:pPr>
    </w:p>
    <w:p>
      <w:pPr>
        <w:ind w:left="300" w:right="679" w:hanging="272"/>
        <w:spacing w:after="0" w:line="286" w:lineRule="auto"/>
        <w:tabs>
          <w:tab w:leader="none" w:pos="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of December 31, 2016, the Company used a market approach to value certain common and preferred stock investments. As of June 30, 2017, the Company used a hybrid market and income approach to value certain common and preferred stock investments as the Company felt this approach better reflected the fair value of these investments.</w:t>
      </w:r>
    </w:p>
    <w:p>
      <w:pPr>
        <w:spacing w:after="0" w:line="200" w:lineRule="exact"/>
        <w:rPr>
          <w:sz w:val="20"/>
          <w:szCs w:val="20"/>
          <w:color w:val="auto"/>
        </w:rPr>
      </w:pPr>
    </w:p>
    <w:p>
      <w:pPr>
        <w:spacing w:after="0" w:line="3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8" w:name="page39"/>
    <w:bookmarkEnd w:id="38"/>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118110</wp:posOffset>
            </wp:positionV>
            <wp:extent cx="5218430" cy="22764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8430" cy="2276475"/>
                    </a:xfrm>
                    <a:prstGeom prst="rect">
                      <a:avLst/>
                    </a:prstGeom>
                    <a:noFill/>
                  </pic:spPr>
                </pic:pic>
              </a:graphicData>
            </a:graphic>
          </wp:anchor>
        </w:drawing>
      </w:r>
    </w:p>
    <w:p>
      <w:pPr>
        <w:spacing w:after="0" w:line="255" w:lineRule="exact"/>
        <w:rPr>
          <w:sz w:val="20"/>
          <w:szCs w:val="20"/>
          <w:color w:val="auto"/>
        </w:rPr>
      </w:pPr>
    </w:p>
    <w:p>
      <w:pPr>
        <w:ind w:left="3480"/>
        <w:spacing w:after="0"/>
        <w:rPr>
          <w:sz w:val="20"/>
          <w:szCs w:val="20"/>
          <w:color w:val="auto"/>
        </w:rPr>
      </w:pPr>
      <w:r>
        <w:rPr>
          <w:rFonts w:ascii="Arial" w:cs="Arial" w:eastAsia="Arial" w:hAnsi="Arial"/>
          <w:sz w:val="14"/>
          <w:szCs w:val="14"/>
          <w:b w:val="1"/>
          <w:bCs w:val="1"/>
          <w:color w:val="auto"/>
        </w:rPr>
        <w:t>As of December 31, 2016</w:t>
      </w:r>
    </w:p>
    <w:p>
      <w:pPr>
        <w:spacing w:after="0" w:line="25"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20" w:type="dxa"/>
            <w:vAlign w:val="bottom"/>
            <w:tcBorders>
              <w:top w:val="single" w:sz="8" w:color="auto"/>
            </w:tcBorders>
          </w:tcPr>
          <w:p>
            <w:pPr>
              <w:spacing w:after="0"/>
              <w:rPr>
                <w:sz w:val="14"/>
                <w:szCs w:val="14"/>
                <w:color w:val="auto"/>
              </w:rPr>
            </w:pPr>
          </w:p>
        </w:tc>
        <w:tc>
          <w:tcPr>
            <w:tcW w:w="1420" w:type="dxa"/>
            <w:vAlign w:val="bottom"/>
            <w:tcBorders>
              <w:top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Asset</w:t>
            </w:r>
          </w:p>
        </w:tc>
        <w:tc>
          <w:tcPr>
            <w:tcW w:w="1080" w:type="dxa"/>
            <w:vAlign w:val="bottom"/>
            <w:tcBorders>
              <w:top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17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Techniques</w:t>
            </w:r>
          </w:p>
        </w:tc>
        <w:tc>
          <w:tcPr>
            <w:tcW w:w="21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Unobservable Inputs</w:t>
            </w:r>
          </w:p>
        </w:tc>
        <w:tc>
          <w:tcPr>
            <w:tcW w:w="18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gridSpan w:val="2"/>
            <w:vMerge w:val="continue"/>
          </w:tcPr>
          <w:p>
            <w:pPr>
              <w:spacing w:after="0"/>
              <w:rPr>
                <w:sz w:val="18"/>
                <w:szCs w:val="18"/>
                <w:color w:val="auto"/>
              </w:rPr>
            </w:pPr>
          </w:p>
        </w:tc>
        <w:tc>
          <w:tcPr>
            <w:tcW w:w="1080" w:type="dxa"/>
            <w:vAlign w:val="bottom"/>
            <w:tcBorders>
              <w:bottom w:val="single" w:sz="8" w:color="auto"/>
              <w:right w:val="single" w:sz="8" w:color="auto"/>
            </w:tcBorders>
            <w:vMerge w:val="continue"/>
          </w:tcPr>
          <w:p>
            <w:pPr>
              <w:spacing w:after="0"/>
              <w:rPr>
                <w:sz w:val="18"/>
                <w:szCs w:val="18"/>
                <w:color w:val="auto"/>
              </w:rPr>
            </w:pPr>
          </w:p>
        </w:tc>
        <w:tc>
          <w:tcPr>
            <w:tcW w:w="1740" w:type="dxa"/>
            <w:vAlign w:val="bottom"/>
            <w:tcBorders>
              <w:bottom w:val="single" w:sz="8" w:color="auto"/>
              <w:right w:val="single" w:sz="8" w:color="auto"/>
            </w:tcBorders>
            <w:vMerge w:val="continue"/>
          </w:tcPr>
          <w:p>
            <w:pPr>
              <w:spacing w:after="0"/>
              <w:rPr>
                <w:sz w:val="18"/>
                <w:szCs w:val="18"/>
                <w:color w:val="auto"/>
              </w:rPr>
            </w:pPr>
          </w:p>
        </w:tc>
        <w:tc>
          <w:tcPr>
            <w:tcW w:w="2120" w:type="dxa"/>
            <w:vAlign w:val="bottom"/>
            <w:tcBorders>
              <w:bottom w:val="single" w:sz="8" w:color="auto"/>
              <w:right w:val="single" w:sz="8" w:color="auto"/>
            </w:tcBorders>
            <w:vMerge w:val="continue"/>
          </w:tcPr>
          <w:p>
            <w:pPr>
              <w:spacing w:after="0"/>
              <w:rPr>
                <w:sz w:val="18"/>
                <w:szCs w:val="18"/>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Market approach</w:t>
            </w:r>
          </w:p>
        </w:tc>
        <w:tc>
          <w:tcPr>
            <w:tcW w:w="212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87"/>
              </w:rPr>
              <w:t>Precedent transactions</w:t>
            </w:r>
            <w:r>
              <w:rPr>
                <w:rFonts w:ascii="Arial" w:cs="Arial" w:eastAsia="Arial" w:hAnsi="Arial"/>
                <w:sz w:val="23"/>
                <w:szCs w:val="23"/>
                <w:color w:val="auto"/>
                <w:w w:val="87"/>
                <w:vertAlign w:val="superscript"/>
              </w:rPr>
              <w:t>(1)</w:t>
            </w: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Common stock in</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$83,074,410</w:t>
            </w:r>
          </w:p>
        </w:tc>
        <w:tc>
          <w:tcPr>
            <w:tcW w:w="1740" w:type="dxa"/>
            <w:vAlign w:val="bottom"/>
            <w:tcBorders>
              <w:right w:val="single" w:sz="8" w:color="auto"/>
            </w:tcBorders>
            <w:vMerge w:val="continue"/>
          </w:tcPr>
          <w:p>
            <w:pPr>
              <w:spacing w:after="0"/>
              <w:rPr>
                <w:sz w:val="5"/>
                <w:szCs w:val="5"/>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Revenue multiples</w:t>
            </w:r>
          </w:p>
        </w:tc>
        <w:tc>
          <w:tcPr>
            <w:tcW w:w="1840" w:type="dxa"/>
            <w:vAlign w:val="bottom"/>
            <w:gridSpan w:val="2"/>
            <w:vMerge w:val="restart"/>
          </w:tcPr>
          <w:p>
            <w:pPr>
              <w:jc w:val="center"/>
              <w:spacing w:after="0"/>
              <w:rPr>
                <w:sz w:val="20"/>
                <w:szCs w:val="20"/>
                <w:color w:val="auto"/>
              </w:rPr>
            </w:pPr>
            <w:r>
              <w:rPr>
                <w:rFonts w:ascii="Arial" w:cs="Arial" w:eastAsia="Arial" w:hAnsi="Arial"/>
                <w:sz w:val="14"/>
                <w:szCs w:val="14"/>
                <w:color w:val="auto"/>
                <w:w w:val="94"/>
              </w:rPr>
              <w:t>0.8x – 5.2x (3.3x)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Borders>
              <w:right w:val="single" w:sz="8" w:color="auto"/>
            </w:tcBorders>
            <w:gridSpan w:val="2"/>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1740" w:type="dxa"/>
            <w:vAlign w:val="bottom"/>
            <w:tcBorders>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vMerge w:val="continue"/>
          </w:tcPr>
          <w:p>
            <w:pPr>
              <w:spacing w:after="0"/>
              <w:rPr>
                <w:sz w:val="12"/>
                <w:szCs w:val="12"/>
                <w:color w:val="auto"/>
              </w:rPr>
            </w:pPr>
          </w:p>
        </w:tc>
        <w:tc>
          <w:tcPr>
            <w:tcW w:w="184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20" w:type="dxa"/>
            <w:vAlign w:val="bottom"/>
            <w:tcBorders>
              <w:right w:val="single" w:sz="8" w:color="auto"/>
            </w:tcBorders>
            <w:gridSpan w:val="2"/>
          </w:tcPr>
          <w:p>
            <w:pPr>
              <w:jc w:val="center"/>
              <w:spacing w:after="0" w:line="133" w:lineRule="exact"/>
              <w:rPr>
                <w:sz w:val="20"/>
                <w:szCs w:val="20"/>
                <w:color w:val="auto"/>
              </w:rPr>
            </w:pPr>
            <w:r>
              <w:rPr>
                <w:rFonts w:ascii="Arial" w:cs="Arial" w:eastAsia="Arial" w:hAnsi="Arial"/>
                <w:sz w:val="14"/>
                <w:szCs w:val="14"/>
                <w:color w:val="auto"/>
                <w:w w:val="93"/>
              </w:rPr>
              <w:t>private companies</w:t>
            </w:r>
          </w:p>
        </w:tc>
        <w:tc>
          <w:tcPr>
            <w:tcW w:w="108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EBIT multiples</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37.5x</w:t>
            </w:r>
          </w:p>
        </w:tc>
        <w:tc>
          <w:tcPr>
            <w:tcW w:w="980" w:type="dxa"/>
            <w:vAlign w:val="bottom"/>
            <w:vMerge w:val="restart"/>
          </w:tcPr>
          <w:p>
            <w:pPr>
              <w:ind w:left="20"/>
              <w:spacing w:after="0"/>
              <w:rPr>
                <w:sz w:val="20"/>
                <w:szCs w:val="20"/>
                <w:color w:val="auto"/>
              </w:rPr>
            </w:pPr>
            <w:r>
              <w:rPr>
                <w:rFonts w:ascii="Arial" w:cs="Arial" w:eastAsia="Arial" w:hAnsi="Arial"/>
                <w:sz w:val="14"/>
                <w:szCs w:val="14"/>
                <w:color w:val="auto"/>
              </w:rPr>
              <w:t>(37.5x)</w:t>
            </w:r>
          </w:p>
        </w:tc>
        <w:tc>
          <w:tcPr>
            <w:tcW w:w="0" w:type="dxa"/>
            <w:vAlign w:val="bottom"/>
          </w:tcPr>
          <w:p>
            <w:pPr>
              <w:spacing w:after="0"/>
              <w:rPr>
                <w:sz w:val="1"/>
                <w:szCs w:val="1"/>
                <w:color w:val="auto"/>
              </w:rPr>
            </w:pPr>
          </w:p>
        </w:tc>
      </w:tr>
      <w:tr>
        <w:trPr>
          <w:trHeight w:val="76"/>
        </w:trPr>
        <w:tc>
          <w:tcPr>
            <w:tcW w:w="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2120" w:type="dxa"/>
            <w:vAlign w:val="bottom"/>
            <w:tcBorders>
              <w:bottom w:val="single" w:sz="8" w:color="auto"/>
              <w:right w:val="single" w:sz="8" w:color="auto"/>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1740" w:type="dxa"/>
            <w:vAlign w:val="bottom"/>
            <w:tcBorders>
              <w:right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87"/>
              </w:rPr>
              <w:t>Precedent transactions</w:t>
            </w:r>
            <w:r>
              <w:rPr>
                <w:rFonts w:ascii="Arial" w:cs="Arial" w:eastAsia="Arial" w:hAnsi="Arial"/>
                <w:sz w:val="23"/>
                <w:szCs w:val="23"/>
                <w:color w:val="auto"/>
                <w:w w:val="87"/>
                <w:vertAlign w:val="superscript"/>
              </w:rPr>
              <w:t>(1)</w:t>
            </w: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2"/>
              </w:rPr>
              <w:t>Preferred stock in</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$157,929,101</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Market approach</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Revenue multiples</w:t>
            </w: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0.8x – 5.3x (2.7x)</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420" w:type="dxa"/>
            <w:vAlign w:val="bottom"/>
            <w:tcBorders>
              <w:right w:val="single" w:sz="8" w:color="auto"/>
            </w:tcBorders>
            <w:gridSpan w:val="2"/>
            <w:vMerge w:val="continue"/>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vMerge w:val="continue"/>
          </w:tcPr>
          <w:p>
            <w:pPr>
              <w:spacing w:after="0"/>
              <w:rPr>
                <w:sz w:val="8"/>
                <w:szCs w:val="8"/>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EBIT multiples</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37.5x</w:t>
            </w:r>
          </w:p>
        </w:tc>
        <w:tc>
          <w:tcPr>
            <w:tcW w:w="980" w:type="dxa"/>
            <w:vAlign w:val="bottom"/>
            <w:vMerge w:val="restart"/>
          </w:tcPr>
          <w:p>
            <w:pPr>
              <w:ind w:left="20"/>
              <w:spacing w:after="0"/>
              <w:rPr>
                <w:sz w:val="20"/>
                <w:szCs w:val="20"/>
                <w:color w:val="auto"/>
              </w:rPr>
            </w:pPr>
            <w:r>
              <w:rPr>
                <w:rFonts w:ascii="Arial" w:cs="Arial" w:eastAsia="Arial" w:hAnsi="Arial"/>
                <w:sz w:val="14"/>
                <w:szCs w:val="14"/>
                <w:color w:val="auto"/>
              </w:rPr>
              <w:t>(37.5x)</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3"/>
              </w:rPr>
              <w:t>private companies</w:t>
            </w:r>
          </w:p>
        </w:tc>
        <w:tc>
          <w:tcPr>
            <w:tcW w:w="108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2120" w:type="dxa"/>
            <w:vAlign w:val="bottom"/>
            <w:tcBorders>
              <w:bottom w:val="single" w:sz="8" w:color="auto"/>
              <w:right w:val="single" w:sz="8" w:color="auto"/>
            </w:tcBorders>
            <w:vMerge w:val="continue"/>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1740" w:type="dxa"/>
            <w:vAlign w:val="bottom"/>
            <w:tcBorders>
              <w:right w:val="single" w:sz="8" w:color="auto"/>
            </w:tcBorders>
          </w:tcPr>
          <w:p>
            <w:pPr>
              <w:spacing w:after="0"/>
              <w:rPr>
                <w:sz w:val="4"/>
                <w:szCs w:val="4"/>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Subscriber multiples</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669.9x</w:t>
            </w:r>
          </w:p>
        </w:tc>
        <w:tc>
          <w:tcPr>
            <w:tcW w:w="980" w:type="dxa"/>
            <w:vAlign w:val="bottom"/>
            <w:vMerge w:val="restart"/>
          </w:tcPr>
          <w:p>
            <w:pPr>
              <w:ind w:left="20"/>
              <w:spacing w:after="0"/>
              <w:rPr>
                <w:sz w:val="20"/>
                <w:szCs w:val="20"/>
                <w:color w:val="auto"/>
              </w:rPr>
            </w:pPr>
            <w:r>
              <w:rPr>
                <w:rFonts w:ascii="Arial" w:cs="Arial" w:eastAsia="Arial" w:hAnsi="Arial"/>
                <w:sz w:val="14"/>
                <w:szCs w:val="14"/>
                <w:color w:val="auto"/>
              </w:rPr>
              <w:t>(669.6x)</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2120" w:type="dxa"/>
            <w:vAlign w:val="bottom"/>
            <w:tcBorders>
              <w:bottom w:val="single" w:sz="8" w:color="auto"/>
              <w:right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Discount for lack of control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$4,309,778</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PWERM</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Discount rate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3"/>
              </w:rPr>
              <w:t>Debt Investments</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$7,821,948</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Market approach</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Liquidation Value</w:t>
            </w: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87"/>
              </w:rPr>
              <w:t>Warrants</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$150,904</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Option pricing model</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Term to expiration (Years)</w:t>
            </w: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1.2 – 3.0 (2.1)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420" w:type="dxa"/>
            <w:vAlign w:val="bottom"/>
            <w:tcBorders>
              <w:right w:val="single" w:sz="8" w:color="auto"/>
            </w:tcBorders>
            <w:gridSpan w:val="2"/>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Volatility</w:t>
            </w:r>
          </w:p>
        </w:tc>
        <w:tc>
          <w:tcPr>
            <w:tcW w:w="1840" w:type="dxa"/>
            <w:vAlign w:val="bottom"/>
            <w:gridSpan w:val="2"/>
            <w:vMerge w:val="restart"/>
          </w:tcPr>
          <w:p>
            <w:pPr>
              <w:jc w:val="center"/>
              <w:spacing w:after="0"/>
              <w:rPr>
                <w:sz w:val="20"/>
                <w:szCs w:val="20"/>
                <w:color w:val="auto"/>
              </w:rPr>
            </w:pPr>
            <w:r>
              <w:rPr>
                <w:rFonts w:ascii="Arial" w:cs="Arial" w:eastAsia="Arial" w:hAnsi="Arial"/>
                <w:sz w:val="14"/>
                <w:szCs w:val="14"/>
                <w:color w:val="auto"/>
                <w:w w:val="93"/>
              </w:rPr>
              <w:t>10.4% – 49.3% (43.2%)</w:t>
            </w:r>
          </w:p>
        </w:tc>
        <w:tc>
          <w:tcPr>
            <w:tcW w:w="0" w:type="dxa"/>
            <w:vAlign w:val="bottom"/>
          </w:tcPr>
          <w:p>
            <w:pPr>
              <w:spacing w:after="0"/>
              <w:rPr>
                <w:sz w:val="1"/>
                <w:szCs w:val="1"/>
                <w:color w:val="auto"/>
              </w:rPr>
            </w:pPr>
          </w:p>
        </w:tc>
      </w:tr>
      <w:tr>
        <w:trPr>
          <w:trHeight w:val="90"/>
        </w:trPr>
        <w:tc>
          <w:tcPr>
            <w:tcW w:w="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740" w:type="dxa"/>
            <w:vAlign w:val="bottom"/>
            <w:tcBorders>
              <w:bottom w:val="single" w:sz="8" w:color="auto"/>
              <w:right w:val="single" w:sz="8" w:color="auto"/>
            </w:tcBorders>
          </w:tcPr>
          <w:p>
            <w:pPr>
              <w:spacing w:after="0"/>
              <w:rPr>
                <w:sz w:val="7"/>
                <w:szCs w:val="7"/>
                <w:color w:val="auto"/>
              </w:rPr>
            </w:pPr>
          </w:p>
        </w:tc>
        <w:tc>
          <w:tcPr>
            <w:tcW w:w="2120" w:type="dxa"/>
            <w:vAlign w:val="bottom"/>
            <w:tcBorders>
              <w:bottom w:val="single" w:sz="8" w:color="auto"/>
              <w:right w:val="single" w:sz="8" w:color="auto"/>
            </w:tcBorders>
            <w:vMerge w:val="continue"/>
          </w:tcPr>
          <w:p>
            <w:pPr>
              <w:spacing w:after="0"/>
              <w:rPr>
                <w:sz w:val="7"/>
                <w:szCs w:val="7"/>
                <w:color w:val="auto"/>
              </w:rPr>
            </w:pPr>
          </w:p>
        </w:tc>
        <w:tc>
          <w:tcPr>
            <w:tcW w:w="184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(1) Precedent transactions include recent rounds of financing, recent purchases made by the Company, and tender offers.</w:t>
      </w:r>
    </w:p>
    <w:p>
      <w:pPr>
        <w:spacing w:after="0" w:line="129" w:lineRule="exact"/>
        <w:rPr>
          <w:sz w:val="20"/>
          <w:szCs w:val="20"/>
          <w:color w:val="auto"/>
        </w:rPr>
      </w:pPr>
    </w:p>
    <w:p>
      <w:pPr>
        <w:ind w:left="180" w:right="759" w:firstLine="270"/>
        <w:spacing w:after="0" w:line="259" w:lineRule="auto"/>
        <w:rPr>
          <w:sz w:val="20"/>
          <w:szCs w:val="20"/>
          <w:color w:val="auto"/>
        </w:rPr>
      </w:pPr>
      <w:r>
        <w:rPr>
          <w:rFonts w:ascii="Arial" w:cs="Arial" w:eastAsia="Arial" w:hAnsi="Arial"/>
          <w:sz w:val="18"/>
          <w:szCs w:val="18"/>
          <w:color w:val="auto"/>
        </w:rPr>
        <w:t>The significant unobservable inputs used in determining the fair value of the assets and liabilities are shown above. Increases (decreases)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aggregate values of Level 3 assets and liabilities changed during the six months ended June 30, 2017,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30480</wp:posOffset>
            </wp:positionV>
            <wp:extent cx="52139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4"/>
                <w:szCs w:val="14"/>
                <w:b w:val="1"/>
                <w:bCs w:val="1"/>
                <w:color w:val="auto"/>
                <w:w w:val="92"/>
              </w:rPr>
              <w:t>Six months ended June 30, 2017 (Unaudited)</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Preferred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Debt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8"/>
              </w:rPr>
              <w:t>Warrants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Fair value as of December 31, 2016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83,074,410</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162,238,879</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7,821,948</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150,904</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253,286,141</w:t>
            </w: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Arial" w:cs="Arial" w:eastAsia="Arial" w:hAnsi="Arial"/>
                <w:sz w:val="14"/>
                <w:szCs w:val="14"/>
                <w:color w:val="auto"/>
              </w:rPr>
              <w:t>Transfers out of Level 3</w:t>
            </w: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(2,184,565)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(2,184,565)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(4,369,130)</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Purchases, capitalized fees and interest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18,177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70,379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88,556</w:t>
            </w: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Arial" w:cs="Arial" w:eastAsia="Arial" w:hAnsi="Arial"/>
                <w:sz w:val="14"/>
                <w:szCs w:val="14"/>
                <w:color w:val="auto"/>
              </w:rPr>
              <w:t>Sales of investments</w:t>
            </w: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(70,379)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(70,379)</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Realized losses</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(8,201,729)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(16,858,906)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(305,280)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(25,365,915)</w:t>
            </w: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line="189" w:lineRule="exact"/>
              <w:rPr>
                <w:sz w:val="20"/>
                <w:szCs w:val="20"/>
                <w:color w:val="auto"/>
              </w:rPr>
            </w:pPr>
            <w:r>
              <w:rPr>
                <w:rFonts w:ascii="Arial" w:cs="Arial" w:eastAsia="Arial" w:hAnsi="Arial"/>
                <w:sz w:val="13"/>
                <w:szCs w:val="13"/>
                <w:color w:val="auto"/>
              </w:rPr>
              <w:t>Exercises, conversions and assignments</w:t>
            </w:r>
            <w:r>
              <w:rPr>
                <w:rFonts w:ascii="Arial" w:cs="Arial" w:eastAsia="Arial" w:hAnsi="Arial"/>
                <w:sz w:val="21"/>
                <w:szCs w:val="21"/>
                <w:color w:val="auto"/>
                <w:vertAlign w:val="superscript"/>
              </w:rPr>
              <w:t>(1)</w:t>
            </w:r>
          </w:p>
        </w:tc>
        <w:tc>
          <w:tcPr>
            <w:tcW w:w="1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2,506,119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(2,506,119)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1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Amortization of fixed income security premiums and</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discounts</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73,873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73,873</w:t>
            </w:r>
          </w:p>
        </w:tc>
        <w:tc>
          <w:tcPr>
            <w:tcW w:w="0" w:type="dxa"/>
            <w:vAlign w:val="bottom"/>
          </w:tcPr>
          <w:p>
            <w:pPr>
              <w:spacing w:after="0"/>
              <w:rPr>
                <w:sz w:val="1"/>
                <w:szCs w:val="1"/>
                <w:color w:val="auto"/>
              </w:rPr>
            </w:pPr>
          </w:p>
        </w:tc>
      </w:tr>
      <w:tr>
        <w:trPr>
          <w:trHeight w:val="130"/>
        </w:trPr>
        <w:tc>
          <w:tcPr>
            <w:tcW w:w="3160" w:type="dxa"/>
            <w:vAlign w:val="bottom"/>
          </w:tcPr>
          <w:p>
            <w:pPr>
              <w:ind w:left="20"/>
              <w:spacing w:after="0" w:line="130" w:lineRule="exact"/>
              <w:rPr>
                <w:sz w:val="20"/>
                <w:szCs w:val="20"/>
                <w:color w:val="auto"/>
              </w:rPr>
            </w:pPr>
            <w:r>
              <w:rPr>
                <w:rFonts w:ascii="Arial" w:cs="Arial" w:eastAsia="Arial" w:hAnsi="Arial"/>
                <w:sz w:val="14"/>
                <w:szCs w:val="14"/>
                <w:color w:val="auto"/>
              </w:rPr>
              <w:t>Net change in unrealized appreciation included in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tcPr>
          <w:p>
            <w:pPr>
              <w:ind w:left="200"/>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13,038,388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26,367,018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335,789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219,371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39,960,566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Fair Value as of June 30, 2017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6"/>
              </w:rPr>
              <w:t>88,232,623</w:t>
            </w:r>
          </w:p>
        </w:tc>
        <w:tc>
          <w:tcPr>
            <w:tcW w:w="2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7"/>
              </w:rPr>
              <w:t>167,056,307</w:t>
            </w:r>
          </w:p>
        </w:tc>
        <w:tc>
          <w:tcPr>
            <w:tcW w:w="1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7,874,128</w:t>
            </w:r>
          </w:p>
        </w:tc>
        <w:tc>
          <w:tcPr>
            <w:tcW w:w="2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440,654</w:t>
            </w:r>
          </w:p>
        </w:tc>
        <w:tc>
          <w:tcPr>
            <w:tcW w:w="2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5"/>
              </w:rPr>
              <w:t>263,603,712</w:t>
            </w:r>
          </w:p>
        </w:tc>
        <w:tc>
          <w:tcPr>
            <w:tcW w:w="0" w:type="dxa"/>
            <w:vAlign w:val="bottom"/>
          </w:tcPr>
          <w:p>
            <w:pPr>
              <w:spacing w:after="0"/>
              <w:rPr>
                <w:sz w:val="1"/>
                <w:szCs w:val="1"/>
                <w:color w:val="auto"/>
              </w:rPr>
            </w:pPr>
          </w:p>
        </w:tc>
      </w:tr>
      <w:tr>
        <w:trPr>
          <w:trHeight w:val="123"/>
        </w:trPr>
        <w:tc>
          <w:tcPr>
            <w:tcW w:w="3160" w:type="dxa"/>
            <w:vAlign w:val="bottom"/>
            <w:tcBorders>
              <w:top w:val="single" w:sz="8" w:color="CCEEFF"/>
            </w:tcBorders>
          </w:tcPr>
          <w:p>
            <w:pPr>
              <w:ind w:left="20"/>
              <w:spacing w:after="0" w:line="123" w:lineRule="exact"/>
              <w:rPr>
                <w:sz w:val="20"/>
                <w:szCs w:val="20"/>
                <w:color w:val="auto"/>
              </w:rPr>
            </w:pPr>
            <w:r>
              <w:rPr>
                <w:rFonts w:ascii="Arial" w:cs="Arial" w:eastAsia="Arial" w:hAnsi="Arial"/>
                <w:sz w:val="14"/>
                <w:szCs w:val="14"/>
                <w:color w:val="auto"/>
              </w:rPr>
              <w:t>Net change in unrealized appreciation of Level 3</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160" w:type="dxa"/>
            <w:vAlign w:val="bottom"/>
          </w:tcPr>
          <w:p>
            <w:pPr>
              <w:ind w:left="200"/>
              <w:spacing w:after="0"/>
              <w:rPr>
                <w:sz w:val="20"/>
                <w:szCs w:val="20"/>
                <w:color w:val="auto"/>
              </w:rPr>
            </w:pPr>
            <w:r>
              <w:rPr>
                <w:rFonts w:ascii="Arial" w:cs="Arial" w:eastAsia="Arial" w:hAnsi="Arial"/>
                <w:sz w:val="14"/>
                <w:szCs w:val="14"/>
                <w:color w:val="auto"/>
              </w:rPr>
              <w:t>investments still held as of June 30, 2017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4,836,657</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9,502,763</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30,511</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219,371</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14,589,302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-231775</wp:posOffset>
            </wp:positionV>
            <wp:extent cx="5213985" cy="2228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3985" cy="22288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161925</wp:posOffset>
            </wp:positionV>
            <wp:extent cx="6172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20" w:right="579" w:hanging="272"/>
        <w:spacing w:after="0" w:line="277"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six months ended June 30, 2017,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47339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Conversion from</w:t>
            </w:r>
          </w:p>
        </w:tc>
        <w:tc>
          <w:tcPr>
            <w:tcW w:w="16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Conversion to</w:t>
            </w:r>
          </w:p>
        </w:tc>
        <w:tc>
          <w:tcPr>
            <w:tcW w:w="1980" w:type="dxa"/>
            <w:vAlign w:val="bottom"/>
          </w:tcPr>
          <w:p>
            <w:pPr>
              <w:spacing w:after="0"/>
              <w:rPr>
                <w:sz w:val="14"/>
                <w:szCs w:val="14"/>
                <w:color w:val="auto"/>
              </w:rPr>
            </w:pPr>
          </w:p>
        </w:tc>
      </w:tr>
      <w:tr>
        <w:trPr>
          <w:trHeight w:val="224"/>
        </w:trPr>
        <w:tc>
          <w:tcPr>
            <w:tcW w:w="12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w w:val="95"/>
              </w:rPr>
              <w:t>A Place for Rover Inc. (f/k/a DogVacay, Inc.)</w:t>
            </w:r>
          </w:p>
        </w:tc>
        <w:tc>
          <w:tcPr>
            <w:tcW w:w="16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Preferred shares, Series B-1</w:t>
            </w:r>
          </w:p>
        </w:tc>
        <w:tc>
          <w:tcPr>
            <w:tcW w:w="1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1980" w:type="dxa"/>
            <w:vAlign w:val="bottom"/>
          </w:tcPr>
          <w:p>
            <w:pPr>
              <w:spacing w:after="0"/>
              <w:rPr>
                <w:sz w:val="19"/>
                <w:szCs w:val="19"/>
                <w:color w:val="auto"/>
              </w:rPr>
            </w:pPr>
          </w:p>
        </w:tc>
      </w:tr>
      <w:tr>
        <w:trPr>
          <w:trHeight w:val="755"/>
        </w:trPr>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480" w:type="dxa"/>
            <w:vAlign w:val="bottom"/>
            <w:gridSpan w:val="2"/>
          </w:tcPr>
          <w:p>
            <w:pPr>
              <w:jc w:val="right"/>
              <w:ind w:right="1059"/>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4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3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4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3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9" w:name="page40"/>
    <w:bookmarkEnd w:id="3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aggregate values of Level 3 assets and liabilities changed during the year ended December 31, 2016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51885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9"/>
          </w:tcPr>
          <w:p>
            <w:pPr>
              <w:jc w:val="right"/>
              <w:ind w:right="500"/>
              <w:spacing w:after="0"/>
              <w:rPr>
                <w:sz w:val="20"/>
                <w:szCs w:val="20"/>
                <w:color w:val="auto"/>
              </w:rPr>
            </w:pPr>
            <w:r>
              <w:rPr>
                <w:rFonts w:ascii="Arial" w:cs="Arial" w:eastAsia="Arial" w:hAnsi="Arial"/>
                <w:sz w:val="14"/>
                <w:szCs w:val="14"/>
                <w:b w:val="1"/>
                <w:bCs w:val="1"/>
                <w:color w:val="auto"/>
              </w:rPr>
              <w:t>Year ended December 31, 2016</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0"/>
                <w:szCs w:val="10"/>
                <w:color w:val="auto"/>
              </w:rPr>
            </w:pPr>
          </w:p>
        </w:tc>
        <w:tc>
          <w:tcPr>
            <w:tcW w:w="100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Preferred</w:t>
            </w:r>
          </w:p>
        </w:tc>
        <w:tc>
          <w:tcPr>
            <w:tcW w:w="100" w:type="dxa"/>
            <w:vAlign w:val="bottom"/>
          </w:tcPr>
          <w:p>
            <w:pPr>
              <w:spacing w:after="0"/>
              <w:rPr>
                <w:sz w:val="10"/>
                <w:szCs w:val="10"/>
                <w:color w:val="auto"/>
              </w:rPr>
            </w:pPr>
          </w:p>
        </w:tc>
        <w:tc>
          <w:tcPr>
            <w:tcW w:w="88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Debt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8"/>
              </w:rPr>
              <w:t>Warrants</w:t>
            </w:r>
          </w:p>
        </w:tc>
        <w:tc>
          <w:tcPr>
            <w:tcW w:w="100" w:type="dxa"/>
            <w:vAlign w:val="bottom"/>
          </w:tcPr>
          <w:p>
            <w:pPr>
              <w:spacing w:after="0"/>
              <w:rPr>
                <w:sz w:val="10"/>
                <w:szCs w:val="10"/>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7"/>
              </w:rPr>
              <w:t>Investments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as of December 31, 2015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102,319,140</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8"/>
              </w:rPr>
              <w:t>$216,291,092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$ 4,175,859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469,306</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$323,255,397</w:t>
            </w:r>
          </w:p>
        </w:tc>
        <w:tc>
          <w:tcPr>
            <w:tcW w:w="0" w:type="dxa"/>
            <w:vAlign w:val="bottom"/>
          </w:tcPr>
          <w:p>
            <w:pPr>
              <w:spacing w:after="0"/>
              <w:rPr>
                <w:sz w:val="1"/>
                <w:szCs w:val="1"/>
                <w:color w:val="auto"/>
              </w:rPr>
            </w:pPr>
          </w:p>
        </w:tc>
      </w:tr>
      <w:tr>
        <w:trPr>
          <w:trHeight w:val="203"/>
        </w:trPr>
        <w:tc>
          <w:tcPr>
            <w:tcW w:w="3140" w:type="dxa"/>
            <w:vAlign w:val="bottom"/>
          </w:tcPr>
          <w:p>
            <w:pPr>
              <w:ind w:left="20"/>
              <w:spacing w:after="0"/>
              <w:rPr>
                <w:sz w:val="20"/>
                <w:szCs w:val="20"/>
                <w:color w:val="auto"/>
              </w:rPr>
            </w:pPr>
            <w:r>
              <w:rPr>
                <w:rFonts w:ascii="Arial" w:cs="Arial" w:eastAsia="Arial" w:hAnsi="Arial"/>
                <w:sz w:val="16"/>
                <w:szCs w:val="16"/>
                <w:color w:val="auto"/>
              </w:rPr>
              <w:t>Transfers into Level 3</w:t>
            </w: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143,733</w:t>
            </w:r>
          </w:p>
        </w:tc>
        <w:tc>
          <w:tcPr>
            <w:tcW w:w="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6"/>
                <w:szCs w:val="16"/>
                <w:color w:val="auto"/>
              </w:rPr>
              <w:t>143,733</w:t>
            </w: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investments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3,080</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9,016,702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5,201,294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103,655</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14,324,731</w:t>
            </w:r>
          </w:p>
        </w:tc>
        <w:tc>
          <w:tcPr>
            <w:tcW w:w="0" w:type="dxa"/>
            <w:vAlign w:val="bottom"/>
          </w:tcPr>
          <w:p>
            <w:pPr>
              <w:spacing w:after="0"/>
              <w:rPr>
                <w:sz w:val="1"/>
                <w:szCs w:val="1"/>
                <w:color w:val="auto"/>
              </w:rPr>
            </w:pPr>
          </w:p>
        </w:tc>
      </w:tr>
      <w:tr>
        <w:trPr>
          <w:trHeight w:val="203"/>
        </w:trPr>
        <w:tc>
          <w:tcPr>
            <w:tcW w:w="3140" w:type="dxa"/>
            <w:vAlign w:val="bottom"/>
          </w:tcPr>
          <w:p>
            <w:pPr>
              <w:ind w:left="20"/>
              <w:spacing w:after="0"/>
              <w:rPr>
                <w:sz w:val="20"/>
                <w:szCs w:val="20"/>
                <w:color w:val="auto"/>
              </w:rPr>
            </w:pPr>
            <w:r>
              <w:rPr>
                <w:rFonts w:ascii="Arial" w:cs="Arial" w:eastAsia="Arial" w:hAnsi="Arial"/>
                <w:sz w:val="16"/>
                <w:szCs w:val="16"/>
                <w:color w:val="auto"/>
              </w:rPr>
              <w:t>Sales of investments</w:t>
            </w:r>
          </w:p>
        </w:tc>
        <w:tc>
          <w:tcPr>
            <w:tcW w:w="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(3,509,238)</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rPr>
              <w:t>(7,651,891)</w:t>
            </w: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(574,380)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rPr>
              <w:t>(11,735,509)</w:t>
            </w: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(7,127,146)</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4,430,221</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(246,714)</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(2,943,639)</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line="242" w:lineRule="exact"/>
              <w:rPr>
                <w:sz w:val="20"/>
                <w:szCs w:val="20"/>
                <w:color w:val="auto"/>
              </w:rPr>
            </w:pPr>
            <w:r>
              <w:rPr>
                <w:rFonts w:ascii="Arial" w:cs="Arial" w:eastAsia="Arial" w:hAnsi="Arial"/>
                <w:sz w:val="16"/>
                <w:szCs w:val="16"/>
                <w:color w:val="auto"/>
                <w:w w:val="99"/>
              </w:rPr>
              <w:t>Exercises, conversions and assignments</w:t>
            </w:r>
            <w:r>
              <w:rPr>
                <w:rFonts w:ascii="Arial" w:cs="Arial" w:eastAsia="Arial" w:hAnsi="Arial"/>
                <w:sz w:val="27"/>
                <w:szCs w:val="27"/>
                <w:color w:val="auto"/>
                <w:w w:val="99"/>
                <w:vertAlign w:val="superscript"/>
              </w:rPr>
              <w:t>(1)</w:t>
            </w:r>
          </w:p>
        </w:tc>
        <w:tc>
          <w:tcPr>
            <w:tcW w:w="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23,588,443</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rPr>
              <w:t>(23,588,443)</w:t>
            </w: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fixed income security</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premiums and discounts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44,714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44,714</w:t>
            </w:r>
          </w:p>
        </w:tc>
        <w:tc>
          <w:tcPr>
            <w:tcW w:w="0" w:type="dxa"/>
            <w:vAlign w:val="bottom"/>
          </w:tcPr>
          <w:p>
            <w:pPr>
              <w:spacing w:after="0"/>
              <w:rPr>
                <w:sz w:val="1"/>
                <w:szCs w:val="1"/>
                <w:color w:val="auto"/>
              </w:rPr>
            </w:pPr>
          </w:p>
        </w:tc>
      </w:tr>
      <w:tr>
        <w:trPr>
          <w:trHeight w:val="193"/>
        </w:trPr>
        <w:tc>
          <w:tcPr>
            <w:tcW w:w="3140" w:type="dxa"/>
            <w:vAlign w:val="bottom"/>
          </w:tcPr>
          <w:p>
            <w:pPr>
              <w:ind w:left="20"/>
              <w:spacing w:after="0"/>
              <w:rPr>
                <w:sz w:val="20"/>
                <w:szCs w:val="20"/>
                <w:color w:val="auto"/>
              </w:rPr>
            </w:pPr>
            <w:r>
              <w:rPr>
                <w:rFonts w:ascii="Arial" w:cs="Arial" w:eastAsia="Arial" w:hAnsi="Arial"/>
                <w:sz w:val="16"/>
                <w:szCs w:val="16"/>
                <w:color w:val="auto"/>
              </w:rPr>
              <w:t>Net change in unrealized depreciation</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40" w:type="dxa"/>
            <w:vAlign w:val="bottom"/>
          </w:tcPr>
          <w:p>
            <w:pPr>
              <w:ind w:left="200"/>
              <w:spacing w:after="0"/>
              <w:rPr>
                <w:sz w:val="20"/>
                <w:szCs w:val="20"/>
                <w:color w:val="auto"/>
              </w:rPr>
            </w:pPr>
            <w:r>
              <w:rPr>
                <w:rFonts w:ascii="Arial" w:cs="Arial" w:eastAsia="Arial" w:hAnsi="Arial"/>
                <w:sz w:val="16"/>
                <w:szCs w:val="16"/>
                <w:color w:val="auto"/>
              </w:rPr>
              <w:t>included in earnings</w:t>
            </w: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w w:val="94"/>
              </w:rPr>
              <w:t>(32,343,602)</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rPr>
              <w:t>(36,258,802)</w:t>
            </w: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(1,025,539)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(175,343)</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rPr>
              <w:t>(69,803,286)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as of December 31, 2016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83,074,410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162,238,879</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$ 7,821,948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150,904</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253,286,141</w:t>
            </w:r>
          </w:p>
        </w:tc>
        <w:tc>
          <w:tcPr>
            <w:tcW w:w="0" w:type="dxa"/>
            <w:vAlign w:val="bottom"/>
          </w:tcPr>
          <w:p>
            <w:pPr>
              <w:spacing w:after="0"/>
              <w:rPr>
                <w:sz w:val="1"/>
                <w:szCs w:val="1"/>
                <w:color w:val="auto"/>
              </w:rPr>
            </w:pPr>
          </w:p>
        </w:tc>
      </w:tr>
      <w:tr>
        <w:trPr>
          <w:trHeight w:val="186"/>
        </w:trPr>
        <w:tc>
          <w:tcPr>
            <w:tcW w:w="31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w w:val="94"/>
              </w:rPr>
              <w:t>Net change in unrealized depreciation of Level</w:t>
            </w: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200"/>
              <w:spacing w:after="0"/>
              <w:rPr>
                <w:sz w:val="20"/>
                <w:szCs w:val="20"/>
                <w:color w:val="auto"/>
              </w:rPr>
            </w:pPr>
            <w:r>
              <w:rPr>
                <w:rFonts w:ascii="Arial" w:cs="Arial" w:eastAsia="Arial" w:hAnsi="Arial"/>
                <w:sz w:val="16"/>
                <w:szCs w:val="16"/>
                <w:color w:val="auto"/>
                <w:w w:val="95"/>
              </w:rPr>
              <w:t>3 investments still held as of December 31,</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40" w:type="dxa"/>
            <w:vAlign w:val="bottom"/>
          </w:tcPr>
          <w:p>
            <w:pPr>
              <w:ind w:left="200"/>
              <w:spacing w:after="0"/>
              <w:rPr>
                <w:sz w:val="20"/>
                <w:szCs w:val="20"/>
                <w:color w:val="auto"/>
              </w:rPr>
            </w:pPr>
            <w:r>
              <w:rPr>
                <w:rFonts w:ascii="Arial" w:cs="Arial" w:eastAsia="Arial" w:hAnsi="Arial"/>
                <w:sz w:val="16"/>
                <w:szCs w:val="16"/>
                <w:color w:val="auto"/>
              </w:rPr>
              <w:t>2016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w w:val="94"/>
              </w:rPr>
              <w:t>(39,307,692)</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w w:val="97"/>
              </w:rPr>
              <w:t>$ (40,126,793)</w:t>
            </w: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$(1,025,539)</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(195,637)</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w w:val="97"/>
              </w:rPr>
              <w:t>$ (80,655,661)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-415925</wp:posOffset>
            </wp:positionV>
            <wp:extent cx="5213985" cy="4203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13985" cy="42037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175260</wp:posOffset>
            </wp:positionV>
            <wp:extent cx="6172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300" w:right="899" w:hanging="272"/>
        <w:spacing w:after="0" w:line="277" w:lineRule="auto"/>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year ended December 31, 2016,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250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Transfer from</w:t>
            </w:r>
          </w:p>
        </w:tc>
        <w:tc>
          <w:tcPr>
            <w:tcW w:w="16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Transfer to</w:t>
            </w:r>
          </w:p>
        </w:tc>
      </w:tr>
      <w:tr>
        <w:trPr>
          <w:trHeight w:val="186"/>
        </w:trPr>
        <w:tc>
          <w:tcPr>
            <w:tcW w:w="3000" w:type="dxa"/>
            <w:vAlign w:val="bottom"/>
          </w:tcPr>
          <w:p>
            <w:pPr>
              <w:ind w:left="20"/>
              <w:spacing w:after="0"/>
              <w:rPr>
                <w:sz w:val="20"/>
                <w:szCs w:val="20"/>
                <w:color w:val="auto"/>
              </w:rPr>
            </w:pPr>
            <w:r>
              <w:rPr>
                <w:rFonts w:ascii="Arial" w:cs="Arial" w:eastAsia="Arial" w:hAnsi="Arial"/>
                <w:sz w:val="16"/>
                <w:szCs w:val="16"/>
                <w:color w:val="auto"/>
                <w:w w:val="96"/>
              </w:rPr>
              <w:t>4C Insights (f/k/a The Echo Systems Corp.)</w:t>
            </w:r>
          </w:p>
        </w:tc>
        <w:tc>
          <w:tcPr>
            <w:tcW w:w="16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0"/>
              </w:rPr>
              <w:t>Preferred shares, Series A</w:t>
            </w:r>
          </w:p>
        </w:tc>
        <w:tc>
          <w:tcPr>
            <w:tcW w:w="16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89"/>
              </w:rPr>
              <w:t>Common Shares</w:t>
            </w:r>
          </w:p>
        </w:tc>
      </w:tr>
      <w:tr>
        <w:trPr>
          <w:trHeight w:val="203"/>
        </w:trPr>
        <w:tc>
          <w:tcPr>
            <w:tcW w:w="3000" w:type="dxa"/>
            <w:vAlign w:val="bottom"/>
          </w:tcPr>
          <w:p>
            <w:pPr>
              <w:ind w:left="20"/>
              <w:spacing w:after="0"/>
              <w:rPr>
                <w:sz w:val="20"/>
                <w:szCs w:val="20"/>
                <w:color w:val="auto"/>
              </w:rPr>
            </w:pPr>
            <w:r>
              <w:rPr>
                <w:rFonts w:ascii="Arial" w:cs="Arial" w:eastAsia="Arial" w:hAnsi="Arial"/>
                <w:sz w:val="16"/>
                <w:szCs w:val="16"/>
                <w:color w:val="auto"/>
              </w:rPr>
              <w:t>Handle Financial, Inc.</w:t>
            </w:r>
          </w:p>
        </w:tc>
        <w:tc>
          <w:tcPr>
            <w:tcW w:w="16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88"/>
              </w:rPr>
              <w:t>Preferred shares, Series E</w:t>
            </w:r>
          </w:p>
        </w:tc>
        <w:tc>
          <w:tcPr>
            <w:tcW w:w="16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89"/>
              </w:rPr>
              <w:t>Common Shares</w:t>
            </w:r>
          </w:p>
        </w:tc>
      </w:tr>
      <w:tr>
        <w:trPr>
          <w:trHeight w:val="203"/>
        </w:trPr>
        <w:tc>
          <w:tcPr>
            <w:tcW w:w="3000" w:type="dxa"/>
            <w:vAlign w:val="bottom"/>
          </w:tcPr>
          <w:p>
            <w:pPr>
              <w:ind w:left="200"/>
              <w:spacing w:after="0"/>
              <w:rPr>
                <w:sz w:val="20"/>
                <w:szCs w:val="20"/>
                <w:color w:val="auto"/>
              </w:rPr>
            </w:pPr>
            <w:r>
              <w:rPr>
                <w:rFonts w:ascii="Arial" w:cs="Arial" w:eastAsia="Arial" w:hAnsi="Arial"/>
                <w:sz w:val="16"/>
                <w:szCs w:val="16"/>
                <w:color w:val="auto"/>
              </w:rPr>
              <w:t>(f/k/a PayNearMe, Inc.)</w:t>
            </w:r>
          </w:p>
        </w:tc>
        <w:tc>
          <w:tcPr>
            <w:tcW w:w="1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3000" w:type="dxa"/>
            <w:vAlign w:val="bottom"/>
          </w:tcPr>
          <w:p>
            <w:pPr>
              <w:ind w:left="20"/>
              <w:spacing w:after="0"/>
              <w:rPr>
                <w:sz w:val="20"/>
                <w:szCs w:val="20"/>
                <w:color w:val="auto"/>
              </w:rPr>
            </w:pPr>
            <w:r>
              <w:rPr>
                <w:rFonts w:ascii="Arial" w:cs="Arial" w:eastAsia="Arial" w:hAnsi="Arial"/>
                <w:sz w:val="16"/>
                <w:szCs w:val="16"/>
                <w:color w:val="auto"/>
              </w:rPr>
              <w:t>Fullbridge, Inc.</w:t>
            </w:r>
          </w:p>
        </w:tc>
        <w:tc>
          <w:tcPr>
            <w:tcW w:w="16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87"/>
              </w:rPr>
              <w:t>Preferred shares, Series C</w:t>
            </w:r>
          </w:p>
        </w:tc>
        <w:tc>
          <w:tcPr>
            <w:tcW w:w="16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89"/>
              </w:rPr>
              <w:t>Common Shares</w:t>
            </w:r>
          </w:p>
        </w:tc>
      </w:tr>
      <w:tr>
        <w:trPr>
          <w:trHeight w:val="203"/>
        </w:trPr>
        <w:tc>
          <w:tcPr>
            <w:tcW w:w="3000" w:type="dxa"/>
            <w:vAlign w:val="bottom"/>
          </w:tcPr>
          <w:p>
            <w:pPr>
              <w:ind w:left="20"/>
              <w:spacing w:after="0"/>
              <w:rPr>
                <w:sz w:val="20"/>
                <w:szCs w:val="20"/>
                <w:color w:val="auto"/>
              </w:rPr>
            </w:pPr>
            <w:r>
              <w:rPr>
                <w:rFonts w:ascii="Arial" w:cs="Arial" w:eastAsia="Arial" w:hAnsi="Arial"/>
                <w:sz w:val="16"/>
                <w:szCs w:val="16"/>
                <w:color w:val="auto"/>
              </w:rPr>
              <w:t>Fullbridge, Inc.</w:t>
            </w:r>
          </w:p>
        </w:tc>
        <w:tc>
          <w:tcPr>
            <w:tcW w:w="16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89"/>
              </w:rPr>
              <w:t>Preferred shares, Series D</w:t>
            </w:r>
          </w:p>
        </w:tc>
        <w:tc>
          <w:tcPr>
            <w:tcW w:w="16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89"/>
              </w:rPr>
              <w:t>Common Shares</w:t>
            </w:r>
          </w:p>
        </w:tc>
      </w:tr>
      <w:tr>
        <w:trPr>
          <w:trHeight w:val="203"/>
        </w:trPr>
        <w:tc>
          <w:tcPr>
            <w:tcW w:w="3000" w:type="dxa"/>
            <w:vAlign w:val="bottom"/>
          </w:tcPr>
          <w:p>
            <w:pPr>
              <w:ind w:left="20"/>
              <w:spacing w:after="0"/>
              <w:rPr>
                <w:sz w:val="20"/>
                <w:szCs w:val="20"/>
                <w:color w:val="auto"/>
              </w:rPr>
            </w:pPr>
            <w:r>
              <w:rPr>
                <w:rFonts w:ascii="Arial" w:cs="Arial" w:eastAsia="Arial" w:hAnsi="Arial"/>
                <w:sz w:val="16"/>
                <w:szCs w:val="16"/>
                <w:color w:val="auto"/>
              </w:rPr>
              <w:t>Fullbridge, Inc.</w:t>
            </w:r>
          </w:p>
        </w:tc>
        <w:tc>
          <w:tcPr>
            <w:tcW w:w="16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3"/>
              </w:rPr>
              <w:t>Convertible Promissory</w:t>
            </w:r>
          </w:p>
        </w:tc>
        <w:tc>
          <w:tcPr>
            <w:tcW w:w="16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2"/>
              </w:rPr>
              <w:t>Junior Note, 1.49%,</w:t>
            </w:r>
          </w:p>
        </w:tc>
      </w:tr>
      <w:tr>
        <w:trPr>
          <w:trHeight w:val="203"/>
        </w:trPr>
        <w:tc>
          <w:tcPr>
            <w:tcW w:w="3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2"/>
              </w:rPr>
              <w:t>Note 10% Due 3/2/2016</w:t>
            </w:r>
          </w:p>
        </w:tc>
        <w:tc>
          <w:tcPr>
            <w:tcW w:w="16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1"/>
              </w:rPr>
              <w:t>November 9, 2021</w:t>
            </w:r>
          </w:p>
        </w:tc>
      </w:tr>
      <w:tr>
        <w:trPr>
          <w:trHeight w:val="203"/>
        </w:trPr>
        <w:tc>
          <w:tcPr>
            <w:tcW w:w="3000" w:type="dxa"/>
            <w:vAlign w:val="bottom"/>
          </w:tcPr>
          <w:p>
            <w:pPr>
              <w:ind w:left="20"/>
              <w:spacing w:after="0"/>
              <w:rPr>
                <w:sz w:val="20"/>
                <w:szCs w:val="20"/>
                <w:color w:val="auto"/>
              </w:rPr>
            </w:pPr>
            <w:r>
              <w:rPr>
                <w:rFonts w:ascii="Arial" w:cs="Arial" w:eastAsia="Arial" w:hAnsi="Arial"/>
                <w:sz w:val="16"/>
                <w:szCs w:val="16"/>
                <w:color w:val="auto"/>
              </w:rPr>
              <w:t>Fullbridge, Inc.</w:t>
            </w:r>
          </w:p>
        </w:tc>
        <w:tc>
          <w:tcPr>
            <w:tcW w:w="16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3"/>
              </w:rPr>
              <w:t>Convertible Promissory</w:t>
            </w:r>
          </w:p>
        </w:tc>
        <w:tc>
          <w:tcPr>
            <w:tcW w:w="16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2"/>
              </w:rPr>
              <w:t>Junior Note, 1.49%,</w:t>
            </w:r>
          </w:p>
        </w:tc>
      </w:tr>
      <w:tr>
        <w:trPr>
          <w:trHeight w:val="206"/>
        </w:trPr>
        <w:tc>
          <w:tcPr>
            <w:tcW w:w="3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2"/>
              </w:rPr>
              <w:t>Note 10% Due 3/14/2017</w:t>
            </w:r>
          </w:p>
        </w:tc>
        <w:tc>
          <w:tcPr>
            <w:tcW w:w="16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1"/>
              </w:rPr>
              <w:t>November 9, 2021</w:t>
            </w:r>
          </w:p>
        </w:tc>
      </w:tr>
    </w:tbl>
    <w:p>
      <w:pPr>
        <w:spacing w:after="0" w:line="100" w:lineRule="exact"/>
        <w:rPr>
          <w:sz w:val="20"/>
          <w:szCs w:val="20"/>
          <w:color w:val="auto"/>
        </w:rPr>
      </w:pPr>
    </w:p>
    <w:p>
      <w:pPr>
        <w:ind w:left="60" w:right="799" w:firstLine="270"/>
        <w:spacing w:after="0" w:line="264" w:lineRule="auto"/>
        <w:rPr>
          <w:sz w:val="20"/>
          <w:szCs w:val="20"/>
          <w:color w:val="auto"/>
        </w:rPr>
      </w:pPr>
      <w:r>
        <w:rPr>
          <w:rFonts w:ascii="Arial" w:cs="Arial" w:eastAsia="Arial" w:hAnsi="Arial"/>
          <w:sz w:val="18"/>
          <w:szCs w:val="18"/>
          <w:color w:val="auto"/>
        </w:rPr>
        <w:t>The portfolio companies in which the Company invests periodically offer their shares in IPOs, which are typically subject to lock-up agreements for 180 days following the IPO. Refer to “Note 1 — Nature of Operations and Significant Accounting Policies — Summary of Significant Accounting Policies — Levelling Policy” for further detail.</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EQUITY OFFERINGS AND RELATED EXPENSES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 new shares of the Company’s common stock were issued during the six months ended June 30, 2017 and 2016, respectively.</w:t>
      </w:r>
    </w:p>
    <w:p>
      <w:pPr>
        <w:spacing w:after="0" w:line="200" w:lineRule="exact"/>
        <w:rPr>
          <w:sz w:val="20"/>
          <w:szCs w:val="20"/>
          <w:color w:val="auto"/>
        </w:rPr>
      </w:pPr>
    </w:p>
    <w:p>
      <w:pPr>
        <w:spacing w:after="0" w:line="39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0" w:name="page41"/>
    <w:bookmarkEnd w:id="4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right="1019"/>
        <w:spacing w:after="0" w:line="282" w:lineRule="auto"/>
        <w:rPr>
          <w:sz w:val="20"/>
          <w:szCs w:val="20"/>
          <w:color w:val="auto"/>
        </w:rPr>
      </w:pPr>
      <w:r>
        <w:rPr>
          <w:rFonts w:ascii="Arial" w:cs="Arial" w:eastAsia="Arial" w:hAnsi="Arial"/>
          <w:sz w:val="18"/>
          <w:szCs w:val="18"/>
          <w:b w:val="1"/>
          <w:bCs w:val="1"/>
          <w:color w:val="auto"/>
        </w:rPr>
        <w:t>NOTE 5 — NET INCREASE/(DECREASE) IN NET ASSETS RESULTING FROM OPERATIONS PER COMMON SHARE — BASIC AND DILUTED</w:t>
      </w:r>
    </w:p>
    <w:p>
      <w:pPr>
        <w:spacing w:after="0" w:line="58" w:lineRule="exact"/>
        <w:rPr>
          <w:sz w:val="20"/>
          <w:szCs w:val="20"/>
          <w:color w:val="auto"/>
        </w:rPr>
      </w:pPr>
    </w:p>
    <w:p>
      <w:pPr>
        <w:ind w:left="60" w:right="579" w:firstLine="270"/>
        <w:spacing w:after="0" w:line="310" w:lineRule="auto"/>
        <w:rPr>
          <w:sz w:val="20"/>
          <w:szCs w:val="20"/>
          <w:color w:val="auto"/>
        </w:rPr>
      </w:pPr>
      <w:r>
        <w:rPr>
          <w:rFonts w:ascii="Arial" w:cs="Arial" w:eastAsia="Arial" w:hAnsi="Arial"/>
          <w:sz w:val="15"/>
          <w:szCs w:val="15"/>
          <w:color w:val="auto"/>
        </w:rPr>
        <w:t>The following information sets forth the computation of basic and diluted net increase/(decrease) in net assets resulting from operations per common share for the three and six months ended June 30, 2017 and 2016. The use of the if-converted method as promulgated under ASC 260 considers all potentially dilutive securities in a company’s capital structure when calculating diluted earnings per share, regardless of whether it would be economically beneficial for a holder of such potentially dilutive security to exercise their conversion option (such as out of the money warrants.) In scenarios where diluted net increase in net assets resulting from operations per share is higher than basic net increase in net assets resulting from operations per share, ASC 260 prohibits the separate presentation of the diluted net increase in net assets resulting from operations per share figure. In scenarios where diluted net decrease in net assets resulting from operations per share is lower than basic net decrease in net assets resulting from operations per share, ASC 260 prohibits the separate presentation of the net decrease in net assets resulting from operations per share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-2540</wp:posOffset>
            </wp:positionV>
            <wp:extent cx="51371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2"/>
              </w:rPr>
              <w:t>Three months ended June 30,</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96"/>
        </w:trPr>
        <w:tc>
          <w:tcPr>
            <w:tcW w:w="39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Earnings/(loss) per common share – basic:</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Net increase/(decrease) in net assets resulting from</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6,198,075</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(16,281,566)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9,980,961</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(41,230,630)</w:t>
            </w:r>
          </w:p>
        </w:tc>
        <w:tc>
          <w:tcPr>
            <w:tcW w:w="0" w:type="dxa"/>
            <w:vAlign w:val="bottom"/>
          </w:tcPr>
          <w:p>
            <w:pPr>
              <w:spacing w:after="0"/>
              <w:rPr>
                <w:sz w:val="1"/>
                <w:szCs w:val="1"/>
                <w:color w:val="auto"/>
              </w:rPr>
            </w:pPr>
          </w:p>
        </w:tc>
      </w:tr>
      <w:tr>
        <w:trPr>
          <w:trHeight w:val="216"/>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Weighted-average common shares – basic</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22,181,003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22,181,003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22,181,003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22,181,003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Earnings/(loss) per common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0.45</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Earnings/(loss) per common share – diluted:</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Net increase/(decrease) in net assets resulting from</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operations, before 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6,198,075</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(16,281,566)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9,980,961</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(41,230,630)</w:t>
            </w:r>
          </w:p>
        </w:tc>
        <w:tc>
          <w:tcPr>
            <w:tcW w:w="0" w:type="dxa"/>
            <w:vAlign w:val="bottom"/>
          </w:tcPr>
          <w:p>
            <w:pPr>
              <w:spacing w:after="0"/>
              <w:rPr>
                <w:sz w:val="1"/>
                <w:szCs w:val="1"/>
                <w:color w:val="auto"/>
              </w:rPr>
            </w:pPr>
          </w:p>
        </w:tc>
      </w:tr>
      <w:tr>
        <w:trPr>
          <w:trHeight w:val="202"/>
        </w:trPr>
        <w:tc>
          <w:tcPr>
            <w:tcW w:w="398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3"/>
              </w:rPr>
              <w:t>Adjustments for interest on Convertible Senior Notes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tcPr>
          <w:p>
            <w:pPr>
              <w:ind w:left="180"/>
              <w:spacing w:after="0"/>
              <w:rPr>
                <w:sz w:val="20"/>
                <w:szCs w:val="20"/>
                <w:color w:val="auto"/>
              </w:rPr>
            </w:pPr>
            <w:r>
              <w:rPr>
                <w:rFonts w:ascii="Arial" w:cs="Arial" w:eastAsia="Arial" w:hAnsi="Arial"/>
                <w:sz w:val="18"/>
                <w:szCs w:val="18"/>
                <w:color w:val="auto"/>
              </w:rPr>
              <w:t>and deferred debt issuance costs</w:t>
            </w: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1,122,020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2,241,884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8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Net increase/(decrease) in net assets resulting from</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operations, as adjusted</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7,320,095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(16,281,566)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12,222,845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(41,230,630)</w:t>
            </w:r>
          </w:p>
        </w:tc>
        <w:tc>
          <w:tcPr>
            <w:tcW w:w="0" w:type="dxa"/>
            <w:vAlign w:val="bottom"/>
          </w:tcPr>
          <w:p>
            <w:pPr>
              <w:spacing w:after="0"/>
              <w:rPr>
                <w:sz w:val="1"/>
                <w:szCs w:val="1"/>
                <w:color w:val="auto"/>
              </w:rPr>
            </w:pPr>
          </w:p>
        </w:tc>
      </w:tr>
      <w:tr>
        <w:trPr>
          <w:trHeight w:val="216"/>
        </w:trPr>
        <w:tc>
          <w:tcPr>
            <w:tcW w:w="3980" w:type="dxa"/>
            <w:vAlign w:val="bottom"/>
            <w:gridSpan w:val="3"/>
          </w:tcPr>
          <w:p>
            <w:pPr>
              <w:ind w:left="20"/>
              <w:spacing w:after="0"/>
              <w:rPr>
                <w:sz w:val="20"/>
                <w:szCs w:val="20"/>
                <w:color w:val="auto"/>
              </w:rPr>
            </w:pPr>
            <w:r>
              <w:rPr>
                <w:rFonts w:ascii="Arial" w:cs="Arial" w:eastAsia="Arial" w:hAnsi="Arial"/>
                <w:sz w:val="18"/>
                <w:szCs w:val="18"/>
                <w:color w:val="auto"/>
                <w:w w:val="89"/>
              </w:rPr>
              <w:t>Weighted-average common shares outstanding – basic</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22,181,003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22,181,003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22,181,003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22,181,003</w:t>
            </w:r>
          </w:p>
        </w:tc>
        <w:tc>
          <w:tcPr>
            <w:tcW w:w="0" w:type="dxa"/>
            <w:vAlign w:val="bottom"/>
          </w:tcPr>
          <w:p>
            <w:pPr>
              <w:spacing w:after="0"/>
              <w:rPr>
                <w:sz w:val="1"/>
                <w:szCs w:val="1"/>
                <w:color w:val="auto"/>
              </w:rPr>
            </w:pPr>
          </w:p>
        </w:tc>
      </w:tr>
      <w:tr>
        <w:trPr>
          <w:trHeight w:val="205"/>
        </w:trPr>
        <w:tc>
          <w:tcPr>
            <w:tcW w:w="3980" w:type="dxa"/>
            <w:vAlign w:val="bottom"/>
            <w:gridSpan w:val="3"/>
            <w:shd w:val="clear" w:color="auto" w:fill="CCEEFF"/>
          </w:tcPr>
          <w:p>
            <w:pPr>
              <w:ind w:left="20"/>
              <w:spacing w:after="0" w:line="206" w:lineRule="exact"/>
              <w:rPr>
                <w:sz w:val="20"/>
                <w:szCs w:val="20"/>
                <w:color w:val="auto"/>
              </w:rPr>
            </w:pPr>
            <w:r>
              <w:rPr>
                <w:rFonts w:ascii="Arial" w:cs="Arial" w:eastAsia="Arial" w:hAnsi="Arial"/>
                <w:sz w:val="18"/>
                <w:szCs w:val="18"/>
                <w:color w:val="auto"/>
                <w:w w:val="96"/>
              </w:rPr>
              <w:t>Adjustments for dilutive effect of Convertible Senior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CCEEFF"/>
          </w:tcPr>
          <w:p>
            <w:pPr>
              <w:spacing w:after="0"/>
              <w:rPr>
                <w:sz w:val="23"/>
                <w:szCs w:val="23"/>
                <w:color w:val="auto"/>
              </w:rPr>
            </w:pPr>
          </w:p>
        </w:tc>
        <w:tc>
          <w:tcPr>
            <w:tcW w:w="396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18"/>
                <w:szCs w:val="18"/>
                <w:color w:val="auto"/>
              </w:rPr>
              <w:t>Notes</w:t>
            </w:r>
            <w:r>
              <w:rPr>
                <w:rFonts w:ascii="Arial" w:cs="Arial" w:eastAsia="Arial" w:hAnsi="Arial"/>
                <w:sz w:val="30"/>
                <w:szCs w:val="30"/>
                <w:color w:val="auto"/>
                <w:vertAlign w:val="superscript"/>
              </w:rPr>
              <w:t>(1)</w:t>
            </w: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5,751,815</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5,751,815</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8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Weighted-average common shares outstanding –</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27,932,818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22,181,003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27,932,818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22,181,003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Earnings/(loss) per common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0.44</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29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-2049145</wp:posOffset>
            </wp:positionV>
            <wp:extent cx="5222875"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2287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-222250</wp:posOffset>
            </wp:positionV>
            <wp:extent cx="5222875"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22875" cy="34290"/>
                    </a:xfrm>
                    <a:prstGeom prst="rect">
                      <a:avLst/>
                    </a:prstGeom>
                    <a:noFill/>
                  </pic:spPr>
                </pic:pic>
              </a:graphicData>
            </a:graphic>
          </wp:anchor>
        </w:drawing>
      </w:r>
    </w:p>
    <w:p>
      <w:pPr>
        <w:spacing w:after="0" w:line="236" w:lineRule="exact"/>
        <w:rPr>
          <w:sz w:val="20"/>
          <w:szCs w:val="20"/>
          <w:color w:val="auto"/>
        </w:rPr>
      </w:pPr>
    </w:p>
    <w:p>
      <w:pPr>
        <w:jc w:val="both"/>
        <w:ind w:left="300" w:right="739" w:hanging="272"/>
        <w:spacing w:after="0" w:line="264" w:lineRule="auto"/>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each of the three and six months ended June 30, 2016, 5,710,212 potentially dilutive common shares were excluded from the weighted-average common shares outstanding for diluted net decrease in net assets resulting from operations per common share because the effect of these shares would have been anti-dilutive.</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21" w:lineRule="exact"/>
        <w:rPr>
          <w:sz w:val="20"/>
          <w:szCs w:val="20"/>
          <w:color w:val="auto"/>
        </w:rPr>
      </w:pPr>
    </w:p>
    <w:p>
      <w:pPr>
        <w:ind w:left="40" w:right="559" w:firstLine="270"/>
        <w:spacing w:after="0" w:line="312" w:lineRule="auto"/>
        <w:rPr>
          <w:sz w:val="20"/>
          <w:szCs w:val="20"/>
          <w:color w:val="auto"/>
        </w:rPr>
      </w:pPr>
      <w:r>
        <w:rPr>
          <w:rFonts w:ascii="Arial" w:cs="Arial" w:eastAsia="Arial" w:hAnsi="Arial"/>
          <w:sz w:val="16"/>
          <w:szCs w:val="16"/>
          <w:color w:val="auto"/>
        </w:rPr>
        <w:t>In the normal course of business, the Company may enter into investment agreements under which it commits to make an investment in a portfolio company at some future date or over a specified period of time. At June 30, 2017 and December 31, 2016, the Company had not entered into any investment agreements that required it to make a future investment in a portfolio company.</w:t>
      </w:r>
    </w:p>
    <w:p>
      <w:pPr>
        <w:spacing w:after="0" w:line="39" w:lineRule="exact"/>
        <w:rPr>
          <w:sz w:val="20"/>
          <w:szCs w:val="20"/>
          <w:color w:val="auto"/>
        </w:rPr>
      </w:pPr>
    </w:p>
    <w:p>
      <w:pPr>
        <w:ind w:left="40" w:right="619" w:firstLine="270"/>
        <w:spacing w:after="0" w:line="276" w:lineRule="auto"/>
        <w:rPr>
          <w:sz w:val="20"/>
          <w:szCs w:val="20"/>
          <w:color w:val="auto"/>
        </w:rPr>
      </w:pPr>
      <w:r>
        <w:rPr>
          <w:rFonts w:ascii="Arial" w:cs="Arial" w:eastAsia="Arial" w:hAnsi="Arial"/>
          <w:sz w:val="17"/>
          <w:szCs w:val="17"/>
          <w:color w:val="auto"/>
        </w:rPr>
        <w:t>The Company is currently not subject to any material legal proceedings, nor, to its knowledge, is any material legal proceeding threatened against it.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ectPr>
          <w:pgSz w:w="11900" w:h="16838" w:orient="portrait"/>
          <w:cols w:equalWidth="0" w:num="1">
            <w:col w:w="10079"/>
          </w:cols>
          <w:pgMar w:left="380" w:top="792" w:right="1440" w:bottom="1440" w:gutter="0" w:footer="0" w:header="0"/>
        </w:sectPr>
      </w:pP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32245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Basic Share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asset value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213985"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loss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Realized gain/(loss)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5213985" cy="163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Change in unrealized appreciation/(depreciation)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5213985" cy="3346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3985" cy="3346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Net asset value at end of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 share market value at end of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return based on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213985" cy="163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 return based on net asset value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Shares outstanding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5213985"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Ratios/Supplemental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assets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213985"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Average net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Annualized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213985"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30"/>
          <w:szCs w:val="3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5213985" cy="3003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213985" cy="300355"/>
                    </a:xfrm>
                    <a:prstGeom prst="rect">
                      <a:avLst/>
                    </a:prstGeom>
                    <a:noFill/>
                  </pic:spPr>
                </pic:pic>
              </a:graphicData>
            </a:graphic>
          </wp:anchor>
        </w:drawing>
      </w:r>
    </w:p>
    <w:p>
      <w:pPr>
        <w:ind w:left="180" w:hanging="179"/>
        <w:spacing w:after="0" w:line="204" w:lineRule="auto"/>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(excluding effect of management fee waiver)</w:t>
      </w:r>
    </w:p>
    <w:p>
      <w:pPr>
        <w:spacing w:after="0" w:line="181" w:lineRule="auto"/>
        <w:rPr>
          <w:sz w:val="20"/>
          <w:szCs w:val="20"/>
          <w:color w:val="auto"/>
        </w:rPr>
      </w:pPr>
      <w:r>
        <w:rPr>
          <w:rFonts w:ascii="Arial" w:cs="Arial" w:eastAsia="Arial" w:hAnsi="Arial"/>
          <w:sz w:val="18"/>
          <w:szCs w:val="18"/>
          <w:color w:val="auto"/>
        </w:rPr>
        <w:t>Ratio of net investment loss to average net assets</w:t>
      </w:r>
      <w:r>
        <w:rPr>
          <w:rFonts w:ascii="Arial" w:cs="Arial" w:eastAsia="Arial" w:hAnsi="Arial"/>
          <w:sz w:val="30"/>
          <w:szCs w:val="3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5213985"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Portfolio Turnover Ratio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25"/>
              <w:spacing w:after="0"/>
              <w:rPr>
                <w:sz w:val="20"/>
                <w:szCs w:val="20"/>
                <w:color w:val="auto"/>
              </w:rPr>
            </w:pPr>
            <w:r>
              <w:rPr>
                <w:rFonts w:ascii="Arial" w:cs="Arial" w:eastAsia="Arial" w:hAnsi="Arial"/>
                <w:sz w:val="14"/>
                <w:szCs w:val="14"/>
                <w:b w:val="1"/>
                <w:bCs w:val="1"/>
                <w:color w:val="auto"/>
                <w:w w:val="92"/>
              </w:rPr>
              <w:t>June 30, 2017</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5"/>
              <w:spacing w:after="0"/>
              <w:rPr>
                <w:sz w:val="20"/>
                <w:szCs w:val="20"/>
                <w:color w:val="auto"/>
              </w:rPr>
            </w:pPr>
            <w:r>
              <w:rPr>
                <w:rFonts w:ascii="Arial" w:cs="Arial" w:eastAsia="Arial" w:hAnsi="Arial"/>
                <w:sz w:val="14"/>
                <w:szCs w:val="14"/>
                <w:b w:val="1"/>
                <w:bCs w:val="1"/>
                <w:color w:val="auto"/>
                <w:w w:val="90"/>
              </w:rPr>
              <w:t>June 30, 2016</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340" w:type="dxa"/>
            <w:vAlign w:val="bottom"/>
            <w:gridSpan w:val="3"/>
          </w:tcPr>
          <w:p>
            <w:pPr>
              <w:jc w:val="center"/>
              <w:ind w:right="5"/>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5"/>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447"/>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185"/>
              <w:spacing w:after="0"/>
              <w:rPr>
                <w:sz w:val="20"/>
                <w:szCs w:val="20"/>
                <w:color w:val="auto"/>
              </w:rPr>
            </w:pPr>
            <w:r>
              <w:rPr>
                <w:rFonts w:ascii="Arial" w:cs="Arial" w:eastAsia="Arial" w:hAnsi="Arial"/>
                <w:sz w:val="18"/>
                <w:szCs w:val="18"/>
                <w:color w:val="auto"/>
              </w:rPr>
              <w:t>8.83</w:t>
            </w:r>
            <w:r>
              <w:rPr>
                <w:rFonts w:ascii="Arial" w:cs="Arial" w:eastAsia="Arial" w:hAnsi="Arial"/>
                <w:sz w:val="30"/>
                <w:szCs w:val="30"/>
                <w:color w:val="auto"/>
                <w:vertAlign w:val="superscript"/>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5"/>
              <w:spacing w:after="0"/>
              <w:rPr>
                <w:sz w:val="20"/>
                <w:szCs w:val="20"/>
                <w:color w:val="auto"/>
              </w:rPr>
            </w:pPr>
            <w:r>
              <w:rPr>
                <w:rFonts w:ascii="Arial" w:cs="Arial" w:eastAsia="Arial" w:hAnsi="Arial"/>
                <w:sz w:val="18"/>
                <w:szCs w:val="18"/>
                <w:color w:val="auto"/>
              </w:rPr>
              <w:t>10.96</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340" w:type="dxa"/>
            <w:vAlign w:val="bottom"/>
            <w:gridSpan w:val="3"/>
          </w:tcPr>
          <w:p>
            <w:pPr>
              <w:jc w:val="right"/>
              <w:ind w:right="125"/>
              <w:spacing w:after="0" w:line="256" w:lineRule="exact"/>
              <w:rPr>
                <w:sz w:val="20"/>
                <w:szCs w:val="20"/>
                <w:color w:val="auto"/>
              </w:rPr>
            </w:pPr>
            <w:r>
              <w:rPr>
                <w:rFonts w:ascii="Arial" w:cs="Arial" w:eastAsia="Arial" w:hAnsi="Arial"/>
                <w:sz w:val="18"/>
                <w:szCs w:val="18"/>
                <w:color w:val="auto"/>
              </w:rPr>
              <w:t>(0.27)</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125"/>
              <w:spacing w:after="0" w:line="256" w:lineRule="exact"/>
              <w:rPr>
                <w:sz w:val="20"/>
                <w:szCs w:val="20"/>
                <w:color w:val="auto"/>
              </w:rPr>
            </w:pPr>
            <w:r>
              <w:rPr>
                <w:rFonts w:ascii="Arial" w:cs="Arial" w:eastAsia="Arial" w:hAnsi="Arial"/>
                <w:sz w:val="18"/>
                <w:szCs w:val="18"/>
                <w:color w:val="auto"/>
              </w:rPr>
              <w:t>(0.07)</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340" w:type="dxa"/>
            <w:vAlign w:val="bottom"/>
            <w:gridSpan w:val="3"/>
          </w:tcPr>
          <w:p>
            <w:pPr>
              <w:jc w:val="right"/>
              <w:ind w:right="125"/>
              <w:spacing w:after="0" w:line="256" w:lineRule="exact"/>
              <w:rPr>
                <w:sz w:val="20"/>
                <w:szCs w:val="20"/>
                <w:color w:val="auto"/>
              </w:rPr>
            </w:pPr>
            <w:r>
              <w:rPr>
                <w:rFonts w:ascii="Arial" w:cs="Arial" w:eastAsia="Arial" w:hAnsi="Arial"/>
                <w:sz w:val="18"/>
                <w:szCs w:val="18"/>
                <w:color w:val="auto"/>
              </w:rPr>
              <w:t>(0.03)</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185"/>
              <w:spacing w:after="0" w:line="256" w:lineRule="exact"/>
              <w:rPr>
                <w:sz w:val="20"/>
                <w:szCs w:val="20"/>
                <w:color w:val="auto"/>
              </w:rPr>
            </w:pPr>
            <w:r>
              <w:rPr>
                <w:rFonts w:ascii="Arial" w:cs="Arial" w:eastAsia="Arial" w:hAnsi="Arial"/>
                <w:sz w:val="18"/>
                <w:szCs w:val="18"/>
                <w:color w:val="auto"/>
              </w:rPr>
              <w:t>0.05</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340" w:type="dxa"/>
            <w:vAlign w:val="bottom"/>
            <w:gridSpan w:val="3"/>
          </w:tcPr>
          <w:p>
            <w:pPr>
              <w:jc w:val="right"/>
              <w:ind w:right="185"/>
              <w:spacing w:after="0" w:line="266" w:lineRule="exact"/>
              <w:rPr>
                <w:sz w:val="20"/>
                <w:szCs w:val="20"/>
                <w:color w:val="auto"/>
              </w:rPr>
            </w:pPr>
            <w:r>
              <w:rPr>
                <w:rFonts w:ascii="Arial" w:cs="Arial" w:eastAsia="Arial" w:hAnsi="Arial"/>
                <w:sz w:val="18"/>
                <w:szCs w:val="18"/>
                <w:color w:val="auto"/>
              </w:rPr>
              <w:t>0.57</w:t>
            </w:r>
            <w:r>
              <w:rPr>
                <w:rFonts w:ascii="Arial" w:cs="Arial" w:eastAsia="Arial" w:hAnsi="Arial"/>
                <w:sz w:val="30"/>
                <w:szCs w:val="30"/>
                <w:color w:val="auto"/>
                <w:vertAlign w:val="superscript"/>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125"/>
              <w:spacing w:after="0" w:line="266" w:lineRule="exact"/>
              <w:rPr>
                <w:sz w:val="20"/>
                <w:szCs w:val="20"/>
                <w:color w:val="auto"/>
              </w:rPr>
            </w:pPr>
            <w:r>
              <w:rPr>
                <w:rFonts w:ascii="Arial" w:cs="Arial" w:eastAsia="Arial" w:hAnsi="Arial"/>
                <w:sz w:val="18"/>
                <w:szCs w:val="18"/>
                <w:color w:val="auto"/>
              </w:rPr>
              <w:t>(0.72)</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50"/>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9.11</w:t>
            </w:r>
          </w:p>
        </w:tc>
        <w:tc>
          <w:tcPr>
            <w:tcW w:w="420" w:type="dxa"/>
            <w:vAlign w:val="bottom"/>
          </w:tcPr>
          <w:p>
            <w:pPr>
              <w:jc w:val="right"/>
              <w:ind w:right="185"/>
              <w:spacing w:after="0"/>
              <w:rPr>
                <w:sz w:val="20"/>
                <w:szCs w:val="20"/>
                <w:color w:val="auto"/>
              </w:rPr>
            </w:pPr>
            <w:r>
              <w:rPr>
                <w:rFonts w:ascii="Arial" w:cs="Arial" w:eastAsia="Arial" w:hAnsi="Arial"/>
                <w:sz w:val="15"/>
                <w:szCs w:val="15"/>
                <w:color w:val="auto"/>
                <w:w w:val="76"/>
              </w:rPr>
              <w:t>(1)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440" w:type="dxa"/>
            <w:vAlign w:val="bottom"/>
          </w:tcPr>
          <w:p>
            <w:pPr>
              <w:jc w:val="right"/>
              <w:ind w:right="185"/>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rPr>
                <w:sz w:val="1"/>
                <w:szCs w:val="1"/>
                <w:color w:val="auto"/>
              </w:rPr>
            </w:pPr>
          </w:p>
        </w:tc>
      </w:tr>
      <w:tr>
        <w:trPr>
          <w:trHeight w:val="21"/>
        </w:trPr>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10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9" w:lineRule="exact"/>
              <w:rPr>
                <w:sz w:val="20"/>
                <w:szCs w:val="20"/>
                <w:color w:val="auto"/>
              </w:rPr>
            </w:pPr>
            <w:r>
              <w:rPr>
                <w:rFonts w:ascii="Arial" w:cs="Arial" w:eastAsia="Arial" w:hAnsi="Arial"/>
                <w:sz w:val="18"/>
                <w:szCs w:val="18"/>
                <w:color w:val="auto"/>
              </w:rPr>
              <w:t>4.34</w:t>
            </w:r>
          </w:p>
        </w:tc>
        <w:tc>
          <w:tcPr>
            <w:tcW w:w="44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9" w:lineRule="exact"/>
              <w:rPr>
                <w:sz w:val="20"/>
                <w:szCs w:val="20"/>
                <w:color w:val="auto"/>
              </w:rPr>
            </w:pPr>
            <w:r>
              <w:rPr>
                <w:rFonts w:ascii="Arial" w:cs="Arial" w:eastAsia="Arial" w:hAnsi="Arial"/>
                <w:sz w:val="18"/>
                <w:szCs w:val="18"/>
                <w:color w:val="auto"/>
              </w:rPr>
              <w:t>5.02</w:t>
            </w:r>
          </w:p>
        </w:tc>
        <w:tc>
          <w:tcPr>
            <w:tcW w:w="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340" w:type="dxa"/>
            <w:vAlign w:val="bottom"/>
            <w:gridSpan w:val="3"/>
          </w:tcPr>
          <w:p>
            <w:pPr>
              <w:jc w:val="right"/>
              <w:spacing w:after="0" w:line="256" w:lineRule="exact"/>
              <w:rPr>
                <w:sz w:val="20"/>
                <w:szCs w:val="20"/>
                <w:color w:val="auto"/>
              </w:rPr>
            </w:pPr>
            <w:r>
              <w:rPr>
                <w:rFonts w:ascii="Arial" w:cs="Arial" w:eastAsia="Arial" w:hAnsi="Arial"/>
                <w:sz w:val="18"/>
                <w:szCs w:val="18"/>
                <w:color w:val="auto"/>
              </w:rPr>
              <w:t>(3.13)%</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(10.36)%</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3"/>
        </w:trPr>
        <w:tc>
          <w:tcPr>
            <w:tcW w:w="100" w:type="dxa"/>
            <w:vAlign w:val="bottom"/>
          </w:tcPr>
          <w:p>
            <w:pPr>
              <w:spacing w:after="0"/>
              <w:rPr>
                <w:sz w:val="21"/>
                <w:szCs w:val="21"/>
                <w:color w:val="auto"/>
              </w:rPr>
            </w:pPr>
          </w:p>
        </w:tc>
        <w:tc>
          <w:tcPr>
            <w:tcW w:w="1340" w:type="dxa"/>
            <w:vAlign w:val="bottom"/>
            <w:gridSpan w:val="3"/>
          </w:tcPr>
          <w:p>
            <w:pPr>
              <w:jc w:val="right"/>
              <w:ind w:right="25"/>
              <w:spacing w:after="0" w:line="253" w:lineRule="exact"/>
              <w:rPr>
                <w:sz w:val="20"/>
                <w:szCs w:val="20"/>
                <w:color w:val="auto"/>
              </w:rPr>
            </w:pPr>
            <w:r>
              <w:rPr>
                <w:rFonts w:ascii="Arial" w:cs="Arial" w:eastAsia="Arial" w:hAnsi="Arial"/>
                <w:sz w:val="18"/>
                <w:szCs w:val="18"/>
                <w:color w:val="auto"/>
              </w:rPr>
              <w:t>3.17%</w:t>
            </w:r>
            <w:r>
              <w:rPr>
                <w:rFonts w:ascii="Arial" w:cs="Arial" w:eastAsia="Arial" w:hAnsi="Arial"/>
                <w:sz w:val="29"/>
                <w:szCs w:val="29"/>
                <w:color w:val="auto"/>
                <w:vertAlign w:val="superscript"/>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spacing w:after="0" w:line="253" w:lineRule="exact"/>
              <w:rPr>
                <w:sz w:val="20"/>
                <w:szCs w:val="20"/>
                <w:color w:val="auto"/>
              </w:rPr>
            </w:pPr>
            <w:r>
              <w:rPr>
                <w:rFonts w:ascii="Arial" w:cs="Arial" w:eastAsia="Arial" w:hAnsi="Arial"/>
                <w:sz w:val="18"/>
                <w:szCs w:val="18"/>
                <w:color w:val="auto"/>
              </w:rPr>
              <w:t>(6.75)%</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340" w:type="dxa"/>
            <w:vAlign w:val="bottom"/>
            <w:gridSpan w:val="3"/>
          </w:tcPr>
          <w:p>
            <w:pPr>
              <w:jc w:val="right"/>
              <w:ind w:right="365"/>
              <w:spacing w:after="0"/>
              <w:rPr>
                <w:sz w:val="20"/>
                <w:szCs w:val="20"/>
                <w:color w:val="auto"/>
              </w:rPr>
            </w:pPr>
            <w:r>
              <w:rPr>
                <w:rFonts w:ascii="Arial" w:cs="Arial" w:eastAsia="Arial" w:hAnsi="Arial"/>
                <w:sz w:val="18"/>
                <w:szCs w:val="18"/>
                <w:color w:val="auto"/>
                <w:w w:val="97"/>
              </w:rPr>
              <w:t>22,181,003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345"/>
              <w:spacing w:after="0"/>
              <w:rPr>
                <w:sz w:val="20"/>
                <w:szCs w:val="20"/>
                <w:color w:val="auto"/>
              </w:rPr>
            </w:pPr>
            <w:r>
              <w:rPr>
                <w:rFonts w:ascii="Arial" w:cs="Arial" w:eastAsia="Arial" w:hAnsi="Arial"/>
                <w:sz w:val="18"/>
                <w:szCs w:val="18"/>
                <w:color w:val="auto"/>
                <w:w w:val="99"/>
              </w:rPr>
              <w:t>22,181,003</w:t>
            </w:r>
          </w:p>
        </w:tc>
        <w:tc>
          <w:tcPr>
            <w:tcW w:w="0" w:type="dxa"/>
            <w:vAlign w:val="bottom"/>
          </w:tcPr>
          <w:p>
            <w:pPr>
              <w:spacing w:after="0"/>
              <w:rPr>
                <w:sz w:val="1"/>
                <w:szCs w:val="1"/>
                <w:color w:val="auto"/>
              </w:rPr>
            </w:pPr>
          </w:p>
        </w:tc>
      </w:tr>
      <w:tr>
        <w:trPr>
          <w:trHeight w:val="418"/>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202,109,771</w:t>
            </w:r>
          </w:p>
        </w:tc>
        <w:tc>
          <w:tcPr>
            <w:tcW w:w="4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5"/>
              <w:spacing w:after="0"/>
              <w:rPr>
                <w:sz w:val="20"/>
                <w:szCs w:val="20"/>
                <w:color w:val="auto"/>
              </w:rPr>
            </w:pPr>
            <w:r>
              <w:rPr>
                <w:rFonts w:ascii="Arial" w:cs="Arial" w:eastAsia="Arial" w:hAnsi="Arial"/>
                <w:sz w:val="18"/>
                <w:szCs w:val="18"/>
                <w:color w:val="auto"/>
                <w:w w:val="89"/>
              </w:rPr>
              <w:t>226,780,315</w:t>
            </w:r>
          </w:p>
        </w:tc>
        <w:tc>
          <w:tcPr>
            <w:tcW w:w="0" w:type="dxa"/>
            <w:vAlign w:val="bottom"/>
          </w:tcPr>
          <w:p>
            <w:pPr>
              <w:spacing w:after="0"/>
              <w:rPr>
                <w:sz w:val="1"/>
                <w:szCs w:val="1"/>
                <w:color w:val="auto"/>
              </w:rPr>
            </w:pPr>
          </w:p>
        </w:tc>
      </w:tr>
      <w:tr>
        <w:trPr>
          <w:trHeight w:val="230"/>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196,335,041</w:t>
            </w:r>
          </w:p>
        </w:tc>
        <w:tc>
          <w:tcPr>
            <w:tcW w:w="4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5"/>
              <w:spacing w:after="0"/>
              <w:rPr>
                <w:sz w:val="20"/>
                <w:szCs w:val="20"/>
                <w:color w:val="auto"/>
              </w:rPr>
            </w:pPr>
            <w:r>
              <w:rPr>
                <w:rFonts w:ascii="Arial" w:cs="Arial" w:eastAsia="Arial" w:hAnsi="Arial"/>
                <w:sz w:val="18"/>
                <w:szCs w:val="18"/>
                <w:color w:val="auto"/>
                <w:w w:val="89"/>
              </w:rPr>
              <w:t>240,846,901</w:t>
            </w:r>
          </w:p>
        </w:tc>
        <w:tc>
          <w:tcPr>
            <w:tcW w:w="0" w:type="dxa"/>
            <w:vAlign w:val="bottom"/>
          </w:tcPr>
          <w:p>
            <w:pPr>
              <w:spacing w:after="0"/>
              <w:rPr>
                <w:sz w:val="1"/>
                <w:szCs w:val="1"/>
                <w:color w:val="auto"/>
              </w:rPr>
            </w:pPr>
          </w:p>
        </w:tc>
      </w:tr>
      <w:tr>
        <w:trPr>
          <w:trHeight w:val="473"/>
        </w:trPr>
        <w:tc>
          <w:tcPr>
            <w:tcW w:w="100" w:type="dxa"/>
            <w:vAlign w:val="bottom"/>
          </w:tcPr>
          <w:p>
            <w:pPr>
              <w:spacing w:after="0"/>
              <w:rPr>
                <w:sz w:val="24"/>
                <w:szCs w:val="24"/>
                <w:color w:val="auto"/>
              </w:rPr>
            </w:pPr>
          </w:p>
        </w:tc>
        <w:tc>
          <w:tcPr>
            <w:tcW w:w="1340" w:type="dxa"/>
            <w:vAlign w:val="bottom"/>
            <w:gridSpan w:val="3"/>
          </w:tcPr>
          <w:p>
            <w:pPr>
              <w:jc w:val="right"/>
              <w:ind w:right="205"/>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05"/>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473"/>
        </w:trPr>
        <w:tc>
          <w:tcPr>
            <w:tcW w:w="100" w:type="dxa"/>
            <w:vAlign w:val="bottom"/>
          </w:tcPr>
          <w:p>
            <w:pPr>
              <w:spacing w:after="0"/>
              <w:rPr>
                <w:sz w:val="24"/>
                <w:szCs w:val="24"/>
                <w:color w:val="auto"/>
              </w:rPr>
            </w:pPr>
          </w:p>
        </w:tc>
        <w:tc>
          <w:tcPr>
            <w:tcW w:w="1340" w:type="dxa"/>
            <w:vAlign w:val="bottom"/>
            <w:gridSpan w:val="3"/>
          </w:tcPr>
          <w:p>
            <w:pPr>
              <w:jc w:val="right"/>
              <w:ind w:right="205"/>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05"/>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1340" w:type="dxa"/>
            <w:vAlign w:val="bottom"/>
            <w:gridSpan w:val="3"/>
          </w:tcPr>
          <w:p>
            <w:pPr>
              <w:jc w:val="right"/>
              <w:ind w:right="145"/>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145"/>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340" w:type="dxa"/>
            <w:vAlign w:val="bottom"/>
            <w:gridSpan w:val="3"/>
          </w:tcPr>
          <w:p>
            <w:pPr>
              <w:jc w:val="right"/>
              <w:ind w:right="205"/>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05"/>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-3318510</wp:posOffset>
            </wp:positionV>
            <wp:extent cx="188658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240"/>
            <w:col w:w="4879"/>
          </w:cols>
          <w:pgMar w:left="380" w:top="792" w:right="1440" w:bottom="1440" w:gutter="0" w:footer="0" w:header="0"/>
          <w:type w:val="continuous"/>
        </w:sect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119380</wp:posOffset>
            </wp:positionV>
            <wp:extent cx="6114415" cy="59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42" w:name="page43"/>
    <w:bookmarkEnd w:id="4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FINANCIAL HIGHLIGHTS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9684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Six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 2017</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June 30, 2016</w:t>
            </w:r>
          </w:p>
        </w:tc>
        <w:tc>
          <w:tcPr>
            <w:tcW w:w="0" w:type="dxa"/>
            <w:vAlign w:val="bottom"/>
          </w:tcPr>
          <w:p>
            <w:pPr>
              <w:spacing w:after="0"/>
              <w:rPr>
                <w:sz w:val="1"/>
                <w:szCs w:val="1"/>
                <w:color w:val="auto"/>
              </w:rPr>
            </w:pPr>
          </w:p>
        </w:tc>
      </w:tr>
      <w:tr>
        <w:trPr>
          <w:trHeight w:val="225"/>
        </w:trPr>
        <w:tc>
          <w:tcPr>
            <w:tcW w:w="52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Per Basic Share Data:</w:t>
            </w:r>
          </w:p>
        </w:tc>
        <w:tc>
          <w:tcPr>
            <w:tcW w:w="10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01"/>
        </w:trPr>
        <w:tc>
          <w:tcPr>
            <w:tcW w:w="522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2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asset value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60"/>
              <w:spacing w:after="0" w:line="256" w:lineRule="exact"/>
              <w:rPr>
                <w:sz w:val="20"/>
                <w:szCs w:val="20"/>
                <w:color w:val="auto"/>
              </w:rPr>
            </w:pPr>
            <w:r>
              <w:rPr>
                <w:rFonts w:ascii="Arial" w:cs="Arial" w:eastAsia="Arial" w:hAnsi="Arial"/>
                <w:sz w:val="18"/>
                <w:szCs w:val="18"/>
                <w:color w:val="auto"/>
              </w:rPr>
              <w:t>8.66</w:t>
            </w:r>
            <w:r>
              <w:rPr>
                <w:rFonts w:ascii="Arial" w:cs="Arial" w:eastAsia="Arial" w:hAnsi="Arial"/>
                <w:sz w:val="29"/>
                <w:szCs w:val="29"/>
                <w:color w:val="auto"/>
                <w:vertAlign w:val="superscript"/>
              </w:rPr>
              <w: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line="256" w:lineRule="exact"/>
              <w:rPr>
                <w:sz w:val="20"/>
                <w:szCs w:val="20"/>
                <w:color w:val="auto"/>
              </w:rPr>
            </w:pPr>
            <w:r>
              <w:rPr>
                <w:rFonts w:ascii="Arial" w:cs="Arial" w:eastAsia="Arial" w:hAnsi="Arial"/>
                <w:sz w:val="18"/>
                <w:szCs w:val="18"/>
                <w:color w:val="auto"/>
              </w:rPr>
              <w:t>12.08</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5220" w:type="dxa"/>
            <w:vAlign w:val="bottom"/>
            <w:gridSpan w:val="4"/>
          </w:tcPr>
          <w:p>
            <w:pPr>
              <w:ind w:left="20"/>
              <w:spacing w:after="0"/>
              <w:rPr>
                <w:sz w:val="20"/>
                <w:szCs w:val="20"/>
                <w:color w:val="auto"/>
              </w:rPr>
            </w:pPr>
            <w:r>
              <w:rPr>
                <w:rFonts w:ascii="Arial" w:cs="Arial" w:eastAsia="Arial" w:hAnsi="Arial"/>
                <w:sz w:val="18"/>
                <w:szCs w:val="18"/>
                <w:color w:val="auto"/>
              </w:rPr>
              <w:t>Net investment loss</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(0.48)</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(0.04)</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52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Realized gain/(loss)</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line="256" w:lineRule="exact"/>
              <w:rPr>
                <w:sz w:val="20"/>
                <w:szCs w:val="20"/>
                <w:color w:val="auto"/>
              </w:rPr>
            </w:pPr>
            <w:r>
              <w:rPr>
                <w:rFonts w:ascii="Arial" w:cs="Arial" w:eastAsia="Arial" w:hAnsi="Arial"/>
                <w:sz w:val="18"/>
                <w:szCs w:val="18"/>
                <w:color w:val="auto"/>
              </w:rPr>
              <w:t>(1.14)</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line="256" w:lineRule="exact"/>
              <w:rPr>
                <w:sz w:val="20"/>
                <w:szCs w:val="20"/>
                <w:color w:val="auto"/>
              </w:rPr>
            </w:pPr>
            <w:r>
              <w:rPr>
                <w:rFonts w:ascii="Arial" w:cs="Arial" w:eastAsia="Arial" w:hAnsi="Arial"/>
                <w:sz w:val="18"/>
                <w:szCs w:val="18"/>
                <w:color w:val="auto"/>
              </w:rPr>
              <w:t>(0.22)</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5220" w:type="dxa"/>
            <w:vAlign w:val="bottom"/>
            <w:gridSpan w:val="4"/>
          </w:tcPr>
          <w:p>
            <w:pPr>
              <w:ind w:left="20"/>
              <w:spacing w:after="0"/>
              <w:rPr>
                <w:sz w:val="20"/>
                <w:szCs w:val="20"/>
                <w:color w:val="auto"/>
              </w:rPr>
            </w:pPr>
            <w:r>
              <w:rPr>
                <w:rFonts w:ascii="Arial" w:cs="Arial" w:eastAsia="Arial" w:hAnsi="Arial"/>
                <w:sz w:val="18"/>
                <w:szCs w:val="18"/>
                <w:color w:val="auto"/>
              </w:rPr>
              <w:t>Change in unrealized appreciation/(depreciation)</w:t>
            </w:r>
          </w:p>
        </w:tc>
        <w:tc>
          <w:tcPr>
            <w:tcW w:w="100" w:type="dxa"/>
            <w:vAlign w:val="bottom"/>
          </w:tcPr>
          <w:p>
            <w:pPr>
              <w:spacing w:after="0"/>
              <w:rPr>
                <w:sz w:val="22"/>
                <w:szCs w:val="22"/>
                <w:color w:val="auto"/>
              </w:rPr>
            </w:pPr>
          </w:p>
        </w:tc>
        <w:tc>
          <w:tcPr>
            <w:tcW w:w="1340" w:type="dxa"/>
            <w:vAlign w:val="bottom"/>
            <w:gridSpan w:val="2"/>
          </w:tcPr>
          <w:p>
            <w:pPr>
              <w:jc w:val="right"/>
              <w:ind w:right="260"/>
              <w:spacing w:after="0" w:line="256" w:lineRule="exact"/>
              <w:rPr>
                <w:sz w:val="20"/>
                <w:szCs w:val="20"/>
                <w:color w:val="auto"/>
              </w:rPr>
            </w:pPr>
            <w:r>
              <w:rPr>
                <w:rFonts w:ascii="Arial" w:cs="Arial" w:eastAsia="Arial" w:hAnsi="Arial"/>
                <w:sz w:val="18"/>
                <w:szCs w:val="18"/>
                <w:color w:val="auto"/>
              </w:rPr>
              <w:t>2.08</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(1.59)</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2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asset value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60"/>
              <w:spacing w:after="0" w:line="250" w:lineRule="exact"/>
              <w:rPr>
                <w:sz w:val="20"/>
                <w:szCs w:val="20"/>
                <w:color w:val="auto"/>
              </w:rPr>
            </w:pPr>
            <w:r>
              <w:rPr>
                <w:rFonts w:ascii="Arial" w:cs="Arial" w:eastAsia="Arial" w:hAnsi="Arial"/>
                <w:sz w:val="17"/>
                <w:szCs w:val="17"/>
                <w:color w:val="auto"/>
              </w:rPr>
              <w:t>9.11</w:t>
            </w:r>
            <w:r>
              <w:rPr>
                <w:rFonts w:ascii="Arial" w:cs="Arial" w:eastAsia="Arial" w:hAnsi="Arial"/>
                <w:sz w:val="28"/>
                <w:szCs w:val="28"/>
                <w:color w:val="auto"/>
                <w:vertAlign w:val="superscript"/>
              </w:rPr>
              <w: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line="250" w:lineRule="exact"/>
              <w:rPr>
                <w:sz w:val="20"/>
                <w:szCs w:val="20"/>
                <w:color w:val="auto"/>
              </w:rPr>
            </w:pPr>
            <w:r>
              <w:rPr>
                <w:rFonts w:ascii="Arial" w:cs="Arial" w:eastAsia="Arial" w:hAnsi="Arial"/>
                <w:sz w:val="17"/>
                <w:szCs w:val="17"/>
                <w:color w:val="auto"/>
              </w:rPr>
              <w:t>10.22</w:t>
            </w:r>
            <w:r>
              <w:rPr>
                <w:rFonts w:ascii="Arial" w:cs="Arial" w:eastAsia="Arial" w:hAnsi="Arial"/>
                <w:sz w:val="28"/>
                <w:szCs w:val="28"/>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4"/>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57"/>
        </w:trPr>
        <w:tc>
          <w:tcPr>
            <w:tcW w:w="52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return based on market value</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8"/>
                <w:szCs w:val="18"/>
                <w:color w:val="auto"/>
              </w:rPr>
              <w:t>(13.72)%</w:t>
            </w:r>
            <w:r>
              <w:rPr>
                <w:rFonts w:ascii="Arial" w:cs="Arial" w:eastAsia="Arial" w:hAnsi="Arial"/>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8"/>
                <w:szCs w:val="18"/>
                <w:color w:val="auto"/>
              </w:rPr>
              <w:t>(24.05)%</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5220" w:type="dxa"/>
            <w:vAlign w:val="bottom"/>
            <w:gridSpan w:val="4"/>
          </w:tcPr>
          <w:p>
            <w:pPr>
              <w:ind w:left="20"/>
              <w:spacing w:after="0"/>
              <w:rPr>
                <w:sz w:val="20"/>
                <w:szCs w:val="20"/>
                <w:color w:val="auto"/>
              </w:rPr>
            </w:pPr>
            <w:r>
              <w:rPr>
                <w:rFonts w:ascii="Arial" w:cs="Arial" w:eastAsia="Arial" w:hAnsi="Arial"/>
                <w:sz w:val="18"/>
                <w:szCs w:val="18"/>
                <w:color w:val="auto"/>
              </w:rPr>
              <w:t>Total return based on net asset value</w:t>
            </w:r>
          </w:p>
        </w:tc>
        <w:tc>
          <w:tcPr>
            <w:tcW w:w="100" w:type="dxa"/>
            <w:vAlign w:val="bottom"/>
          </w:tcPr>
          <w:p>
            <w:pPr>
              <w:spacing w:after="0"/>
              <w:rPr>
                <w:sz w:val="22"/>
                <w:szCs w:val="22"/>
                <w:color w:val="auto"/>
              </w:rPr>
            </w:pPr>
          </w:p>
        </w:tc>
        <w:tc>
          <w:tcPr>
            <w:tcW w:w="1340" w:type="dxa"/>
            <w:vAlign w:val="bottom"/>
            <w:gridSpan w:val="2"/>
          </w:tcPr>
          <w:p>
            <w:pPr>
              <w:jc w:val="right"/>
              <w:ind w:right="100"/>
              <w:spacing w:after="0" w:line="256" w:lineRule="exact"/>
              <w:rPr>
                <w:sz w:val="20"/>
                <w:szCs w:val="20"/>
                <w:color w:val="auto"/>
              </w:rPr>
            </w:pPr>
            <w:r>
              <w:rPr>
                <w:rFonts w:ascii="Arial" w:cs="Arial" w:eastAsia="Arial" w:hAnsi="Arial"/>
                <w:sz w:val="18"/>
                <w:szCs w:val="18"/>
                <w:color w:val="auto"/>
              </w:rPr>
              <w:t>5.20%</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40"/>
              <w:spacing w:after="0" w:line="256" w:lineRule="exact"/>
              <w:rPr>
                <w:sz w:val="20"/>
                <w:szCs w:val="20"/>
                <w:color w:val="auto"/>
              </w:rPr>
            </w:pPr>
            <w:r>
              <w:rPr>
                <w:rFonts w:ascii="Arial" w:cs="Arial" w:eastAsia="Arial" w:hAnsi="Arial"/>
                <w:sz w:val="18"/>
                <w:szCs w:val="18"/>
                <w:color w:val="auto"/>
              </w:rPr>
              <w:t>(15.31)%</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16"/>
        </w:trPr>
        <w:tc>
          <w:tcPr>
            <w:tcW w:w="52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22,181,003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22,181,003</w:t>
            </w:r>
          </w:p>
        </w:tc>
        <w:tc>
          <w:tcPr>
            <w:tcW w:w="0" w:type="dxa"/>
            <w:vAlign w:val="bottom"/>
          </w:tcPr>
          <w:p>
            <w:pPr>
              <w:spacing w:after="0"/>
              <w:rPr>
                <w:sz w:val="1"/>
                <w:szCs w:val="1"/>
                <w:color w:val="auto"/>
              </w:rPr>
            </w:pPr>
          </w:p>
        </w:tc>
      </w:tr>
      <w:tr>
        <w:trPr>
          <w:trHeight w:val="216"/>
        </w:trPr>
        <w:tc>
          <w:tcPr>
            <w:tcW w:w="5220" w:type="dxa"/>
            <w:vAlign w:val="bottom"/>
            <w:gridSpan w:val="4"/>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assets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202,109,771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226,780,315</w:t>
            </w:r>
          </w:p>
        </w:tc>
        <w:tc>
          <w:tcPr>
            <w:tcW w:w="0" w:type="dxa"/>
            <w:vAlign w:val="bottom"/>
          </w:tcPr>
          <w:p>
            <w:pPr>
              <w:spacing w:after="0"/>
              <w:rPr>
                <w:sz w:val="1"/>
                <w:szCs w:val="1"/>
                <w:color w:val="auto"/>
              </w:rPr>
            </w:pPr>
          </w:p>
        </w:tc>
      </w:tr>
      <w:tr>
        <w:trPr>
          <w:trHeight w:val="216"/>
        </w:trPr>
        <w:tc>
          <w:tcPr>
            <w:tcW w:w="5220" w:type="dxa"/>
            <w:vAlign w:val="bottom"/>
            <w:gridSpan w:val="4"/>
          </w:tcPr>
          <w:p>
            <w:pPr>
              <w:ind w:left="20"/>
              <w:spacing w:after="0"/>
              <w:rPr>
                <w:sz w:val="20"/>
                <w:szCs w:val="20"/>
                <w:color w:val="auto"/>
              </w:rPr>
            </w:pPr>
            <w:r>
              <w:rPr>
                <w:rFonts w:ascii="Arial" w:cs="Arial" w:eastAsia="Arial" w:hAnsi="Arial"/>
                <w:sz w:val="18"/>
                <w:szCs w:val="18"/>
                <w:color w:val="auto"/>
              </w:rPr>
              <w:t>Average net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193,899,415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262,765,462</w:t>
            </w:r>
          </w:p>
        </w:tc>
        <w:tc>
          <w:tcPr>
            <w:tcW w:w="0" w:type="dxa"/>
            <w:vAlign w:val="bottom"/>
          </w:tcPr>
          <w:p>
            <w:pPr>
              <w:spacing w:after="0"/>
              <w:rPr>
                <w:sz w:val="1"/>
                <w:szCs w:val="1"/>
                <w:color w:val="auto"/>
              </w:rPr>
            </w:pPr>
          </w:p>
        </w:tc>
      </w:tr>
      <w:tr>
        <w:trPr>
          <w:trHeight w:val="176"/>
        </w:trPr>
        <w:tc>
          <w:tcPr>
            <w:tcW w:w="522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Annualized ratios</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20" w:type="dxa"/>
            <w:vAlign w:val="bottom"/>
            <w:gridSpan w:val="4"/>
          </w:tcPr>
          <w:p>
            <w:pPr>
              <w:ind w:left="20"/>
              <w:spacing w:after="0" w:line="256" w:lineRule="exact"/>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29"/>
                <w:szCs w:val="29"/>
                <w:color w:val="auto"/>
                <w:vertAlign w:val="superscript"/>
              </w:rPr>
              <w:t>(3)</w:t>
            </w:r>
          </w:p>
        </w:tc>
        <w:tc>
          <w:tcPr>
            <w:tcW w:w="10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42"/>
        </w:trPr>
        <w:tc>
          <w:tcPr>
            <w:tcW w:w="5220" w:type="dxa"/>
            <w:vAlign w:val="bottom"/>
            <w:gridSpan w:val="4"/>
            <w:shd w:val="clear" w:color="auto" w:fill="CCEEFF"/>
          </w:tcPr>
          <w:p>
            <w:pPr>
              <w:ind w:left="20"/>
              <w:spacing w:after="0" w:line="242" w:lineRule="exact"/>
              <w:rPr>
                <w:sz w:val="20"/>
                <w:szCs w:val="20"/>
                <w:color w:val="auto"/>
              </w:rPr>
            </w:pPr>
            <w:r>
              <w:rPr>
                <w:rFonts w:ascii="Arial" w:cs="Arial" w:eastAsia="Arial" w:hAnsi="Arial"/>
                <w:sz w:val="17"/>
                <w:szCs w:val="17"/>
                <w:color w:val="auto"/>
                <w:w w:val="97"/>
              </w:rPr>
              <w:t>Ratio of operating expenses to average net assets</w:t>
            </w:r>
            <w:r>
              <w:rPr>
                <w:rFonts w:ascii="Arial" w:cs="Arial" w:eastAsia="Arial" w:hAnsi="Arial"/>
                <w:sz w:val="28"/>
                <w:szCs w:val="28"/>
                <w:color w:val="auto"/>
                <w:w w:val="97"/>
                <w:vertAlign w:val="superscript"/>
              </w:rPr>
              <w:t>(3)</w:t>
            </w:r>
            <w:r>
              <w:rPr>
                <w:rFonts w:ascii="Arial" w:cs="Arial" w:eastAsia="Arial" w:hAnsi="Arial"/>
                <w:sz w:val="17"/>
                <w:szCs w:val="17"/>
                <w:color w:val="auto"/>
                <w:w w:val="97"/>
              </w:rPr>
              <w:t xml:space="preserve"> (excluding effect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of management fee waiver)</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57"/>
        </w:trPr>
        <w:tc>
          <w:tcPr>
            <w:tcW w:w="5220" w:type="dxa"/>
            <w:vAlign w:val="bottom"/>
            <w:gridSpan w:val="4"/>
          </w:tcPr>
          <w:p>
            <w:pPr>
              <w:ind w:left="20"/>
              <w:spacing w:after="0" w:line="256" w:lineRule="exact"/>
              <w:rPr>
                <w:sz w:val="20"/>
                <w:szCs w:val="20"/>
                <w:color w:val="auto"/>
              </w:rPr>
            </w:pPr>
            <w:r>
              <w:rPr>
                <w:rFonts w:ascii="Arial" w:cs="Arial" w:eastAsia="Arial" w:hAnsi="Arial"/>
                <w:sz w:val="18"/>
                <w:szCs w:val="18"/>
                <w:color w:val="auto"/>
              </w:rPr>
              <w:t>Ratio of net investment loss to average net assets</w:t>
            </w:r>
            <w:r>
              <w:rPr>
                <w:rFonts w:ascii="Arial" w:cs="Arial" w:eastAsia="Arial" w:hAnsi="Arial"/>
                <w:sz w:val="29"/>
                <w:szCs w:val="29"/>
                <w:color w:val="auto"/>
                <w:vertAlign w:val="superscript"/>
              </w:rPr>
              <w:t>(3)</w:t>
            </w:r>
          </w:p>
        </w:tc>
        <w:tc>
          <w:tcPr>
            <w:tcW w:w="10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6"/>
        </w:trPr>
        <w:tc>
          <w:tcPr>
            <w:tcW w:w="52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Portfolio Turnover Ratio</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-2134870</wp:posOffset>
            </wp:positionV>
            <wp:extent cx="5213985"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36" w:lineRule="exact"/>
        <w:rPr>
          <w:sz w:val="20"/>
          <w:szCs w:val="20"/>
          <w:color w:val="auto"/>
        </w:rPr>
      </w:pPr>
    </w:p>
    <w:p>
      <w:pPr>
        <w:ind w:left="300" w:right="699" w:hanging="272"/>
        <w:spacing w:after="0" w:line="277" w:lineRule="auto"/>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per-share figures noted are based on a weighted average of 22,181,003 basic common shares outstanding for the three and six months ended June 30, 2017 and 2016.</w:t>
      </w:r>
    </w:p>
    <w:p>
      <w:pPr>
        <w:spacing w:after="0" w:line="62" w:lineRule="exact"/>
        <w:rPr>
          <w:rFonts w:ascii="Arial" w:cs="Arial" w:eastAsia="Arial" w:hAnsi="Arial"/>
          <w:sz w:val="18"/>
          <w:szCs w:val="18"/>
          <w:color w:val="auto"/>
        </w:rPr>
      </w:pPr>
    </w:p>
    <w:p>
      <w:pPr>
        <w:ind w:left="300" w:right="879" w:hanging="272"/>
        <w:spacing w:after="0" w:line="264" w:lineRule="auto"/>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w:t>
      </w:r>
    </w:p>
    <w:p>
      <w:pPr>
        <w:spacing w:after="0" w:line="73" w:lineRule="exact"/>
        <w:rPr>
          <w:rFonts w:ascii="Arial" w:cs="Arial" w:eastAsia="Arial" w:hAnsi="Arial"/>
          <w:sz w:val="18"/>
          <w:szCs w:val="18"/>
          <w:color w:val="auto"/>
        </w:rPr>
      </w:pPr>
    </w:p>
    <w:p>
      <w:pPr>
        <w:ind w:left="300" w:right="719" w:hanging="272"/>
        <w:spacing w:after="0" w:line="257" w:lineRule="auto"/>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Highlights for periods of less than one year are annualized and the ratios of operating expenses to average net assets and net investment loss to average net assets are adjusted accordingly. Non-recurring expenses are not annualized. For each of the three and six months ended June 30, 2017 and 2016, the Company did not incur any non-recurring expenses. Because the ratios are calculated for the Company’s common stock taken as a whole, an individual investor’s ratios may vary from these ratios.</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INCOME TAXES</w:t>
      </w:r>
    </w:p>
    <w:p>
      <w:pPr>
        <w:spacing w:after="0" w:line="121" w:lineRule="exact"/>
        <w:rPr>
          <w:sz w:val="20"/>
          <w:szCs w:val="20"/>
          <w:color w:val="auto"/>
        </w:rPr>
      </w:pPr>
    </w:p>
    <w:p>
      <w:pPr>
        <w:ind w:left="60" w:right="619" w:firstLine="270"/>
        <w:spacing w:after="0" w:line="291" w:lineRule="auto"/>
        <w:rPr>
          <w:sz w:val="20"/>
          <w:szCs w:val="20"/>
          <w:color w:val="auto"/>
        </w:rPr>
      </w:pPr>
      <w:r>
        <w:rPr>
          <w:rFonts w:ascii="Arial" w:cs="Arial" w:eastAsia="Arial" w:hAnsi="Arial"/>
          <w:sz w:val="16"/>
          <w:szCs w:val="16"/>
          <w:color w:val="auto"/>
        </w:rPr>
        <w:t>The Company elected to be treated as a RIC under Subchapter M of the Code beginning with its taxable year ended December 31, 2014, has qualified to be treated as a RIC for subsequent taxable years and expects to continue to operate in a manner so as to qualify for the tax treatment applicable to RICs. Accordingly, the Company must generally distribute at least 90% of its ICTI to qualify for the treatment accorded to a RIC and to maintain its RIC status. As part of maintaining RIC status,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U.S. federal income tax return for that fiscal year.</w:t>
      </w:r>
    </w:p>
    <w:p>
      <w:pPr>
        <w:spacing w:after="0" w:line="200" w:lineRule="exact"/>
        <w:rPr>
          <w:sz w:val="20"/>
          <w:szCs w:val="20"/>
          <w:color w:val="auto"/>
        </w:rPr>
      </w:pPr>
    </w:p>
    <w:p>
      <w:pPr>
        <w:spacing w:after="0" w:line="31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TAXES – (continued)</w:t>
      </w:r>
    </w:p>
    <w:p>
      <w:pPr>
        <w:spacing w:after="0" w:line="121"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As a result of the Company electing to be treated as a RIC for the taxable year ended December 31, 2014 in connection with the filing of its 2014 tax return, it may be required to pay a corporate-level U.S. federal income tax on the amount of the net built-in gains, if any, in its assets (the amount by which the net fair market value of the Company’s assets exceeds the net adjusted basis in its assets) as of the date of conversion to a RIC (</w:t>
      </w:r>
      <w:r>
        <w:rPr>
          <w:rFonts w:ascii="Arial" w:cs="Arial" w:eastAsia="Arial" w:hAnsi="Arial"/>
          <w:sz w:val="17"/>
          <w:szCs w:val="17"/>
          <w:i w:val="1"/>
          <w:iCs w:val="1"/>
          <w:color w:val="auto"/>
        </w:rPr>
        <w:t>i.e.</w:t>
      </w:r>
      <w:r>
        <w:rPr>
          <w:rFonts w:ascii="Arial" w:cs="Arial" w:eastAsia="Arial" w:hAnsi="Arial"/>
          <w:sz w:val="17"/>
          <w:szCs w:val="17"/>
          <w:color w:val="auto"/>
        </w:rPr>
        <w:t>, the beginning of the first taxable year that the Company qualifies as a RIC, which would be January 1, 2014) to the extent that such gains are recognized by the Company during the applicable recognition period, which is the five-year period beginning on the date of conversion.</w:t>
      </w:r>
    </w:p>
    <w:p>
      <w:pPr>
        <w:spacing w:after="0" w:line="70" w:lineRule="exact"/>
        <w:rPr>
          <w:sz w:val="20"/>
          <w:szCs w:val="20"/>
          <w:color w:val="auto"/>
        </w:rPr>
      </w:pPr>
    </w:p>
    <w:p>
      <w:pPr>
        <w:ind w:left="40" w:right="619" w:firstLine="270"/>
        <w:spacing w:after="0" w:line="291" w:lineRule="auto"/>
        <w:rPr>
          <w:sz w:val="20"/>
          <w:szCs w:val="20"/>
          <w:color w:val="auto"/>
        </w:rPr>
      </w:pPr>
      <w:r>
        <w:rPr>
          <w:rFonts w:ascii="Arial" w:cs="Arial" w:eastAsia="Arial" w:hAnsi="Arial"/>
          <w:sz w:val="16"/>
          <w:szCs w:val="16"/>
          <w:color w:val="auto"/>
        </w:rPr>
        <w:t>Any corporate-level built-in-gains tax is payable at the time the built-in gains are recognized (which generally will be the years in which the assets with the built-in-gains are sold in a taxable transaction). The amount of this tax will vary depending on the assets that are actually sold by the Company in this five-year period, the actual amount of net built-in gain or loss present in those assets as of the date of conversion, and the effective tax rates at such times. The payment of any such corporate-level U.S. federal income tax on built-in gains will be a Company expense that will reduce the amount available for distribution to stockholders. The built-in-gains tax is calculated by determining the RIC’s net unrealized built-in gains, if any, by which the fair market value of the assets of the RIC at the beginning of its first RIC year exceeds the aggregate adjusted basis of such assets at that time.</w:t>
      </w:r>
    </w:p>
    <w:p>
      <w:pPr>
        <w:spacing w:after="0" w:line="59" w:lineRule="exact"/>
        <w:rPr>
          <w:sz w:val="20"/>
          <w:szCs w:val="20"/>
          <w:color w:val="auto"/>
        </w:rPr>
      </w:pPr>
    </w:p>
    <w:p>
      <w:pPr>
        <w:ind w:left="40" w:right="599" w:firstLine="270"/>
        <w:spacing w:after="0" w:line="270" w:lineRule="auto"/>
        <w:rPr>
          <w:sz w:val="20"/>
          <w:szCs w:val="20"/>
          <w:color w:val="auto"/>
        </w:rPr>
      </w:pPr>
      <w:r>
        <w:rPr>
          <w:rFonts w:ascii="Arial" w:cs="Arial" w:eastAsia="Arial" w:hAnsi="Arial"/>
          <w:sz w:val="17"/>
          <w:szCs w:val="17"/>
          <w:color w:val="auto"/>
        </w:rPr>
        <w:t>As of January 1, 2014, the Company had net unrealized built-in gains. It did not incur a built-in-gains tax for the 2014 tax year due to the fact that there were sufficient net capital loss carryforwards to completely offset recognized built-in gains as well as available net operating losses. The GSVC Holdings are C corporations for U.S. federal and state income tax purposes. The Company uses the asset and liability method to account for the GSVC Holdings’ income taxes. Using this method, the Company recognizes deferred tax assets and liabilities for the estimated future tax effects attributable to temporary differences between the financial reporting and tax bases of assets and liabilities. In addition, the Company recognizes deferred tax benefits associated with net operating loss carryforwards that it may use to offset future tax obligations. The Company measures deferred tax assets and liabilities using the enacted tax rates expected to apply to taxable income in the years in which it expects to recover or settle those temporary differences.</w:t>
      </w:r>
    </w:p>
    <w:p>
      <w:pPr>
        <w:spacing w:after="0" w:line="74" w:lineRule="exact"/>
        <w:rPr>
          <w:sz w:val="20"/>
          <w:szCs w:val="20"/>
          <w:color w:val="auto"/>
        </w:rPr>
      </w:pPr>
    </w:p>
    <w:p>
      <w:pPr>
        <w:ind w:left="40" w:right="779" w:firstLine="270"/>
        <w:spacing w:after="0" w:line="259" w:lineRule="auto"/>
        <w:rPr>
          <w:sz w:val="20"/>
          <w:szCs w:val="20"/>
          <w:color w:val="auto"/>
        </w:rPr>
      </w:pPr>
      <w:r>
        <w:rPr>
          <w:rFonts w:ascii="Arial" w:cs="Arial" w:eastAsia="Arial" w:hAnsi="Arial"/>
          <w:sz w:val="18"/>
          <w:szCs w:val="18"/>
          <w:color w:val="auto"/>
        </w:rPr>
        <w:t>As of both June 30, 2017 and December 31, 3016, the Company recorded a deferred tax liability of approximately $10.4 million, of which approximately $10.2 million has been recorded in the event that such gains are recognized by December 31, 2018, and approximately $0.2 million relates to the difference in the book and tax basis of certain equity investments and tax net operating losses held by the GSVC Holdings.</w:t>
      </w:r>
    </w:p>
    <w:p>
      <w:pPr>
        <w:spacing w:after="0" w:line="79"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For U.S. federal and state income tax purposes, a portion of the GSVC Holdings’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63"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The Company and the GSVC Holdings identified their major tax jurisdictions as U.S. federal and California and may be subject to the taxing authorities’ examination for the tax years 2013 – 2016 and 2012 – 2016, respectively.</w:t>
      </w:r>
    </w:p>
    <w:p>
      <w:pPr>
        <w:spacing w:after="0" w:line="62"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The Company and the GSVC Holdings accrue all interest and penalties related to uncertain tax positions as incurred. As of June 30, 2017, there were no interest or penalties incurred related to uncertain tax positions.</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 w:name="page45"/>
    <w:bookmarkEnd w:id="4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LONG-TERM LIABILITIES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Convertible Senior Notes Payable</w:t>
      </w:r>
    </w:p>
    <w:p>
      <w:pPr>
        <w:spacing w:after="0" w:line="121" w:lineRule="exact"/>
        <w:rPr>
          <w:sz w:val="20"/>
          <w:szCs w:val="20"/>
          <w:color w:val="auto"/>
        </w:rPr>
      </w:pPr>
    </w:p>
    <w:p>
      <w:pPr>
        <w:ind w:left="60" w:right="659" w:firstLine="270"/>
        <w:spacing w:after="0" w:line="291" w:lineRule="auto"/>
        <w:rPr>
          <w:sz w:val="20"/>
          <w:szCs w:val="20"/>
          <w:color w:val="auto"/>
        </w:rPr>
      </w:pPr>
      <w:r>
        <w:rPr>
          <w:rFonts w:ascii="Arial" w:cs="Arial" w:eastAsia="Arial" w:hAnsi="Arial"/>
          <w:sz w:val="16"/>
          <w:szCs w:val="16"/>
          <w:color w:val="auto"/>
        </w:rPr>
        <w:t>On September 17, 2013, the Company issued $69 million aggregate principal amount of Convertible Senior Notes, which bear interest at a fixed rate of 5.25% per year, payable semi-annually in arrears on March 15 and September 15 of each year, commencing on March 15, 2014 (the “Convertible Senior Notes”). The Convertible Senior Notes mature on September 15, 2018, unless previously repurchased or converted in accordance with their terms. The Company does not have the right to redeem the Convertible Senior Notes prior to maturity. The Convertible Senior Notes are convertible into shares of the Company’s common stock based on a conversion rate of 83.3596 shares of the Company’s common stock per $1,000 of principal amount of the Convertible Senior Notes, which is equivalent to a conversion price of approximately $12.00 per share of common stock.</w:t>
      </w:r>
    </w:p>
    <w:p>
      <w:pPr>
        <w:spacing w:after="0" w:line="59" w:lineRule="exact"/>
        <w:rPr>
          <w:sz w:val="20"/>
          <w:szCs w:val="20"/>
          <w:color w:val="auto"/>
        </w:rPr>
      </w:pPr>
    </w:p>
    <w:p>
      <w:pPr>
        <w:ind w:left="60" w:right="639" w:firstLine="270"/>
        <w:spacing w:after="0" w:line="277" w:lineRule="auto"/>
        <w:rPr>
          <w:sz w:val="20"/>
          <w:szCs w:val="20"/>
          <w:color w:val="auto"/>
        </w:rPr>
      </w:pPr>
      <w:r>
        <w:rPr>
          <w:rFonts w:ascii="Arial" w:cs="Arial" w:eastAsia="Arial" w:hAnsi="Arial"/>
          <w:sz w:val="18"/>
          <w:szCs w:val="18"/>
          <w:color w:val="auto"/>
        </w:rPr>
        <w:t>The table below shows a reconciliation from the aggregate principal amount of Convertible Senior Notes to the balance shown on the Condensed 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9684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960" w:type="dxa"/>
            <w:vAlign w:val="bottom"/>
          </w:tcPr>
          <w:p>
            <w:pPr>
              <w:spacing w:after="0"/>
              <w:rPr>
                <w:sz w:val="14"/>
                <w:szCs w:val="14"/>
                <w:color w:val="auto"/>
              </w:rPr>
            </w:pPr>
          </w:p>
        </w:tc>
        <w:tc>
          <w:tcPr>
            <w:tcW w:w="920" w:type="dxa"/>
            <w:vAlign w:val="bottom"/>
          </w:tcPr>
          <w:p>
            <w:pPr>
              <w:jc w:val="center"/>
              <w:ind w:left="3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110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r>
      <w:tr>
        <w:trPr>
          <w:trHeight w:val="195"/>
        </w:trPr>
        <w:tc>
          <w:tcPr>
            <w:tcW w:w="5960" w:type="dxa"/>
            <w:vAlign w:val="bottom"/>
          </w:tcPr>
          <w:p>
            <w:pPr>
              <w:spacing w:after="0"/>
              <w:rPr>
                <w:sz w:val="16"/>
                <w:szCs w:val="16"/>
                <w:color w:val="auto"/>
              </w:rPr>
            </w:pPr>
          </w:p>
        </w:tc>
        <w:tc>
          <w:tcPr>
            <w:tcW w:w="10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Aggregate principal amount of Convertible Senior Notes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$69,000,000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$ 69,000,000</w:t>
            </w: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embedded derivative discount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(187,767)</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(261,099)</w:t>
            </w:r>
          </w:p>
        </w:tc>
      </w:tr>
      <w:tr>
        <w:trPr>
          <w:trHeight w:val="216"/>
        </w:trPr>
        <w:tc>
          <w:tcPr>
            <w:tcW w:w="5960" w:type="dxa"/>
            <w:vAlign w:val="bottom"/>
          </w:tcPr>
          <w:p>
            <w:pPr>
              <w:ind w:left="20"/>
              <w:spacing w:after="0"/>
              <w:rPr>
                <w:sz w:val="20"/>
                <w:szCs w:val="20"/>
                <w:color w:val="auto"/>
              </w:rPr>
            </w:pPr>
            <w:r>
              <w:rPr>
                <w:rFonts w:ascii="Arial" w:cs="Arial" w:eastAsia="Arial" w:hAnsi="Arial"/>
                <w:sz w:val="18"/>
                <w:szCs w:val="18"/>
                <w:color w:val="auto"/>
              </w:rPr>
              <w:t>Direct deduction of deferred debt issuance costs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(868,802)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(1,226,103)</w:t>
            </w:r>
          </w:p>
        </w:tc>
      </w:tr>
      <w:tr>
        <w:trPr>
          <w:trHeight w:val="20"/>
        </w:trPr>
        <w:tc>
          <w:tcPr>
            <w:tcW w:w="59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Convertible Senior Notes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67,943,431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$ 67,512,798</w:t>
            </w:r>
          </w:p>
        </w:tc>
      </w:tr>
      <w:tr>
        <w:trPr>
          <w:trHeight w:val="20"/>
        </w:trPr>
        <w:tc>
          <w:tcPr>
            <w:tcW w:w="59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4" w:lineRule="exact"/>
        <w:rPr>
          <w:sz w:val="20"/>
          <w:szCs w:val="20"/>
          <w:color w:val="auto"/>
        </w:rPr>
      </w:pPr>
    </w:p>
    <w:p>
      <w:pPr>
        <w:ind w:left="60" w:right="759" w:firstLine="270"/>
        <w:spacing w:after="0" w:line="277" w:lineRule="auto"/>
        <w:rPr>
          <w:sz w:val="20"/>
          <w:szCs w:val="20"/>
          <w:color w:val="auto"/>
        </w:rPr>
      </w:pPr>
      <w:r>
        <w:rPr>
          <w:rFonts w:ascii="Arial" w:cs="Arial" w:eastAsia="Arial" w:hAnsi="Arial"/>
          <w:sz w:val="18"/>
          <w:szCs w:val="18"/>
          <w:color w:val="auto"/>
        </w:rPr>
        <w:t>As of June 30, 2017 and December 31, 2016, the principal amount of the Convertible Senior Notes exceeded the value of the underlying shares multiplied by the per share closing price of the Company’s common stock.</w:t>
      </w:r>
    </w:p>
    <w:p>
      <w:pPr>
        <w:spacing w:after="0" w:line="62" w:lineRule="exact"/>
        <w:rPr>
          <w:sz w:val="20"/>
          <w:szCs w:val="20"/>
          <w:color w:val="auto"/>
        </w:rPr>
      </w:pPr>
    </w:p>
    <w:p>
      <w:pPr>
        <w:ind w:left="60" w:right="599" w:firstLine="270"/>
        <w:spacing w:after="0" w:line="257" w:lineRule="auto"/>
        <w:rPr>
          <w:sz w:val="20"/>
          <w:szCs w:val="20"/>
          <w:color w:val="auto"/>
        </w:rPr>
      </w:pPr>
      <w:r>
        <w:rPr>
          <w:rFonts w:ascii="Arial" w:cs="Arial" w:eastAsia="Arial" w:hAnsi="Arial"/>
          <w:sz w:val="18"/>
          <w:szCs w:val="18"/>
          <w:color w:val="auto"/>
        </w:rPr>
        <w:t>The Convertible Senior Notes are the Company’s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to any future secured indebtedness to the extent of the value of the assets securing such indebtedness, and structurally junior to all future indebtedness (including trade payables) incurred by the Company’s subsidiaries.</w:t>
      </w:r>
    </w:p>
    <w:p>
      <w:pPr>
        <w:spacing w:after="0" w:line="80" w:lineRule="exact"/>
        <w:rPr>
          <w:sz w:val="20"/>
          <w:szCs w:val="20"/>
          <w:color w:val="auto"/>
        </w:rPr>
      </w:pPr>
    </w:p>
    <w:p>
      <w:pPr>
        <w:ind w:left="60" w:right="539" w:firstLine="270"/>
        <w:spacing w:after="0" w:line="270" w:lineRule="auto"/>
        <w:rPr>
          <w:sz w:val="20"/>
          <w:szCs w:val="20"/>
          <w:color w:val="auto"/>
        </w:rPr>
      </w:pPr>
      <w:r>
        <w:rPr>
          <w:rFonts w:ascii="Arial" w:cs="Arial" w:eastAsia="Arial" w:hAnsi="Arial"/>
          <w:sz w:val="17"/>
          <w:szCs w:val="17"/>
          <w:color w:val="auto"/>
        </w:rPr>
        <w:t>The Convertible Senior Notes contained an interest make-whole payment provision pursuant to which holders who converted their notes prior to September 15, 2016, would receive, in addition to a number of shares of the Company’s common stock calculated at the applicable conversion rate for the principal amount of notes being converted, the cash proceeds from the sale by the escrow agent of the portion of the U.S. Treasury Strips in the escrow account that were remaining with respect to any of the first six interest payments that had not been made on the notes being converted. Under FASB ASC 815-10-15-74(a), the interest make-whole payment was considered an embedded derivative and was separated from the host contract, the Convertible Senior Notes, and carried at fair value. The interest make-whole payment provision expired on September 15, 2016 rendering the embedded derivative with no value, however the original value of the embedded derivative of $700,000 continues to be amortized over the life of the Convertible Senior Notes.</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Credit Facility</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Western Alliance Bank Credit Facility</w:t>
      </w:r>
    </w:p>
    <w:p>
      <w:pPr>
        <w:spacing w:after="0" w:line="117" w:lineRule="exact"/>
        <w:rPr>
          <w:sz w:val="20"/>
          <w:szCs w:val="20"/>
          <w:color w:val="auto"/>
        </w:rPr>
      </w:pPr>
    </w:p>
    <w:p>
      <w:pPr>
        <w:ind w:left="60" w:right="899" w:firstLine="270"/>
        <w:spacing w:after="0" w:line="264" w:lineRule="auto"/>
        <w:rPr>
          <w:sz w:val="20"/>
          <w:szCs w:val="20"/>
          <w:color w:val="auto"/>
        </w:rPr>
      </w:pPr>
      <w:r>
        <w:rPr>
          <w:rFonts w:ascii="Arial" w:cs="Arial" w:eastAsia="Arial" w:hAnsi="Arial"/>
          <w:sz w:val="18"/>
          <w:szCs w:val="18"/>
          <w:color w:val="auto"/>
        </w:rPr>
        <w:t>The Company entered into a Loan and Security Agreement, effective May 31, 2017 (the “Loan Agreement”), with Western Alliance Bank, pursuant to which Western Alliance Bank agreed to provide the Company with a $12 million senior secured revolving credit facility (the “Credit Facility”). The Credit</w:t>
      </w:r>
    </w:p>
    <w:p>
      <w:pPr>
        <w:spacing w:after="0" w:line="200" w:lineRule="exact"/>
        <w:rPr>
          <w:sz w:val="20"/>
          <w:szCs w:val="20"/>
          <w:color w:val="auto"/>
        </w:rPr>
      </w:pPr>
    </w:p>
    <w:p>
      <w:pPr>
        <w:spacing w:after="0" w:line="3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LONG-TERM LIABILITIES – (continued)</w:t>
      </w:r>
    </w:p>
    <w:p>
      <w:pPr>
        <w:spacing w:after="0" w:line="121" w:lineRule="exact"/>
        <w:rPr>
          <w:sz w:val="20"/>
          <w:szCs w:val="20"/>
          <w:color w:val="auto"/>
        </w:rPr>
      </w:pPr>
    </w:p>
    <w:p>
      <w:pPr>
        <w:ind w:left="40" w:right="739"/>
        <w:spacing w:after="0" w:line="277" w:lineRule="auto"/>
        <w:rPr>
          <w:sz w:val="20"/>
          <w:szCs w:val="20"/>
          <w:color w:val="auto"/>
        </w:rPr>
      </w:pPr>
      <w:r>
        <w:rPr>
          <w:rFonts w:ascii="Arial" w:cs="Arial" w:eastAsia="Arial" w:hAnsi="Arial"/>
          <w:sz w:val="18"/>
          <w:szCs w:val="18"/>
          <w:color w:val="auto"/>
        </w:rPr>
        <w:t>Facility, among other things, matures on the later of (i) August 15, 2018 or (ii) thirty days prior to the due date of the Convertible Senior Notes, which mature on September 15, 2018.</w:t>
      </w:r>
    </w:p>
    <w:p>
      <w:pPr>
        <w:spacing w:after="0" w:line="62"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color w:val="auto"/>
        </w:rPr>
        <w:t>The Credit Facility bears interest at a per annum rate equal to the prime rate plus 3.50%. In addition, a facility fee of $60,000 was charged upon closing of the Credit Facility, and the Loan Agreement requires payment of a fee for unused amounts during the revolving period in an amount equal to 0.50% per annum of the average unused portion of the Credit Facility payable quarterly in arrears.</w:t>
      </w:r>
    </w:p>
    <w:p>
      <w:pPr>
        <w:spacing w:after="0" w:line="79"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Under the Loan Agreement, the Company has made certain customary representations and warranties and is required to comply with various affirmative and negative covenants, reporting requirements, and other customary requirements for similar credit facilities, including, without limitation, restrictions on incurring additional indebtedness (with unsecured longer-term indebtedness limited to $70 million in the aggregate), compliance with the asset coverage requirements under the 1940 Act, a minimum net asset value requirement of at least the greater of $60 million or five times the amount of the Credit Facility, a limitation on the Company’s net asset value being reduced by more than 15% of its net asset value at December 31, 2016, and maintenance of RIC and business development company status.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the cessation of the Advisory Agreement, and the occurrence of a material adverse effect.</w:t>
      </w:r>
    </w:p>
    <w:p>
      <w:pPr>
        <w:spacing w:after="0" w:line="70" w:lineRule="exact"/>
        <w:rPr>
          <w:sz w:val="20"/>
          <w:szCs w:val="20"/>
          <w:color w:val="auto"/>
        </w:rPr>
      </w:pPr>
    </w:p>
    <w:p>
      <w:pPr>
        <w:ind w:left="40" w:right="719" w:firstLine="270"/>
        <w:spacing w:after="0" w:line="279" w:lineRule="auto"/>
        <w:rPr>
          <w:sz w:val="20"/>
          <w:szCs w:val="20"/>
          <w:color w:val="auto"/>
        </w:rPr>
      </w:pPr>
      <w:r>
        <w:rPr>
          <w:rFonts w:ascii="Arial" w:cs="Arial" w:eastAsia="Arial" w:hAnsi="Arial"/>
          <w:sz w:val="17"/>
          <w:szCs w:val="17"/>
          <w:color w:val="auto"/>
        </w:rPr>
        <w:t>The Credit Facility is secured by all of the Company’s property and assets, except for the Company’s assets pledged to secure certain obligations in connection with the Company’s issuance of the Convertible Senior Notes and as may be pledged in connection with any future issuance by the Company of Convertible Senior Notes on substantially similar terms. As of June 30, 2017, the Company had $8,000,000 in borrowings outstanding under the Credit Facility.</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Silicon Valley Bank Credit Facility</w:t>
      </w:r>
    </w:p>
    <w:p>
      <w:pPr>
        <w:spacing w:after="0" w:line="117"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color w:val="auto"/>
        </w:rPr>
        <w:t>The Company entered into a Loan and Security Agreement, effective December 31, 2013 (the “SVB Loan Agreement”), with Silicon Valley Bank, pursuant to which Silicon Valley Bank agreed to provide the Company with an $18 million credit facility (the “SVB Credit Facility”). The SVB Credit Facility expired on December 31, 2016 in accordance with its terms. Under the SVB Credit Facility, the Company was permitted to borrow an amount equal to the lesser of $18 million or 20% of the Company’s then-current net asset value.</w:t>
      </w:r>
    </w:p>
    <w:p>
      <w:pPr>
        <w:spacing w:after="0" w:line="80" w:lineRule="exact"/>
        <w:rPr>
          <w:sz w:val="20"/>
          <w:szCs w:val="20"/>
          <w:color w:val="auto"/>
        </w:rPr>
      </w:pPr>
    </w:p>
    <w:p>
      <w:pPr>
        <w:ind w:left="40" w:right="599" w:firstLine="270"/>
        <w:spacing w:after="0" w:line="270" w:lineRule="auto"/>
        <w:rPr>
          <w:sz w:val="20"/>
          <w:szCs w:val="20"/>
          <w:color w:val="auto"/>
        </w:rPr>
      </w:pPr>
      <w:r>
        <w:rPr>
          <w:rFonts w:ascii="Arial" w:cs="Arial" w:eastAsia="Arial" w:hAnsi="Arial"/>
          <w:sz w:val="17"/>
          <w:szCs w:val="17"/>
          <w:color w:val="auto"/>
        </w:rPr>
        <w:t>The SVB Credit Facility bore interest at a per annum rate equal to the greater of (i) the prime rate plus 4.75% or (ii) 8.0% on amounts drawn under the SVB Credit Facility based on a 360-day year. In addition, a fee of $180,000 per annum (1.0% of the $18 million revolving line of credit) was charged under the SVB Loan Agreement. Under the terms of the SVB Credit Facility, the Company was required to repay all outstanding borrowings on the SVB Credit Facility so that there is at least one 30-day period every 12 months during which the Company has no balance outstanding. The Company made certain customary representations and warranties under the SVB Loan Agreement and was required to comply with various covenants, reporting requirements, and other customary requirements for similar credit facilities. The SVB Loan Agreement included usual and customary events of default for credit facilities of a similar nature, including, without limitation, nonpayment, misrepresentation of representations and warranties in a material respect, breach of covenant, cross-default to certain other indebtedness, bankruptcy, change of control, and the occurrence of a material adverse effect.</w:t>
      </w:r>
    </w:p>
    <w:p>
      <w:pPr>
        <w:spacing w:after="0" w:line="70" w:lineRule="exact"/>
        <w:rPr>
          <w:sz w:val="20"/>
          <w:szCs w:val="20"/>
          <w:color w:val="auto"/>
        </w:rPr>
      </w:pPr>
    </w:p>
    <w:p>
      <w:pPr>
        <w:jc w:val="both"/>
        <w:ind w:left="40" w:right="659" w:firstLine="270"/>
        <w:spacing w:after="0" w:line="264" w:lineRule="auto"/>
        <w:rPr>
          <w:sz w:val="20"/>
          <w:szCs w:val="20"/>
          <w:color w:val="auto"/>
        </w:rPr>
      </w:pPr>
      <w:r>
        <w:rPr>
          <w:rFonts w:ascii="Arial" w:cs="Arial" w:eastAsia="Arial" w:hAnsi="Arial"/>
          <w:sz w:val="18"/>
          <w:szCs w:val="18"/>
          <w:color w:val="auto"/>
        </w:rPr>
        <w:t>The SVB Credit Facility was secured by all of the Company’s property and assets, except for the Company’s assets pledged to secure certain obligations in connection with the Company’s issuance of the Convertible Senior Notes. Borrowing under the SVB Credit Facility was subject to the leverage restrictions</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 w:name="page47"/>
    <w:bookmarkEnd w:id="4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LONG-TERM LIABILITIES – (continued)</w:t>
      </w:r>
    </w:p>
    <w:p>
      <w:pPr>
        <w:spacing w:after="0" w:line="121" w:lineRule="exact"/>
        <w:rPr>
          <w:sz w:val="20"/>
          <w:szCs w:val="20"/>
          <w:color w:val="auto"/>
        </w:rPr>
      </w:pPr>
    </w:p>
    <w:p>
      <w:pPr>
        <w:ind w:left="60" w:right="1119"/>
        <w:spacing w:after="0" w:line="342" w:lineRule="auto"/>
        <w:rPr>
          <w:sz w:val="20"/>
          <w:szCs w:val="20"/>
          <w:color w:val="auto"/>
        </w:rPr>
      </w:pPr>
      <w:r>
        <w:rPr>
          <w:rFonts w:ascii="Arial" w:cs="Arial" w:eastAsia="Arial" w:hAnsi="Arial"/>
          <w:sz w:val="16"/>
          <w:szCs w:val="16"/>
          <w:color w:val="auto"/>
        </w:rPr>
        <w:t>contained in the 1940 Act. In addition, under the SVB Loan Agreement, the Company agreed not to incur certain additional permitted indebtedness in an aggregate amount exceeding 50% of the Company’s then-applicable net asset value.</w:t>
      </w:r>
    </w:p>
    <w:p>
      <w:pPr>
        <w:spacing w:after="0" w:line="16" w:lineRule="exact"/>
        <w:rPr>
          <w:sz w:val="20"/>
          <w:szCs w:val="20"/>
          <w:color w:val="auto"/>
        </w:rPr>
      </w:pPr>
    </w:p>
    <w:p>
      <w:pPr>
        <w:jc w:val="both"/>
        <w:ind w:left="60" w:right="659" w:firstLine="270"/>
        <w:spacing w:after="0" w:line="264" w:lineRule="auto"/>
        <w:rPr>
          <w:sz w:val="20"/>
          <w:szCs w:val="20"/>
          <w:color w:val="auto"/>
        </w:rPr>
      </w:pPr>
      <w:r>
        <w:rPr>
          <w:rFonts w:ascii="Arial" w:cs="Arial" w:eastAsia="Arial" w:hAnsi="Arial"/>
          <w:sz w:val="18"/>
          <w:szCs w:val="18"/>
          <w:color w:val="auto"/>
        </w:rPr>
        <w:t>For the three and six months ended June 30, 2017, the Company had average borrowings outstanding under the Credit Facility of $351,648 and $176,796, respectively. For the three and six months ended June 30, 2016, the Company had average borrowings outstanding under the SVB Credit Facility of $153,846 and $76,923, respectively.</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SUBSEQUENT EVENTS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Portfolio Activity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June 30, 2017 through August 9, 2017, the Company did not purchase any investments.</w:t>
      </w:r>
    </w:p>
    <w:p>
      <w:pPr>
        <w:spacing w:after="0" w:line="117" w:lineRule="exact"/>
        <w:rPr>
          <w:sz w:val="20"/>
          <w:szCs w:val="20"/>
          <w:color w:val="auto"/>
        </w:rPr>
      </w:pPr>
    </w:p>
    <w:p>
      <w:pPr>
        <w:ind w:left="60" w:right="519" w:firstLine="270"/>
        <w:spacing w:after="0" w:line="277" w:lineRule="auto"/>
        <w:rPr>
          <w:sz w:val="20"/>
          <w:szCs w:val="20"/>
          <w:color w:val="auto"/>
        </w:rPr>
      </w:pPr>
      <w:r>
        <w:rPr>
          <w:rFonts w:ascii="Arial" w:cs="Arial" w:eastAsia="Arial" w:hAnsi="Arial"/>
          <w:sz w:val="18"/>
          <w:szCs w:val="18"/>
          <w:color w:val="auto"/>
        </w:rPr>
        <w:t>From June 30, 2017 through August 9, 2017, the Company sold investments of $5,739,896, net of transaction costs, as shown in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4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Transaction</w:t>
            </w:r>
          </w:p>
        </w:tc>
        <w:tc>
          <w:tcPr>
            <w:tcW w:w="120" w:type="dxa"/>
            <w:vAlign w:val="bottom"/>
          </w:tcPr>
          <w:p>
            <w:pPr>
              <w:spacing w:after="0"/>
              <w:rPr>
                <w:sz w:val="16"/>
                <w:szCs w:val="16"/>
                <w:color w:val="auto"/>
              </w:rPr>
            </w:pPr>
          </w:p>
        </w:tc>
        <w:tc>
          <w:tcPr>
            <w:tcW w:w="9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40"/>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6"/>
                <w:szCs w:val="16"/>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149"/>
        </w:trPr>
        <w:tc>
          <w:tcPr>
            <w:tcW w:w="3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Sales by Portfolio Company</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Gain/</w:t>
            </w:r>
          </w:p>
        </w:tc>
        <w:tc>
          <w:tcPr>
            <w:tcW w:w="0" w:type="dxa"/>
            <w:vAlign w:val="bottom"/>
          </w:tcPr>
          <w:p>
            <w:pPr>
              <w:spacing w:after="0"/>
              <w:rPr>
                <w:sz w:val="1"/>
                <w:szCs w:val="1"/>
                <w:color w:val="auto"/>
              </w:rPr>
            </w:pPr>
          </w:p>
        </w:tc>
      </w:tr>
      <w:tr>
        <w:trPr>
          <w:trHeight w:val="176"/>
        </w:trPr>
        <w:tc>
          <w:tcPr>
            <w:tcW w:w="3060" w:type="dxa"/>
            <w:vAlign w:val="bottom"/>
            <w:tcBorders>
              <w:bottom w:val="single" w:sz="8" w:color="auto"/>
            </w:tcBorders>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Sold</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40"/>
              <w:spacing w:after="0" w:line="176" w:lineRule="exact"/>
              <w:rPr>
                <w:sz w:val="20"/>
                <w:szCs w:val="20"/>
                <w:color w:val="auto"/>
              </w:rPr>
            </w:pPr>
            <w:r>
              <w:rPr>
                <w:rFonts w:ascii="Arial" w:cs="Arial" w:eastAsia="Arial" w:hAnsi="Arial"/>
                <w:sz w:val="13"/>
                <w:szCs w:val="13"/>
                <w:b w:val="1"/>
                <w:bCs w:val="1"/>
                <w:color w:val="auto"/>
                <w:w w:val="95"/>
              </w:rPr>
              <w:t>Price</w:t>
            </w:r>
            <w:r>
              <w:rPr>
                <w:rFonts w:ascii="Arial" w:cs="Arial" w:eastAsia="Arial" w:hAnsi="Arial"/>
                <w:sz w:val="20"/>
                <w:szCs w:val="20"/>
                <w:b w:val="1"/>
                <w:bCs w:val="1"/>
                <w:color w:val="auto"/>
                <w:w w:val="95"/>
                <w:vertAlign w:val="superscript"/>
              </w:rPr>
              <w:t>(1)</w:t>
            </w:r>
          </w:p>
        </w:tc>
        <w:tc>
          <w:tcPr>
            <w:tcW w:w="120" w:type="dxa"/>
            <w:vAlign w:val="bottom"/>
          </w:tcPr>
          <w:p>
            <w:pPr>
              <w:spacing w:after="0"/>
              <w:rPr>
                <w:sz w:val="15"/>
                <w:szCs w:val="15"/>
                <w:color w:val="auto"/>
              </w:rPr>
            </w:pPr>
          </w:p>
        </w:tc>
        <w:tc>
          <w:tcPr>
            <w:tcW w:w="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Proceeds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10"/>
        </w:trPr>
        <w:tc>
          <w:tcPr>
            <w:tcW w:w="3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Chegg, Inc.</w:t>
            </w:r>
          </w:p>
        </w:tc>
        <w:tc>
          <w:tcPr>
            <w:tcW w:w="10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7/20/17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$2,802,995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431,849</w:t>
            </w:r>
          </w:p>
        </w:tc>
        <w:tc>
          <w:tcPr>
            <w:tcW w:w="0" w:type="dxa"/>
            <w:vAlign w:val="bottom"/>
          </w:tcPr>
          <w:p>
            <w:pPr>
              <w:spacing w:after="0"/>
              <w:rPr>
                <w:sz w:val="1"/>
                <w:szCs w:val="1"/>
                <w:color w:val="auto"/>
              </w:rPr>
            </w:pPr>
          </w:p>
        </w:tc>
      </w:tr>
      <w:tr>
        <w:trPr>
          <w:trHeight w:val="216"/>
        </w:trPr>
        <w:tc>
          <w:tcPr>
            <w:tcW w:w="3060" w:type="dxa"/>
            <w:vAlign w:val="bottom"/>
            <w:gridSpan w:val="3"/>
          </w:tcPr>
          <w:p>
            <w:pPr>
              <w:ind w:left="20"/>
              <w:spacing w:after="0"/>
              <w:rPr>
                <w:sz w:val="20"/>
                <w:szCs w:val="20"/>
                <w:color w:val="auto"/>
              </w:rPr>
            </w:pPr>
            <w:r>
              <w:rPr>
                <w:rFonts w:ascii="Arial" w:cs="Arial" w:eastAsia="Arial" w:hAnsi="Arial"/>
                <w:sz w:val="18"/>
                <w:szCs w:val="18"/>
                <w:color w:val="auto"/>
              </w:rPr>
              <w:t>Chegg, Inc.</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7/25/17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14.29</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1,429,447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243,874</w:t>
            </w:r>
          </w:p>
        </w:tc>
        <w:tc>
          <w:tcPr>
            <w:tcW w:w="0" w:type="dxa"/>
            <w:vAlign w:val="bottom"/>
          </w:tcPr>
          <w:p>
            <w:pPr>
              <w:spacing w:after="0"/>
              <w:rPr>
                <w:sz w:val="1"/>
                <w:szCs w:val="1"/>
                <w:color w:val="auto"/>
              </w:rPr>
            </w:pPr>
          </w:p>
        </w:tc>
      </w:tr>
      <w:tr>
        <w:trPr>
          <w:trHeight w:val="216"/>
        </w:trPr>
        <w:tc>
          <w:tcPr>
            <w:tcW w:w="3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Chegg, Inc.</w:t>
            </w:r>
          </w:p>
        </w:tc>
        <w:tc>
          <w:tcPr>
            <w:tcW w:w="10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7/26/17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1,498,105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312,532</w:t>
            </w:r>
          </w:p>
        </w:tc>
        <w:tc>
          <w:tcPr>
            <w:tcW w:w="0" w:type="dxa"/>
            <w:vAlign w:val="bottom"/>
          </w:tcPr>
          <w:p>
            <w:pPr>
              <w:spacing w:after="0"/>
              <w:rPr>
                <w:sz w:val="1"/>
                <w:szCs w:val="1"/>
                <w:color w:val="auto"/>
              </w:rPr>
            </w:pPr>
          </w:p>
        </w:tc>
      </w:tr>
      <w:tr>
        <w:trPr>
          <w:trHeight w:val="216"/>
        </w:trPr>
        <w:tc>
          <w:tcPr>
            <w:tcW w:w="3060" w:type="dxa"/>
            <w:vAlign w:val="bottom"/>
            <w:gridSpan w:val="3"/>
          </w:tcPr>
          <w:p>
            <w:pPr>
              <w:ind w:left="20"/>
              <w:spacing w:after="0"/>
              <w:rPr>
                <w:sz w:val="20"/>
                <w:szCs w:val="20"/>
                <w:color w:val="auto"/>
              </w:rPr>
            </w:pPr>
            <w:r>
              <w:rPr>
                <w:rFonts w:ascii="Arial" w:cs="Arial" w:eastAsia="Arial" w:hAnsi="Arial"/>
                <w:sz w:val="18"/>
                <w:szCs w:val="18"/>
                <w:color w:val="auto"/>
              </w:rPr>
              <w:t>Chegg, Inc.</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8/3/17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9,349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5,739,896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990,491</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20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9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9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The average net share price is the net share price realized after deducting all commissions and fees on the sale(s).</w:t>
      </w:r>
    </w:p>
    <w:p>
      <w:pPr>
        <w:spacing w:after="0" w:line="117" w:lineRule="exact"/>
        <w:rPr>
          <w:sz w:val="20"/>
          <w:szCs w:val="20"/>
          <w:color w:val="auto"/>
        </w:rPr>
      </w:pPr>
    </w:p>
    <w:p>
      <w:pPr>
        <w:ind w:left="60" w:right="699" w:firstLine="270"/>
        <w:spacing w:after="0" w:line="293" w:lineRule="auto"/>
        <w:rPr>
          <w:sz w:val="20"/>
          <w:szCs w:val="20"/>
          <w:color w:val="auto"/>
        </w:rPr>
      </w:pPr>
      <w:r>
        <w:rPr>
          <w:rFonts w:ascii="Arial" w:cs="Arial" w:eastAsia="Arial" w:hAnsi="Arial"/>
          <w:sz w:val="16"/>
          <w:szCs w:val="16"/>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Management Transition</w:t>
      </w:r>
    </w:p>
    <w:p>
      <w:pPr>
        <w:spacing w:after="0" w:line="121" w:lineRule="exact"/>
        <w:rPr>
          <w:sz w:val="20"/>
          <w:szCs w:val="20"/>
          <w:color w:val="auto"/>
        </w:rPr>
      </w:pPr>
    </w:p>
    <w:p>
      <w:pPr>
        <w:ind w:left="60" w:right="659" w:firstLine="270"/>
        <w:spacing w:after="0" w:line="255" w:lineRule="auto"/>
        <w:rPr>
          <w:sz w:val="20"/>
          <w:szCs w:val="20"/>
          <w:color w:val="auto"/>
        </w:rPr>
      </w:pPr>
      <w:r>
        <w:rPr>
          <w:rFonts w:ascii="Arial" w:cs="Arial" w:eastAsia="Arial" w:hAnsi="Arial"/>
          <w:sz w:val="18"/>
          <w:szCs w:val="18"/>
          <w:color w:val="auto"/>
        </w:rPr>
        <w:t>On August 8, 2017, the Company announced Michael Moe’s resignation as Chief Executive Officer of the Company, effective August 11, 2017, and that the Company’s board of directors had appointed Mark Klein, a member of the Company’s board of directors and a consultant to GSV Asset Management, to serve as the Company’s Chief Executive Officer, effective August 11, 2017. Mr. Moe will continue to serve the Company in his role as Chairman of the Company’s board of directors. Further information regarding the Company’s management transition can be found in the Company’s Current Report on Form 8-K, filed with the SEC on August 8, 2017.</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Share Repurchase Program</w:t>
      </w:r>
    </w:p>
    <w:p>
      <w:pPr>
        <w:spacing w:after="0" w:line="121" w:lineRule="exact"/>
        <w:rPr>
          <w:sz w:val="20"/>
          <w:szCs w:val="20"/>
          <w:color w:val="auto"/>
        </w:rPr>
      </w:pPr>
    </w:p>
    <w:p>
      <w:pPr>
        <w:jc w:val="both"/>
        <w:ind w:left="60" w:right="939" w:firstLine="270"/>
        <w:spacing w:after="0" w:line="264" w:lineRule="auto"/>
        <w:rPr>
          <w:sz w:val="20"/>
          <w:szCs w:val="20"/>
          <w:color w:val="auto"/>
        </w:rPr>
      </w:pPr>
      <w:r>
        <w:rPr>
          <w:rFonts w:ascii="Arial" w:cs="Arial" w:eastAsia="Arial" w:hAnsi="Arial"/>
          <w:sz w:val="18"/>
          <w:szCs w:val="18"/>
          <w:color w:val="auto"/>
        </w:rPr>
        <w:t>On August 7, 2017, the Company's board of directors authorized a discretionary share repurchase program of shares of the Company's common stock, $0.01 par value per share, of up to $5.0 million over the next twelve months, until the earlier of (i) August 6, 2018 or (ii) the repurchase of $5.0 million in aggregate</w:t>
      </w:r>
    </w:p>
    <w:p>
      <w:pPr>
        <w:spacing w:after="0" w:line="200" w:lineRule="exact"/>
        <w:rPr>
          <w:sz w:val="20"/>
          <w:szCs w:val="20"/>
          <w:color w:val="auto"/>
        </w:rPr>
      </w:pPr>
    </w:p>
    <w:p>
      <w:pPr>
        <w:spacing w:after="0" w:line="3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7" w:name="page48"/>
    <w:bookmarkEnd w:id="47"/>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10 — SUBSEQUENT EVENTS – (continued)</w:t>
      </w:r>
    </w:p>
    <w:p>
      <w:pPr>
        <w:spacing w:after="0" w:line="121" w:lineRule="exact"/>
        <w:rPr>
          <w:sz w:val="20"/>
          <w:szCs w:val="20"/>
          <w:color w:val="auto"/>
        </w:rPr>
      </w:pPr>
    </w:p>
    <w:p>
      <w:pPr>
        <w:ind w:left="180" w:right="799"/>
        <w:spacing w:after="0" w:line="264" w:lineRule="auto"/>
        <w:rPr>
          <w:sz w:val="20"/>
          <w:szCs w:val="20"/>
          <w:color w:val="auto"/>
        </w:rPr>
      </w:pPr>
      <w:r>
        <w:rPr>
          <w:rFonts w:ascii="Arial" w:cs="Arial" w:eastAsia="Arial" w:hAnsi="Arial"/>
          <w:sz w:val="18"/>
          <w:szCs w:val="18"/>
          <w:color w:val="auto"/>
        </w:rPr>
        <w:t>amount of the Company's common stock. Under the repurchase program, the Company may repurchase its outstanding common stock in the open market provided that the Company complies with the prohibitions under its insider trading policies and procedures and the applicable provisions of the 1940 Act and the Exchange Act.</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11 — SUPPLEMENTAL FINANCIAL DATA</w:t>
      </w:r>
    </w:p>
    <w:p>
      <w:pPr>
        <w:spacing w:after="0" w:line="121" w:lineRule="exact"/>
        <w:rPr>
          <w:sz w:val="20"/>
          <w:szCs w:val="20"/>
          <w:color w:val="auto"/>
        </w:rPr>
      </w:pPr>
    </w:p>
    <w:p>
      <w:pPr>
        <w:ind w:left="180" w:right="559" w:firstLine="270"/>
        <w:spacing w:after="0" w:line="279" w:lineRule="auto"/>
        <w:rPr>
          <w:sz w:val="20"/>
          <w:szCs w:val="20"/>
          <w:color w:val="auto"/>
        </w:rPr>
      </w:pPr>
      <w:r>
        <w:rPr>
          <w:rFonts w:ascii="Arial" w:cs="Arial" w:eastAsia="Arial" w:hAnsi="Arial"/>
          <w:sz w:val="17"/>
          <w:szCs w:val="17"/>
          <w:color w:val="auto"/>
        </w:rPr>
        <w:t>Under Rule 6-03 of Regulation S-X and in accordance with GAAP, as an investment company,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w:t>
      </w:r>
    </w:p>
    <w:p>
      <w:pPr>
        <w:spacing w:after="0" w:line="63" w:lineRule="exact"/>
        <w:rPr>
          <w:sz w:val="20"/>
          <w:szCs w:val="20"/>
          <w:color w:val="auto"/>
        </w:rPr>
      </w:pPr>
    </w:p>
    <w:p>
      <w:pPr>
        <w:ind w:left="180" w:right="559" w:firstLine="270"/>
        <w:spacing w:after="0" w:line="259" w:lineRule="auto"/>
        <w:rPr>
          <w:sz w:val="20"/>
          <w:szCs w:val="20"/>
          <w:color w:val="auto"/>
        </w:rPr>
      </w:pPr>
      <w:r>
        <w:rPr>
          <w:rFonts w:ascii="Arial" w:cs="Arial" w:eastAsia="Arial" w:hAnsi="Arial"/>
          <w:sz w:val="18"/>
          <w:szCs w:val="18"/>
          <w:color w:val="auto"/>
        </w:rPr>
        <w:t>During the three and six months ended June 30, 2017 and 2016 the Company had at least one investment in a portfolio company that qualified as a “significant subsidiary” under the applicable rules of Regulation S-X. Accordingly, comparative financial information is presented below for our unconsolidated significant subsidiaries for the three and six months ended June 30,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16510</wp:posOffset>
            </wp:positionV>
            <wp:extent cx="47510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5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Income Statement Data for the Three Months Ended:</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June 30,</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5120" w:type="dxa"/>
            <w:vAlign w:val="bottom"/>
            <w:tcBorders>
              <w:bottom w:val="single" w:sz="8" w:color="auto"/>
            </w:tcBorders>
            <w:gridSpan w:val="2"/>
            <w:vMerge w:val="continue"/>
          </w:tcPr>
          <w:p>
            <w:pPr>
              <w:spacing w:after="0"/>
              <w:rPr>
                <w:sz w:val="14"/>
                <w:szCs w:val="14"/>
                <w:color w:val="auto"/>
              </w:rPr>
            </w:pPr>
          </w:p>
        </w:tc>
        <w:tc>
          <w:tcPr>
            <w:tcW w:w="180" w:type="dxa"/>
            <w:vAlign w:val="bottom"/>
            <w:gridSpan w:val="2"/>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2016</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6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$ 5,643,716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4,990,136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160" w:type="dxa"/>
            <w:vAlign w:val="bottom"/>
            <w:gridSpan w:val="3"/>
          </w:tcPr>
          <w:p>
            <w:pPr>
              <w:jc w:val="right"/>
              <w:ind w:right="21"/>
              <w:spacing w:after="0"/>
              <w:rPr>
                <w:sz w:val="20"/>
                <w:szCs w:val="20"/>
                <w:color w:val="auto"/>
              </w:rPr>
            </w:pPr>
            <w:r>
              <w:rPr>
                <w:rFonts w:ascii="Arial" w:cs="Arial" w:eastAsia="Arial" w:hAnsi="Arial"/>
                <w:sz w:val="18"/>
                <w:szCs w:val="18"/>
                <w:color w:val="auto"/>
              </w:rPr>
              <w:t>4,480,824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4,001,671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(805,219)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(2,548,104)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512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4"/>
              </w:rPr>
              <w:t>Total net income including net income attributable to non-controlling</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controlling interest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(1,304,297)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(2,788,278)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120" w:type="dxa"/>
            <w:vAlign w:val="bottom"/>
          </w:tcPr>
          <w:p>
            <w:pPr>
              <w:spacing w:after="0"/>
              <w:rPr>
                <w:sz w:val="24"/>
                <w:szCs w:val="24"/>
                <w:color w:val="auto"/>
              </w:rPr>
            </w:pPr>
          </w:p>
        </w:tc>
        <w:tc>
          <w:tcPr>
            <w:tcW w:w="5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Income Statement Data for the Six Months Ended:</w:t>
            </w:r>
          </w:p>
        </w:tc>
        <w:tc>
          <w:tcPr>
            <w:tcW w:w="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June 30,</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510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2016</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6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$11,624,198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0"/>
              </w:rPr>
              <w:t>10,603,368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160" w:type="dxa"/>
            <w:vAlign w:val="bottom"/>
            <w:gridSpan w:val="3"/>
          </w:tcPr>
          <w:p>
            <w:pPr>
              <w:jc w:val="right"/>
              <w:ind w:right="21"/>
              <w:spacing w:after="0"/>
              <w:rPr>
                <w:sz w:val="20"/>
                <w:szCs w:val="20"/>
                <w:color w:val="auto"/>
              </w:rPr>
            </w:pPr>
            <w:r>
              <w:rPr>
                <w:rFonts w:ascii="Arial" w:cs="Arial" w:eastAsia="Arial" w:hAnsi="Arial"/>
                <w:sz w:val="18"/>
                <w:szCs w:val="18"/>
                <w:color w:val="auto"/>
              </w:rPr>
              <w:t>9,591,580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8,321,741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(555,607)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(4,628,806)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512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4"/>
              </w:rPr>
              <w:t>Total net income including net income attributable to non-controlling</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controlling interest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(1,515,219)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(5,181,440)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0"/>
        </w:trPr>
        <w:tc>
          <w:tcPr>
            <w:tcW w:w="120" w:type="dxa"/>
            <w:vAlign w:val="bottom"/>
          </w:tcPr>
          <w:p>
            <w:pPr>
              <w:spacing w:after="0"/>
              <w:rPr>
                <w:sz w:val="24"/>
                <w:szCs w:val="24"/>
                <w:color w:val="auto"/>
              </w:rPr>
            </w:pPr>
          </w:p>
        </w:tc>
        <w:tc>
          <w:tcPr>
            <w:tcW w:w="5100" w:type="dxa"/>
            <w:vAlign w:val="bottom"/>
          </w:tcPr>
          <w:p>
            <w:pPr>
              <w:ind w:left="458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5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5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-1723390</wp:posOffset>
            </wp:positionV>
            <wp:extent cx="47510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right="2619"/>
        <w:spacing w:after="0" w:line="40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50" w:lineRule="exact"/>
        <w:rPr>
          <w:sz w:val="20"/>
          <w:szCs w:val="20"/>
          <w:color w:val="auto"/>
        </w:rPr>
      </w:pPr>
    </w:p>
    <w:p>
      <w:pPr>
        <w:ind w:left="40" w:right="959" w:firstLine="270"/>
        <w:spacing w:after="0" w:line="277" w:lineRule="auto"/>
        <w:rPr>
          <w:sz w:val="20"/>
          <w:szCs w:val="20"/>
          <w:color w:val="auto"/>
        </w:rPr>
      </w:pPr>
      <w:r>
        <w:rPr>
          <w:rFonts w:ascii="Arial" w:cs="Arial" w:eastAsia="Arial" w:hAnsi="Arial"/>
          <w:sz w:val="18"/>
          <w:szCs w:val="18"/>
          <w:color w:val="auto"/>
        </w:rPr>
        <w:t>The forward-looking statements contained in this quarterly report on Form 10-Q involve risks and uncertainties, including statements as to:</w:t>
      </w:r>
    </w:p>
    <w:p>
      <w:pPr>
        <w:spacing w:after="0" w:line="62" w:lineRule="exact"/>
        <w:rPr>
          <w:sz w:val="20"/>
          <w:szCs w:val="20"/>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sz w:val="20"/>
          <w:szCs w:val="20"/>
          <w:color w:val="auto"/>
        </w:rPr>
      </w:pPr>
    </w:p>
    <w:p>
      <w:pPr>
        <w:jc w:val="both"/>
        <w:ind w:left="40" w:right="879" w:firstLine="270"/>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3" w:lineRule="exact"/>
        <w:rPr>
          <w:sz w:val="20"/>
          <w:szCs w:val="20"/>
          <w:color w:val="auto"/>
        </w:rPr>
      </w:pPr>
    </w:p>
    <w:p>
      <w:pPr>
        <w:ind w:left="600" w:right="63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62"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contraction of available credit and/or an inability to access the equity markets could impair our investment activities;</w:t>
      </w:r>
    </w:p>
    <w:p>
      <w:pPr>
        <w:spacing w:after="0" w:line="128" w:lineRule="exact"/>
        <w:rPr>
          <w:rFonts w:ascii="Arial" w:cs="Arial" w:eastAsia="Arial" w:hAnsi="Arial"/>
          <w:sz w:val="17"/>
          <w:szCs w:val="17"/>
          <w:color w:val="auto"/>
        </w:rPr>
      </w:pPr>
    </w:p>
    <w:p>
      <w:pPr>
        <w:ind w:left="600" w:right="93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 investment strategy; and</w:t>
      </w:r>
    </w:p>
    <w:p>
      <w:pPr>
        <w:spacing w:after="0" w:line="62" w:lineRule="exact"/>
        <w:rPr>
          <w:rFonts w:ascii="Arial" w:cs="Arial" w:eastAsia="Arial" w:hAnsi="Arial"/>
          <w:sz w:val="18"/>
          <w:szCs w:val="18"/>
          <w:color w:val="auto"/>
        </w:rPr>
      </w:pPr>
    </w:p>
    <w:p>
      <w:pPr>
        <w:ind w:left="600" w:right="59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in this quarterly report on Form 10-Q and our annual report on Form 10-K, and in our filings with the SEC.</w:t>
      </w:r>
    </w:p>
    <w:p>
      <w:pPr>
        <w:spacing w:after="0" w:line="62"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this quarterly report on Form 10-Q and our annual report on Form 10-K, in the “Risk Factors” section. You should not place undue reliance on these forward-looking statements, which apply only as of the date of this quarterly report on Form 10-Q.</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99" w:firstLine="270"/>
        <w:spacing w:after="0" w:line="342" w:lineRule="auto"/>
        <w:rPr>
          <w:sz w:val="20"/>
          <w:szCs w:val="20"/>
          <w:color w:val="auto"/>
        </w:rPr>
      </w:pPr>
      <w:r>
        <w:rPr>
          <w:rFonts w:ascii="Arial" w:cs="Arial" w:eastAsia="Arial" w:hAnsi="Arial"/>
          <w:sz w:val="16"/>
          <w:szCs w:val="16"/>
          <w:color w:val="auto"/>
        </w:rPr>
        <w:t>The following analysis of our financial condition and results of operations should be read in conjunction with our condensed consolidated financial statements and the related notes thereto contained elsewhere in this quarterly report on Form 10-Q.</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We are an externally managed, non-diversified closed-end management investment company that has elected to be regulated as a business development company under the 1940 Act. 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have also invested, on an opportunistic basis, in select publicly traded equity securities of rapidly growing companies that otherwise meet our investment criteria, and may continue to do so in the future. In addition, while we invest primarily in U.S. companies, we may invest on an opportunistic basis in certain non-U.S. companies that otherwise meet our investment criteria. In regards to the regulatory requirements for business development companies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64" w:lineRule="exact"/>
        <w:rPr>
          <w:sz w:val="20"/>
          <w:szCs w:val="20"/>
          <w:color w:val="auto"/>
        </w:rPr>
      </w:pPr>
    </w:p>
    <w:p>
      <w:pPr>
        <w:ind w:left="40" w:right="539" w:firstLine="270"/>
        <w:spacing w:after="0" w:line="312" w:lineRule="auto"/>
        <w:rPr>
          <w:sz w:val="20"/>
          <w:szCs w:val="20"/>
          <w:color w:val="auto"/>
        </w:rPr>
      </w:pPr>
      <w:r>
        <w:rPr>
          <w:rFonts w:ascii="Arial" w:cs="Arial" w:eastAsia="Arial" w:hAnsi="Arial"/>
          <w:sz w:val="16"/>
          <w:szCs w:val="16"/>
          <w:color w:val="auto"/>
        </w:rPr>
        <w:t>We acquire our investments in portfolio companies through offerings of the prospective portfolio companies, transactions on secondary marketplaces for private companies and negotiations with selling stockholders. Our investment activities are managed by GSV Asset Management. GSV Capital Service Company provides the administrative services necessary for us to operate.</w:t>
      </w:r>
    </w:p>
    <w:p>
      <w:pPr>
        <w:spacing w:after="0" w:line="39"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Our investment philosophy is premised on a disciplined approach of identifying high-growth emerging companies across several key industry themes that may include, among others, social mobile, cloud computing and big data, internet commerce, sustainability and education technology. GSV Asset Management’s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GSV Asset Management, evaluates have financial backing from top-tier venture capital funds or other financial or strategic sponsors.</w:t>
      </w:r>
    </w:p>
    <w:p>
      <w:pPr>
        <w:spacing w:after="0" w:line="70"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non-income-producing, have different voting rights than common stock and are generally convertible into common stock at our discretion. Our investments generally do not produce current income and, therefore, we may be dependent on future capital raising to meet our operating needs if no other source of liquidity is available.</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 — (Portfolio Activity)</w:t>
      </w:r>
    </w:p>
    <w:p>
      <w:pPr>
        <w:spacing w:after="0" w:line="117" w:lineRule="exact"/>
        <w:rPr>
          <w:sz w:val="20"/>
          <w:szCs w:val="20"/>
          <w:color w:val="auto"/>
        </w:rPr>
      </w:pPr>
    </w:p>
    <w:p>
      <w:pPr>
        <w:ind w:left="40" w:right="599" w:firstLine="270"/>
        <w:spacing w:after="0" w:line="290" w:lineRule="auto"/>
        <w:rPr>
          <w:sz w:val="20"/>
          <w:szCs w:val="20"/>
          <w:color w:val="auto"/>
        </w:rPr>
      </w:pPr>
      <w:r>
        <w:rPr>
          <w:rFonts w:ascii="Arial" w:cs="Arial" w:eastAsia="Arial" w:hAnsi="Arial"/>
          <w:sz w:val="16"/>
          <w:szCs w:val="16"/>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June 30, 2017, of all of our portfolio investments, excluding U.S. Treasury Bills and Strips, was $282,767,818. The following table summarizes the investment purchases we funded during the six months ended June 30, 2017. “Total Gross Payments” include both the actual cost of an investment as well as capitalized costs (such as legal and other fees) associated with entering into a portfolio company investment. Refer to “Note 1 — Nature of Operations and Significant Accounting Policies” to our condensed consolidated financial statements as of June 30, 2017 for further detail. During the six months ended June 30, 2017 we did not fund any investments and we capitalized fees of $280.</w:t>
      </w:r>
    </w:p>
    <w:p>
      <w:pPr>
        <w:spacing w:after="0" w:line="200" w:lineRule="exact"/>
        <w:rPr>
          <w:sz w:val="20"/>
          <w:szCs w:val="20"/>
          <w:color w:val="auto"/>
        </w:rPr>
      </w:pPr>
    </w:p>
    <w:p>
      <w:pPr>
        <w:spacing w:after="0" w:line="30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0" w:name="page51"/>
    <w:bookmarkEnd w:id="5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the portfolio investments we wrote-off during the six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518858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ind w:left="32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6"/>
              </w:rPr>
              <w:t>Quarter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2"/>
              </w:rPr>
              <w:t>June 30, 2017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w w:val="92"/>
              </w:rPr>
              <w:t>June 30, 2017</w:t>
            </w: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Realized</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Realized</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Realized</w:t>
            </w:r>
          </w:p>
        </w:tc>
        <w:tc>
          <w:tcPr>
            <w:tcW w:w="0" w:type="dxa"/>
            <w:vAlign w:val="bottom"/>
          </w:tcPr>
          <w:p>
            <w:pPr>
              <w:spacing w:after="0"/>
              <w:rPr>
                <w:sz w:val="1"/>
                <w:szCs w:val="1"/>
                <w:color w:val="auto"/>
              </w:rPr>
            </w:pPr>
          </w:p>
        </w:tc>
      </w:tr>
      <w:tr>
        <w:trPr>
          <w:trHeight w:val="185"/>
        </w:trPr>
        <w:tc>
          <w:tcPr>
            <w:tcW w:w="2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40" w:type="dxa"/>
            <w:vAlign w:val="bottom"/>
          </w:tcPr>
          <w:p>
            <w:pPr>
              <w:spacing w:after="0"/>
              <w:rPr>
                <w:sz w:val="16"/>
                <w:szCs w:val="16"/>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Gains/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Gains/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Gains/</w:t>
            </w:r>
          </w:p>
        </w:tc>
        <w:tc>
          <w:tcPr>
            <w:tcW w:w="0" w:type="dxa"/>
            <w:vAlign w:val="bottom"/>
          </w:tcPr>
          <w:p>
            <w:pPr>
              <w:spacing w:after="0"/>
              <w:rPr>
                <w:sz w:val="1"/>
                <w:szCs w:val="1"/>
                <w:color w:val="auto"/>
              </w:rPr>
            </w:pPr>
          </w:p>
        </w:tc>
      </w:tr>
      <w:tr>
        <w:trPr>
          <w:trHeight w:val="176"/>
        </w:trPr>
        <w:tc>
          <w:tcPr>
            <w:tcW w:w="2600" w:type="dxa"/>
            <w:vAlign w:val="bottom"/>
            <w:gridSpan w:val="2"/>
            <w:vMerge w:val="continue"/>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Proceeds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(Losses)</w:t>
            </w:r>
            <w:r>
              <w:rPr>
                <w:rFonts w:ascii="Arial" w:cs="Arial" w:eastAsia="Arial" w:hAnsi="Arial"/>
                <w:sz w:val="20"/>
                <w:szCs w:val="20"/>
                <w:b w:val="1"/>
                <w:bCs w:val="1"/>
                <w:color w:val="auto"/>
                <w:w w:val="91"/>
                <w:vertAlign w:val="superscript"/>
              </w:rPr>
              <w:t>(1)</w:t>
            </w:r>
          </w:p>
        </w:tc>
        <w:tc>
          <w:tcPr>
            <w:tcW w:w="16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Proceeds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(Losses)</w:t>
            </w:r>
            <w:r>
              <w:rPr>
                <w:rFonts w:ascii="Arial" w:cs="Arial" w:eastAsia="Arial" w:hAnsi="Arial"/>
                <w:sz w:val="20"/>
                <w:szCs w:val="20"/>
                <w:b w:val="1"/>
                <w:bCs w:val="1"/>
                <w:color w:val="auto"/>
                <w:w w:val="91"/>
                <w:vertAlign w:val="superscript"/>
              </w:rPr>
              <w:t>(1)</w:t>
            </w:r>
          </w:p>
        </w:tc>
        <w:tc>
          <w:tcPr>
            <w:tcW w:w="160" w:type="dxa"/>
            <w:vAlign w:val="bottom"/>
          </w:tcPr>
          <w:p>
            <w:pPr>
              <w:spacing w:after="0"/>
              <w:rPr>
                <w:sz w:val="15"/>
                <w:szCs w:val="15"/>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w w:val="85"/>
              </w:rPr>
              <w:t>Proceeds</w:t>
            </w:r>
          </w:p>
        </w:tc>
        <w:tc>
          <w:tcPr>
            <w:tcW w:w="160" w:type="dxa"/>
            <w:vAlign w:val="bottom"/>
          </w:tcPr>
          <w:p>
            <w:pPr>
              <w:spacing w:after="0"/>
              <w:rPr>
                <w:sz w:val="15"/>
                <w:szCs w:val="15"/>
                <w:color w:val="auto"/>
              </w:rPr>
            </w:pPr>
          </w:p>
        </w:tc>
        <w:tc>
          <w:tcPr>
            <w:tcW w:w="1080" w:type="dxa"/>
            <w:vAlign w:val="bottom"/>
            <w:gridSpan w:val="2"/>
          </w:tcPr>
          <w:p>
            <w:pPr>
              <w:jc w:val="center"/>
              <w:spacing w:after="0" w:line="176" w:lineRule="exact"/>
              <w:rPr>
                <w:sz w:val="20"/>
                <w:szCs w:val="20"/>
                <w:color w:val="auto"/>
              </w:rPr>
            </w:pPr>
            <w:r>
              <w:rPr>
                <w:rFonts w:ascii="Arial" w:cs="Arial" w:eastAsia="Arial" w:hAnsi="Arial"/>
                <w:sz w:val="13"/>
                <w:szCs w:val="13"/>
                <w:b w:val="1"/>
                <w:bCs w:val="1"/>
                <w:color w:val="auto"/>
                <w:w w:val="91"/>
              </w:rPr>
              <w:t>(Losses)</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210"/>
        </w:trPr>
        <w:tc>
          <w:tcPr>
            <w:tcW w:w="2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AliphCom, Inc. (d/b/a Jawbone)</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(793,152)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(793,152)</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AlwaysOn, Inc.</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(1,903,414)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(1,903,414)</w:t>
            </w:r>
          </w:p>
        </w:tc>
        <w:tc>
          <w:tcPr>
            <w:tcW w:w="0" w:type="dxa"/>
            <w:vAlign w:val="bottom"/>
          </w:tcPr>
          <w:p>
            <w:pPr>
              <w:spacing w:after="0"/>
              <w:rPr>
                <w:sz w:val="1"/>
                <w:szCs w:val="1"/>
                <w:color w:val="auto"/>
              </w:rPr>
            </w:pPr>
          </w:p>
        </w:tc>
      </w:tr>
      <w:tr>
        <w:trPr>
          <w:trHeight w:val="202"/>
        </w:trPr>
        <w:tc>
          <w:tcPr>
            <w:tcW w:w="26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Beamreach Solar, Inc. (f/k/a</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gridSpan w:val="2"/>
          </w:tcPr>
          <w:p>
            <w:pPr>
              <w:ind w:left="200"/>
              <w:spacing w:after="0"/>
              <w:rPr>
                <w:sz w:val="20"/>
                <w:szCs w:val="20"/>
                <w:color w:val="auto"/>
              </w:rPr>
            </w:pPr>
            <w:r>
              <w:rPr>
                <w:rFonts w:ascii="Arial" w:cs="Arial" w:eastAsia="Arial" w:hAnsi="Arial"/>
                <w:sz w:val="18"/>
                <w:szCs w:val="18"/>
                <w:color w:val="auto"/>
              </w:rPr>
              <w:t>Solexel, Inc.)</w:t>
            </w:r>
          </w:p>
        </w:tc>
        <w:tc>
          <w:tcPr>
            <w:tcW w:w="14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(14,272,840)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(14,272,840)</w:t>
            </w:r>
          </w:p>
        </w:tc>
        <w:tc>
          <w:tcPr>
            <w:tcW w:w="0" w:type="dxa"/>
            <w:vAlign w:val="bottom"/>
          </w:tcPr>
          <w:p>
            <w:pPr>
              <w:spacing w:after="0"/>
              <w:rPr>
                <w:sz w:val="1"/>
                <w:szCs w:val="1"/>
                <w:color w:val="auto"/>
              </w:rPr>
            </w:pPr>
          </w:p>
        </w:tc>
      </w:tr>
      <w:tr>
        <w:trPr>
          <w:trHeight w:val="202"/>
        </w:trPr>
        <w:tc>
          <w:tcPr>
            <w:tcW w:w="26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Cricket Media (f/k/a ePals</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1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(2,448,959)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(2,448,959)</w:t>
            </w:r>
          </w:p>
        </w:tc>
        <w:tc>
          <w:tcPr>
            <w:tcW w:w="0" w:type="dxa"/>
            <w:vAlign w:val="bottom"/>
          </w:tcPr>
          <w:p>
            <w:pPr>
              <w:spacing w:after="0"/>
              <w:rPr>
                <w:sz w:val="1"/>
                <w:szCs w:val="1"/>
                <w:color w:val="auto"/>
              </w:rPr>
            </w:pPr>
          </w:p>
        </w:tc>
      </w:tr>
      <w:tr>
        <w:trPr>
          <w:trHeight w:val="216"/>
        </w:trPr>
        <w:tc>
          <w:tcPr>
            <w:tcW w:w="2600" w:type="dxa"/>
            <w:vAlign w:val="bottom"/>
            <w:gridSpan w:val="2"/>
          </w:tcPr>
          <w:p>
            <w:pPr>
              <w:ind w:left="20"/>
              <w:spacing w:after="0"/>
              <w:rPr>
                <w:sz w:val="20"/>
                <w:szCs w:val="20"/>
                <w:color w:val="auto"/>
              </w:rPr>
            </w:pPr>
            <w:r>
              <w:rPr>
                <w:rFonts w:ascii="Arial" w:cs="Arial" w:eastAsia="Arial" w:hAnsi="Arial"/>
                <w:sz w:val="18"/>
                <w:szCs w:val="18"/>
                <w:color w:val="auto"/>
              </w:rPr>
              <w:t>EarlyShares.com, Inc.</w:t>
            </w:r>
          </w:p>
        </w:tc>
        <w:tc>
          <w:tcPr>
            <w:tcW w:w="14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(312,438)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(312,438)</w:t>
            </w:r>
          </w:p>
        </w:tc>
        <w:tc>
          <w:tcPr>
            <w:tcW w:w="0" w:type="dxa"/>
            <w:vAlign w:val="bottom"/>
          </w:tcPr>
          <w:p>
            <w:pPr>
              <w:spacing w:after="0"/>
              <w:rPr>
                <w:sz w:val="1"/>
                <w:szCs w:val="1"/>
                <w:color w:val="auto"/>
              </w:rPr>
            </w:pPr>
          </w:p>
        </w:tc>
      </w:tr>
      <w:tr>
        <w:trPr>
          <w:trHeight w:val="202"/>
        </w:trPr>
        <w:tc>
          <w:tcPr>
            <w:tcW w:w="26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Orchestra One, Inc. (f/k/a</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Learnist, Inc.)</w:t>
            </w:r>
          </w:p>
        </w:tc>
        <w:tc>
          <w:tcPr>
            <w:tcW w:w="1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(4,959,614)</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(4,959,614)</w:t>
            </w:r>
          </w:p>
        </w:tc>
        <w:tc>
          <w:tcPr>
            <w:tcW w:w="0" w:type="dxa"/>
            <w:vAlign w:val="bottom"/>
          </w:tcPr>
          <w:p>
            <w:pPr>
              <w:spacing w:after="0"/>
              <w:rPr>
                <w:sz w:val="1"/>
                <w:szCs w:val="1"/>
                <w:color w:val="auto"/>
              </w:rPr>
            </w:pPr>
          </w:p>
        </w:tc>
      </w:tr>
      <w:tr>
        <w:trPr>
          <w:trHeight w:val="202"/>
        </w:trPr>
        <w:tc>
          <w:tcPr>
            <w:tcW w:w="26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Global Education Learning</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gridSpan w:val="2"/>
          </w:tcPr>
          <w:p>
            <w:pPr>
              <w:ind w:left="200"/>
              <w:spacing w:after="0"/>
              <w:rPr>
                <w:sz w:val="20"/>
                <w:szCs w:val="20"/>
                <w:color w:val="auto"/>
              </w:rPr>
            </w:pPr>
            <w:r>
              <w:rPr>
                <w:rFonts w:ascii="Arial" w:cs="Arial" w:eastAsia="Arial" w:hAnsi="Arial"/>
                <w:sz w:val="18"/>
                <w:szCs w:val="18"/>
                <w:color w:val="auto"/>
              </w:rPr>
              <w:t>(Holdings) Ltd.</w:t>
            </w:r>
          </w:p>
        </w:tc>
        <w:tc>
          <w:tcPr>
            <w:tcW w:w="140" w:type="dxa"/>
            <w:vAlign w:val="bottom"/>
          </w:tcPr>
          <w:p>
            <w:pPr>
              <w:spacing w:after="0"/>
              <w:rPr>
                <w:sz w:val="20"/>
                <w:szCs w:val="20"/>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(675,495)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(675,495)</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(24,690,417)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u w:val="single" w:color="auto"/>
                <w:color w:val="auto"/>
                <w:w w:val="9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(675,495)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(25,365,912)</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tables below summarize the portfolio investments we sold during the six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17144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4"/>
                <w:szCs w:val="14"/>
                <w:color w:val="auto"/>
              </w:rPr>
            </w:pPr>
          </w:p>
        </w:tc>
        <w:tc>
          <w:tcPr>
            <w:tcW w:w="19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rPr>
              <w:t>June 30, 2016</w:t>
            </w:r>
          </w:p>
        </w:tc>
        <w:tc>
          <w:tcPr>
            <w:tcW w:w="100" w:type="dxa"/>
            <w:vAlign w:val="bottom"/>
          </w:tcPr>
          <w:p>
            <w:pPr>
              <w:spacing w:after="0"/>
              <w:rPr>
                <w:sz w:val="14"/>
                <w:szCs w:val="14"/>
                <w:color w:val="auto"/>
              </w:rPr>
            </w:pPr>
          </w:p>
        </w:tc>
        <w:tc>
          <w:tcPr>
            <w:tcW w:w="198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Realized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Realized</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Realized</w:t>
            </w:r>
          </w:p>
        </w:tc>
        <w:tc>
          <w:tcPr>
            <w:tcW w:w="0" w:type="dxa"/>
            <w:vAlign w:val="bottom"/>
          </w:tcPr>
          <w:p>
            <w:pPr>
              <w:spacing w:after="0"/>
              <w:rPr>
                <w:sz w:val="1"/>
                <w:szCs w:val="1"/>
                <w:color w:val="auto"/>
              </w:rPr>
            </w:pPr>
          </w:p>
        </w:tc>
      </w:tr>
      <w:tr>
        <w:trPr>
          <w:trHeight w:val="185"/>
        </w:trPr>
        <w:tc>
          <w:tcPr>
            <w:tcW w:w="22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Gains/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Gains/</w:t>
            </w: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Gains/</w:t>
            </w:r>
          </w:p>
        </w:tc>
        <w:tc>
          <w:tcPr>
            <w:tcW w:w="0" w:type="dxa"/>
            <w:vAlign w:val="bottom"/>
          </w:tcPr>
          <w:p>
            <w:pPr>
              <w:spacing w:after="0"/>
              <w:rPr>
                <w:sz w:val="1"/>
                <w:szCs w:val="1"/>
                <w:color w:val="auto"/>
              </w:rPr>
            </w:pPr>
          </w:p>
        </w:tc>
      </w:tr>
      <w:tr>
        <w:trPr>
          <w:trHeight w:val="176"/>
        </w:trPr>
        <w:tc>
          <w:tcPr>
            <w:tcW w:w="2220" w:type="dxa"/>
            <w:vAlign w:val="bottom"/>
            <w:gridSpan w:val="4"/>
            <w:vMerge w:val="continue"/>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Proceeds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(Losses)</w:t>
            </w:r>
            <w:r>
              <w:rPr>
                <w:rFonts w:ascii="Arial" w:cs="Arial" w:eastAsia="Arial" w:hAnsi="Arial"/>
                <w:sz w:val="20"/>
                <w:szCs w:val="20"/>
                <w:b w:val="1"/>
                <w:bCs w:val="1"/>
                <w:color w:val="auto"/>
                <w:w w:val="91"/>
                <w:vertAlign w:val="superscript"/>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Proceeds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(Losses)</w:t>
            </w:r>
            <w:r>
              <w:rPr>
                <w:rFonts w:ascii="Arial" w:cs="Arial" w:eastAsia="Arial" w:hAnsi="Arial"/>
                <w:sz w:val="20"/>
                <w:szCs w:val="20"/>
                <w:b w:val="1"/>
                <w:bCs w:val="1"/>
                <w:color w:val="auto"/>
                <w:w w:val="91"/>
                <w:vertAlign w:val="superscript"/>
              </w:rPr>
              <w:t>(1)</w:t>
            </w:r>
          </w:p>
        </w:tc>
        <w:tc>
          <w:tcPr>
            <w:tcW w:w="10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Proceeds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(Losses)</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195"/>
        </w:trPr>
        <w:tc>
          <w:tcPr>
            <w:tcW w:w="212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Bloom Energy</w:t>
            </w:r>
          </w:p>
        </w:tc>
        <w:tc>
          <w:tcPr>
            <w:tcW w:w="1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gridSpan w:val="3"/>
          </w:tcPr>
          <w:p>
            <w:pPr>
              <w:ind w:left="180"/>
              <w:spacing w:after="0"/>
              <w:rPr>
                <w:sz w:val="20"/>
                <w:szCs w:val="20"/>
                <w:color w:val="auto"/>
              </w:rPr>
            </w:pPr>
            <w:r>
              <w:rPr>
                <w:rFonts w:ascii="Arial" w:cs="Arial" w:eastAsia="Arial" w:hAnsi="Arial"/>
                <w:sz w:val="18"/>
                <w:szCs w:val="18"/>
                <w:color w:val="auto"/>
              </w:rPr>
              <w:t>Corporation</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$2,973,437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(882,162)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$2,973,437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(882,162)</w:t>
            </w:r>
          </w:p>
        </w:tc>
        <w:tc>
          <w:tcPr>
            <w:tcW w:w="0" w:type="dxa"/>
            <w:vAlign w:val="bottom"/>
          </w:tcPr>
          <w:p>
            <w:pPr>
              <w:spacing w:after="0"/>
              <w:rPr>
                <w:sz w:val="1"/>
                <w:szCs w:val="1"/>
                <w:color w:val="auto"/>
              </w:rPr>
            </w:pPr>
          </w:p>
        </w:tc>
      </w:tr>
      <w:tr>
        <w:trPr>
          <w:trHeight w:val="257"/>
        </w:trPr>
        <w:tc>
          <w:tcPr>
            <w:tcW w:w="2220" w:type="dxa"/>
            <w:vAlign w:val="bottom"/>
            <w:gridSpan w:val="4"/>
            <w:shd w:val="clear" w:color="auto" w:fill="CCEEFF"/>
          </w:tcPr>
          <w:p>
            <w:pPr>
              <w:ind w:left="20"/>
              <w:spacing w:after="0" w:line="256" w:lineRule="exact"/>
              <w:rPr>
                <w:sz w:val="20"/>
                <w:szCs w:val="20"/>
                <w:color w:val="auto"/>
              </w:rPr>
            </w:pPr>
            <w:r>
              <w:rPr>
                <w:rFonts w:ascii="Arial" w:cs="Arial" w:eastAsia="Arial" w:hAnsi="Arial"/>
                <w:sz w:val="18"/>
                <w:szCs w:val="18"/>
                <w:color w:val="auto"/>
                <w:w w:val="94"/>
              </w:rPr>
              <w:t>Gilt Groupe Holdings, Inc.</w:t>
            </w:r>
            <w:r>
              <w:rPr>
                <w:rFonts w:ascii="Arial" w:cs="Arial" w:eastAsia="Arial" w:hAnsi="Arial"/>
                <w:sz w:val="29"/>
                <w:szCs w:val="29"/>
                <w:color w:val="auto"/>
                <w:w w:val="94"/>
                <w:vertAlign w:val="superscript"/>
              </w:rPr>
              <w:t>(2)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427,270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(6,167,164)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427,270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(6,167,164)</w:t>
            </w:r>
          </w:p>
        </w:tc>
        <w:tc>
          <w:tcPr>
            <w:tcW w:w="0" w:type="dxa"/>
            <w:vAlign w:val="bottom"/>
          </w:tcPr>
          <w:p>
            <w:pPr>
              <w:spacing w:after="0"/>
              <w:rPr>
                <w:sz w:val="1"/>
                <w:szCs w:val="1"/>
                <w:color w:val="auto"/>
              </w:rPr>
            </w:pPr>
          </w:p>
        </w:tc>
      </w:tr>
      <w:tr>
        <w:trPr>
          <w:trHeight w:val="216"/>
        </w:trPr>
        <w:tc>
          <w:tcPr>
            <w:tcW w:w="2220" w:type="dxa"/>
            <w:vAlign w:val="bottom"/>
            <w:gridSpan w:val="4"/>
          </w:tcPr>
          <w:p>
            <w:pPr>
              <w:ind w:left="20"/>
              <w:spacing w:after="0"/>
              <w:rPr>
                <w:sz w:val="20"/>
                <w:szCs w:val="20"/>
                <w:color w:val="auto"/>
              </w:rPr>
            </w:pPr>
            <w:r>
              <w:rPr>
                <w:rFonts w:ascii="Arial" w:cs="Arial" w:eastAsia="Arial" w:hAnsi="Arial"/>
                <w:sz w:val="18"/>
                <w:szCs w:val="18"/>
                <w:color w:val="auto"/>
              </w:rPr>
              <w:t>Lyft, Inc.</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1,638,925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974,224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1,932,965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1,104,244</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3,571,890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2,078,468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5,039,632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(6,075,102)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1,932,965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1,104,244</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6,972,597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(4,970,858)</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Realized gains/(losses) exclude any realized gains/(losses) incurred on the maturity of our treasury investments.</w:t>
      </w:r>
    </w:p>
    <w:p>
      <w:pPr>
        <w:spacing w:after="0" w:line="128" w:lineRule="exact"/>
        <w:rPr>
          <w:rFonts w:ascii="Arial" w:cs="Arial" w:eastAsia="Arial" w:hAnsi="Arial"/>
          <w:sz w:val="17"/>
          <w:szCs w:val="17"/>
          <w:color w:val="auto"/>
        </w:rPr>
      </w:pPr>
    </w:p>
    <w:p>
      <w:pPr>
        <w:ind w:left="300" w:right="1019" w:hanging="272"/>
        <w:spacing w:after="0" w:line="277" w:lineRule="auto"/>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January 2016, Gilt Groupe Holdings, Inc. sold for $250 million to Hudson’s Bay Co., the parent company of Saks Fifth Avenue.</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1" w:name="page52"/>
    <w:bookmarkEnd w:id="5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right"/>
        <w:ind w:left="60" w:right="3639"/>
        <w:spacing w:after="0" w:line="523" w:lineRule="auto"/>
        <w:rPr>
          <w:sz w:val="20"/>
          <w:szCs w:val="20"/>
          <w:color w:val="auto"/>
        </w:rPr>
      </w:pPr>
      <w:r>
        <w:rPr>
          <w:rFonts w:ascii="Arial" w:cs="Arial" w:eastAsia="Arial" w:hAnsi="Arial"/>
          <w:sz w:val="15"/>
          <w:szCs w:val="15"/>
          <w:b w:val="1"/>
          <w:bCs w:val="1"/>
          <w:color w:val="auto"/>
        </w:rPr>
        <w:t xml:space="preserve">Results of Operations — </w:t>
      </w:r>
      <w:r>
        <w:rPr>
          <w:rFonts w:ascii="Arial" w:cs="Arial" w:eastAsia="Arial" w:hAnsi="Arial"/>
          <w:sz w:val="15"/>
          <w:szCs w:val="15"/>
          <w:b w:val="1"/>
          <w:bCs w:val="1"/>
          <w:i w:val="1"/>
          <w:iCs w:val="1"/>
          <w:color w:val="auto"/>
        </w:rPr>
        <w:t>For the three and six months ended June 30, 2017 and 2016</w:t>
      </w:r>
      <w:r>
        <w:rPr>
          <w:rFonts w:ascii="Arial" w:cs="Arial" w:eastAsia="Arial" w:hAnsi="Arial"/>
          <w:sz w:val="15"/>
          <w:szCs w:val="15"/>
          <w:b w:val="1"/>
          <w:bCs w:val="1"/>
          <w:color w:val="auto"/>
        </w:rPr>
        <w:t xml:space="preserve"> </w:t>
      </w:r>
      <w:r>
        <w:rPr>
          <w:rFonts w:ascii="Arial" w:cs="Arial" w:eastAsia="Arial" w:hAnsi="Arial"/>
          <w:sz w:val="15"/>
          <w:szCs w:val="15"/>
          <w:color w:val="auto"/>
        </w:rPr>
        <w:t>Operating results for the three months ended June 30, 2017 and 2016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-96520</wp:posOffset>
            </wp:positionV>
            <wp:extent cx="52139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rPr>
              <w:t>June 30, 2017</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w w:val="90"/>
              </w:rPr>
              <w:t>Per Basic</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90"/>
              </w:rPr>
              <w:t>Per Basic</w:t>
            </w:r>
          </w:p>
        </w:tc>
        <w:tc>
          <w:tcPr>
            <w:tcW w:w="0" w:type="dxa"/>
            <w:vAlign w:val="bottom"/>
          </w:tcPr>
          <w:p>
            <w:pPr>
              <w:spacing w:after="0"/>
              <w:rPr>
                <w:sz w:val="1"/>
                <w:szCs w:val="1"/>
                <w:color w:val="auto"/>
              </w:rPr>
            </w:pPr>
          </w:p>
        </w:tc>
      </w:tr>
      <w:tr>
        <w:trPr>
          <w:trHeight w:val="202"/>
        </w:trPr>
        <w:tc>
          <w:tcPr>
            <w:tcW w:w="42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140"/>
              <w:spacing w:after="0" w:line="202" w:lineRule="exact"/>
              <w:rPr>
                <w:sz w:val="20"/>
                <w:szCs w:val="20"/>
                <w:color w:val="auto"/>
              </w:rPr>
            </w:pPr>
            <w:r>
              <w:rPr>
                <w:rFonts w:ascii="Arial" w:cs="Arial" w:eastAsia="Arial" w:hAnsi="Arial"/>
                <w:sz w:val="14"/>
                <w:szCs w:val="14"/>
                <w:b w:val="1"/>
                <w:bCs w:val="1"/>
                <w:color w:val="auto"/>
                <w:w w:val="90"/>
              </w:rPr>
              <w:t>Share</w:t>
            </w:r>
            <w:r>
              <w:rPr>
                <w:rFonts w:ascii="Arial" w:cs="Arial" w:eastAsia="Arial" w:hAnsi="Arial"/>
                <w:sz w:val="23"/>
                <w:szCs w:val="23"/>
                <w:b w:val="1"/>
                <w:bCs w:val="1"/>
                <w:color w:val="auto"/>
                <w:w w:val="90"/>
                <w:vertAlign w:val="superscript"/>
              </w:rPr>
              <w:t>(1)</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160"/>
              <w:spacing w:after="0" w:line="202" w:lineRule="exact"/>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10"/>
        </w:trPr>
        <w:tc>
          <w:tcPr>
            <w:tcW w:w="428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370,593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0.02</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(54,119)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income/(reversal of interest accrual)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Dividend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3"/>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6,423,452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1,397,922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Management fee waiver</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(169,898)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428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w w:val="98"/>
              </w:rPr>
              <w:t>Total Operating Expenses (net of management fee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b w:val="1"/>
                <w:bCs w:val="1"/>
                <w:color w:val="auto"/>
              </w:rPr>
              <w:t>waiver)</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6,253,554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1,397,922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0.06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Management fees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1,359,180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1,740,223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Incentive fees/(reversal of incentive fees)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2,430,825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(2,907,224)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Costs incurred under administration agreement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698,692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Directors’ fees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73,063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86,250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388,375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1,155,060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1,184,326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207,716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207,280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investment loss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(5,882,961)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(1,452,041)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Net realized gain/(loss) on investments</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(671,492)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1,104,361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Net change in unrealized appreciation/(depreciation) of</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12,752,528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(15,933,886)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4260" w:type="dxa"/>
            <w:vAlign w:val="bottom"/>
            <w:tcBorders>
              <w:top w:val="single" w:sz="8" w:color="CCEEFF"/>
            </w:tcBorders>
            <w:gridSpan w:val="2"/>
          </w:tcPr>
          <w:p>
            <w:pPr>
              <w:ind w:left="180"/>
              <w:spacing w:after="0" w:line="195" w:lineRule="exact"/>
              <w:rPr>
                <w:sz w:val="20"/>
                <w:szCs w:val="20"/>
                <w:color w:val="auto"/>
              </w:rPr>
            </w:pPr>
            <w:r>
              <w:rPr>
                <w:rFonts w:ascii="Arial" w:cs="Arial" w:eastAsia="Arial" w:hAnsi="Arial"/>
                <w:sz w:val="18"/>
                <w:szCs w:val="18"/>
                <w:color w:val="auto"/>
                <w:w w:val="98"/>
              </w:rPr>
              <w:t>Net increase/(decrease) in net assets resulting from</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tcPr>
          <w:p>
            <w:pPr>
              <w:ind w:left="360"/>
              <w:spacing w:after="0"/>
              <w:rPr>
                <w:sz w:val="20"/>
                <w:szCs w:val="20"/>
                <w:color w:val="auto"/>
              </w:rPr>
            </w:pPr>
            <w:r>
              <w:rPr>
                <w:rFonts w:ascii="Arial" w:cs="Arial" w:eastAsia="Arial" w:hAnsi="Arial"/>
                <w:sz w:val="18"/>
                <w:szCs w:val="18"/>
                <w:color w:val="auto"/>
              </w:rPr>
              <w:t>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6,198,075</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28</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(16,281,566)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-496570</wp:posOffset>
            </wp:positionV>
            <wp:extent cx="5213985" cy="3175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13985" cy="317500"/>
                    </a:xfrm>
                    <a:prstGeom prst="rect">
                      <a:avLst/>
                    </a:prstGeom>
                    <a:noFill/>
                  </pic:spPr>
                </pic:pic>
              </a:graphicData>
            </a:graphic>
          </wp:anchor>
        </w:drawing>
      </w:r>
    </w:p>
    <w:p>
      <w:pPr>
        <w:spacing w:after="0" w:line="236" w:lineRule="exact"/>
        <w:rPr>
          <w:sz w:val="20"/>
          <w:szCs w:val="20"/>
          <w:color w:val="auto"/>
        </w:rPr>
      </w:pPr>
    </w:p>
    <w:p>
      <w:pPr>
        <w:ind w:left="300" w:right="839" w:hanging="272"/>
        <w:spacing w:after="0" w:line="277"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per-share figures noted are based on a weighted average of 22,181,003 basic common shares outstanding for each of the three months ended June 30, 2017 and 2016.</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2" w:name="page53"/>
    <w:bookmarkEnd w:id="5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results for the six months ended June 30, 2017 and 2016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rPr>
              <w:t>June 30, 2017</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w w:val="87"/>
              </w:rPr>
              <w:t>Per Basic</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90"/>
              </w:rPr>
              <w:t>Per Basic</w:t>
            </w:r>
          </w:p>
        </w:tc>
        <w:tc>
          <w:tcPr>
            <w:tcW w:w="0" w:type="dxa"/>
            <w:vAlign w:val="bottom"/>
          </w:tcPr>
          <w:p>
            <w:pPr>
              <w:spacing w:after="0"/>
              <w:rPr>
                <w:sz w:val="1"/>
                <w:szCs w:val="1"/>
                <w:color w:val="auto"/>
              </w:rPr>
            </w:pPr>
          </w:p>
        </w:tc>
      </w:tr>
      <w:tr>
        <w:trPr>
          <w:trHeight w:val="202"/>
        </w:trPr>
        <w:tc>
          <w:tcPr>
            <w:tcW w:w="42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4"/>
                <w:szCs w:val="14"/>
                <w:b w:val="1"/>
                <w:bCs w:val="1"/>
                <w:color w:val="auto"/>
                <w:w w:val="90"/>
              </w:rPr>
              <w:t>Share</w:t>
            </w:r>
            <w:r>
              <w:rPr>
                <w:rFonts w:ascii="Arial" w:cs="Arial" w:eastAsia="Arial" w:hAnsi="Arial"/>
                <w:sz w:val="23"/>
                <w:szCs w:val="23"/>
                <w:b w:val="1"/>
                <w:bCs w:val="1"/>
                <w:color w:val="auto"/>
                <w:w w:val="90"/>
                <w:vertAlign w:val="superscript"/>
              </w:rPr>
              <w:t>(1)</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160"/>
              <w:spacing w:after="0" w:line="202" w:lineRule="exact"/>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10"/>
        </w:trPr>
        <w:tc>
          <w:tcPr>
            <w:tcW w:w="426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709,052</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48,533</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335,956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Arial" w:cs="Arial" w:eastAsia="Arial" w:hAnsi="Arial"/>
                <w:sz w:val="18"/>
                <w:szCs w:val="18"/>
                <w:color w:val="auto"/>
              </w:rPr>
              <w:t>Dividend income</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300,000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11,751,925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953,567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Management fee waiver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(351,700)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426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w w:val="98"/>
              </w:rPr>
              <w:t>Total Operating Expenses (net of management fee</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gridSpan w:val="2"/>
          </w:tcPr>
          <w:p>
            <w:pPr>
              <w:ind w:left="180"/>
              <w:spacing w:after="0"/>
              <w:rPr>
                <w:sz w:val="20"/>
                <w:szCs w:val="20"/>
                <w:color w:val="auto"/>
              </w:rPr>
            </w:pPr>
            <w:r>
              <w:rPr>
                <w:rFonts w:ascii="Arial" w:cs="Arial" w:eastAsia="Arial" w:hAnsi="Arial"/>
                <w:sz w:val="18"/>
                <w:szCs w:val="18"/>
                <w:b w:val="1"/>
                <w:bCs w:val="1"/>
                <w:color w:val="auto"/>
              </w:rPr>
              <w:t>waiver)</w:t>
            </w: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3"/>
              </w:rPr>
              <w:t>11,400,225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0.51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953,567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0.04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Management fees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2,813,600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3,698,223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Arial" w:cs="Arial" w:eastAsia="Arial" w:hAnsi="Arial"/>
                <w:sz w:val="18"/>
                <w:szCs w:val="18"/>
                <w:color w:val="auto"/>
              </w:rPr>
              <w:t>Incentive fees/(reversal of incentive fee accrual)</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4,148,133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(8,025,808)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Costs incurred under administration agreement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980,594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1,298,642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Arial" w:cs="Arial" w:eastAsia="Arial" w:hAnsi="Arial"/>
                <w:sz w:val="18"/>
                <w:szCs w:val="18"/>
                <w:color w:val="auto"/>
              </w:rPr>
              <w:t>Directors’ fees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155,980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172,500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964,998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1,025,503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2,281,833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2,367,489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360,297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417,018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investment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(10,691,173)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(905,034)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Arial" w:cs="Arial" w:eastAsia="Arial" w:hAnsi="Arial"/>
                <w:sz w:val="18"/>
                <w:szCs w:val="18"/>
                <w:color w:val="auto"/>
              </w:rPr>
              <w:t>Net realized loss on investments</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(25,360,659)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(4,970,709)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Net change in unrealized appreciation/(depreciation) of</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46,032,793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(35,354,887)</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4240" w:type="dxa"/>
            <w:vAlign w:val="bottom"/>
            <w:tcBorders>
              <w:top w:val="single" w:sz="8" w:color="CCEEFF"/>
            </w:tcBorders>
            <w:gridSpan w:val="2"/>
          </w:tcPr>
          <w:p>
            <w:pPr>
              <w:ind w:left="180"/>
              <w:spacing w:after="0" w:line="195" w:lineRule="exact"/>
              <w:rPr>
                <w:sz w:val="20"/>
                <w:szCs w:val="20"/>
                <w:color w:val="auto"/>
              </w:rPr>
            </w:pPr>
            <w:r>
              <w:rPr>
                <w:rFonts w:ascii="Arial" w:cs="Arial" w:eastAsia="Arial" w:hAnsi="Arial"/>
                <w:sz w:val="18"/>
                <w:szCs w:val="18"/>
                <w:color w:val="auto"/>
                <w:w w:val="94"/>
              </w:rPr>
              <w:t>Net Increase/(Decrease) in Net Assets Resulting from</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ind w:left="360"/>
              <w:spacing w:after="0"/>
              <w:rPr>
                <w:sz w:val="20"/>
                <w:szCs w:val="20"/>
                <w:color w:val="auto"/>
              </w:rPr>
            </w:pPr>
            <w:r>
              <w:rPr>
                <w:rFonts w:ascii="Arial" w:cs="Arial" w:eastAsia="Arial" w:hAnsi="Arial"/>
                <w:sz w:val="18"/>
                <w:szCs w:val="18"/>
                <w:color w:val="auto"/>
              </w:rPr>
              <w:t>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9,980,961</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45</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(41,230,630)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-496570</wp:posOffset>
            </wp:positionV>
            <wp:extent cx="5213985" cy="3175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13985" cy="317500"/>
                    </a:xfrm>
                    <a:prstGeom prst="rect">
                      <a:avLst/>
                    </a:prstGeom>
                    <a:noFill/>
                  </pic:spPr>
                </pic:pic>
              </a:graphicData>
            </a:graphic>
          </wp:anchor>
        </w:drawing>
      </w:r>
    </w:p>
    <w:p>
      <w:pPr>
        <w:spacing w:after="0" w:line="236" w:lineRule="exact"/>
        <w:rPr>
          <w:sz w:val="20"/>
          <w:szCs w:val="20"/>
          <w:color w:val="auto"/>
        </w:rPr>
      </w:pPr>
    </w:p>
    <w:p>
      <w:pPr>
        <w:ind w:left="300" w:right="639" w:hanging="272"/>
        <w:spacing w:after="0" w:line="277" w:lineRule="auto"/>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per-share figures are based on weighted averages of 22,181,003 shares of basic common shares outstanding for each of the six months ended June 30, 2017 and 2016.</w:t>
      </w:r>
    </w:p>
    <w:p>
      <w:pPr>
        <w:spacing w:after="0" w:line="103" w:lineRule="exact"/>
        <w:rPr>
          <w:sz w:val="20"/>
          <w:szCs w:val="20"/>
          <w:color w:val="auto"/>
        </w:rPr>
      </w:pPr>
    </w:p>
    <w:p>
      <w:pPr>
        <w:ind w:left="60" w:right="4739"/>
        <w:spacing w:after="0" w:line="391" w:lineRule="auto"/>
        <w:rPr>
          <w:sz w:val="20"/>
          <w:szCs w:val="20"/>
          <w:color w:val="auto"/>
        </w:rPr>
      </w:pPr>
      <w:r>
        <w:rPr>
          <w:rFonts w:ascii="Arial" w:cs="Arial" w:eastAsia="Arial" w:hAnsi="Arial"/>
          <w:sz w:val="18"/>
          <w:szCs w:val="18"/>
          <w:b w:val="1"/>
          <w:bCs w:val="1"/>
          <w:i w:val="1"/>
          <w:iCs w:val="1"/>
          <w:color w:val="auto"/>
        </w:rPr>
        <w:t>Comparison of the three and six months ended June 30, 2017 and 2016 Investment Income</w:t>
      </w:r>
    </w:p>
    <w:p>
      <w:pPr>
        <w:spacing w:after="0" w:line="1" w:lineRule="exact"/>
        <w:rPr>
          <w:sz w:val="20"/>
          <w:szCs w:val="20"/>
          <w:color w:val="auto"/>
        </w:rPr>
      </w:pPr>
    </w:p>
    <w:p>
      <w:pPr>
        <w:ind w:left="60" w:right="599" w:firstLine="270"/>
        <w:spacing w:after="0" w:line="271" w:lineRule="auto"/>
        <w:rPr>
          <w:sz w:val="20"/>
          <w:szCs w:val="20"/>
          <w:color w:val="auto"/>
        </w:rPr>
      </w:pPr>
      <w:r>
        <w:rPr>
          <w:rFonts w:ascii="Arial" w:cs="Arial" w:eastAsia="Arial" w:hAnsi="Arial"/>
          <w:sz w:val="17"/>
          <w:szCs w:val="17"/>
          <w:color w:val="auto"/>
        </w:rPr>
        <w:t>Investment income increased during the three months ended June 30, 2017, as compared to the three months ended June 30, 2016. The increase was primarily due to increased interest income and, to a lesser extent, increased dividend income. The increase in interest income resulted from our acquisition of additional interest-bearing debt investments during the three months ended June 30, 2017. As of June 30, 2017, the cost of our debt investments increased to $8,565,822 from $6,179,807 as of June 30, 2016, which allowed us to earn additional interest income on our portfolio investments. The increase in dividend income resulted from a $125,000 dividend received from our investment in SPBRX, INC. (f/k/a GSV Sustainability Partners, Inc.). Additionally, we received $73,096 in proceeds from Gilt Groupe Holdings, Inc., an investment we previously held that was sold to Hudson’s Bay Co., the parent company of Saks Fifth Avenue, in January 2016.</w:t>
      </w:r>
    </w:p>
    <w:p>
      <w:pPr>
        <w:spacing w:after="0" w:line="71" w:lineRule="exact"/>
        <w:rPr>
          <w:sz w:val="20"/>
          <w:szCs w:val="20"/>
          <w:color w:val="auto"/>
        </w:rPr>
      </w:pPr>
    </w:p>
    <w:p>
      <w:pPr>
        <w:ind w:left="60" w:right="539" w:firstLine="270"/>
        <w:spacing w:after="0" w:line="293" w:lineRule="auto"/>
        <w:rPr>
          <w:sz w:val="20"/>
          <w:szCs w:val="20"/>
          <w:color w:val="auto"/>
        </w:rPr>
      </w:pPr>
      <w:r>
        <w:rPr>
          <w:rFonts w:ascii="Arial" w:cs="Arial" w:eastAsia="Arial" w:hAnsi="Arial"/>
          <w:sz w:val="16"/>
          <w:szCs w:val="16"/>
          <w:color w:val="auto"/>
        </w:rPr>
        <w:t>Investment income also increased during the six months ended June 30, 2017, as compare to the six months ended June 30, 2016. The increase was primarily due to increased interest income and increased dividend income. The increase in interest income resulted from our acquisition of additional interest-bearing debt investments during the six months ended June 30, 2017, which allowed us to earn additional interest income on our portfolio investments. The increase in dividend income resulted from $300,000 of dividends received from our investment in SPBRX, INC. (f/k/a GSV Sustainability Partners, Inc.) during the six months ended June 30, 2017. Additionally, we received $73,096 in proceeds from Gilt Groupe Holdings, Inc., as discussed above.</w:t>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Total operating expenses (net of the management fee waiver) increased to $6,253,554 for the three months ended June 30, 2017, as compared to $1,397,922 for the three months ended June 30, 2016, primarily due to a reversal of accrued incentive fees for the three months ended June 30, 2016, whereas we accrued incentive fees during the three months ended June 30, 2017. We accrued incentive fees during the three months ended June 30, 2017 as a result of the unrealized appreciation of our portfolio investments in the aggregate during the period. The increase in operating expenses during the three months ended June 30, 2017, as compared to the three months ended June 30, 2016, was also due, to a lesser extent, to an increase in professional fees period over period, which includes legal, valuation, audit and consulting fees. The increase in total operating expenses period over period was partially offset by lower management fees, resulting from lower average gross assets outstanding and GSV Asset Management’s voluntary 0.25% reduction to the base management fee payable under the Advisory Agreement, as well as a decrease in costs incurred under the Administration Agreement.</w:t>
      </w:r>
    </w:p>
    <w:p>
      <w:pPr>
        <w:spacing w:after="0" w:line="70" w:lineRule="exact"/>
        <w:rPr>
          <w:sz w:val="20"/>
          <w:szCs w:val="20"/>
          <w:color w:val="auto"/>
        </w:rPr>
      </w:pPr>
    </w:p>
    <w:p>
      <w:pPr>
        <w:ind w:left="40" w:right="599" w:firstLine="270"/>
        <w:spacing w:after="0" w:line="289" w:lineRule="auto"/>
        <w:rPr>
          <w:sz w:val="20"/>
          <w:szCs w:val="20"/>
          <w:color w:val="auto"/>
        </w:rPr>
      </w:pPr>
      <w:r>
        <w:rPr>
          <w:rFonts w:ascii="Arial" w:cs="Arial" w:eastAsia="Arial" w:hAnsi="Arial"/>
          <w:sz w:val="16"/>
          <w:szCs w:val="16"/>
          <w:color w:val="auto"/>
        </w:rPr>
        <w:t>Total operating expenses (net of the management fee waiver) increased to $11,400,225 for the six months ended June 30, 2017, as compared to $953,567 for the six months ended June 30, 2016, primarily due to a reversal of accrued incentive fees for the six months ended June 30, 2016, whereas we accrued incentive fees during the six months ended June 30, 2017. We accrued incentive fees during the six months ended June 30, 2017 as a result of the unrealized appreciation of our portfolio investments in the aggregate during the period. The increase in total operating expenses caused by the accrual of incentive fees during the six months ended June 30, 2017, as discussed above, was partially offset by lower management fees period over period, resulting from lower average gross assets outstanding and GSV Asset Management’s voluntary 0.25% reduction to the base management fee payable under the Advisory Agreement, as well as a decrease in costs incurred under the Administration Agreement and a decrease in professional fees period over period, which includes legal, valuation, audit and consulting fees.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Investment Loss</w:t>
      </w:r>
    </w:p>
    <w:p>
      <w:pPr>
        <w:spacing w:after="0" w:line="117"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For the three months ended June 30, 2017, we recognized a net investment loss of $5,882,961, compared to net investment loss of $1,452,041 for the three months ended June 30, 2016. The increase in net investment loss resulted primarily from the accrual of incentive fees during the three months ended June 30, 2017, as discussed above, partially offset by an increase in investment income.</w:t>
      </w:r>
    </w:p>
    <w:p>
      <w:pPr>
        <w:spacing w:after="0" w:line="79" w:lineRule="exact"/>
        <w:rPr>
          <w:sz w:val="20"/>
          <w:szCs w:val="20"/>
          <w:color w:val="auto"/>
        </w:rPr>
      </w:pPr>
    </w:p>
    <w:p>
      <w:pPr>
        <w:ind w:left="40" w:right="599" w:firstLine="270"/>
        <w:spacing w:after="0" w:line="312" w:lineRule="auto"/>
        <w:rPr>
          <w:sz w:val="20"/>
          <w:szCs w:val="20"/>
          <w:color w:val="auto"/>
        </w:rPr>
      </w:pPr>
      <w:r>
        <w:rPr>
          <w:rFonts w:ascii="Arial" w:cs="Arial" w:eastAsia="Arial" w:hAnsi="Arial"/>
          <w:sz w:val="16"/>
          <w:szCs w:val="16"/>
          <w:color w:val="auto"/>
        </w:rPr>
        <w:t>For the six months ended June 30, 2017, we recognized a net investment loss of $10,691,173, compared to net investment loss of $905,034 for the six months ended June 30, 2016. The increase in net investment loss resulted primarily from the accrual of incentive fees during the six months ended June 30, 2017, as discussed above, partially offset by an increase in investment income.</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Realized Gain/Loss on Investments</w:t>
      </w:r>
    </w:p>
    <w:p>
      <w:pPr>
        <w:spacing w:after="0" w:line="117" w:lineRule="exact"/>
        <w:rPr>
          <w:sz w:val="20"/>
          <w:szCs w:val="20"/>
          <w:color w:val="auto"/>
        </w:rPr>
      </w:pPr>
    </w:p>
    <w:p>
      <w:pPr>
        <w:jc w:val="both"/>
        <w:ind w:left="40" w:right="799" w:firstLine="270"/>
        <w:spacing w:after="0" w:line="312" w:lineRule="auto"/>
        <w:rPr>
          <w:sz w:val="20"/>
          <w:szCs w:val="20"/>
          <w:color w:val="auto"/>
        </w:rPr>
      </w:pPr>
      <w:r>
        <w:rPr>
          <w:rFonts w:ascii="Arial" w:cs="Arial" w:eastAsia="Arial" w:hAnsi="Arial"/>
          <w:sz w:val="16"/>
          <w:szCs w:val="16"/>
          <w:color w:val="auto"/>
        </w:rPr>
        <w:t>For the three months ended June 30, 2017, we recognized net realized losses of $671,492, compared to net realized gains of $1,104,361 for the three months ended June 30, 2016. The components of our net realized gains/losses on portfolio investments, excluding treasury investments, are reflected above, under “— Overview — Investments — (Portfolio Activity).”</w:t>
      </w:r>
    </w:p>
    <w:p>
      <w:pPr>
        <w:spacing w:after="0" w:line="39" w:lineRule="exact"/>
        <w:rPr>
          <w:sz w:val="20"/>
          <w:szCs w:val="20"/>
          <w:color w:val="auto"/>
        </w:rPr>
      </w:pPr>
    </w:p>
    <w:p>
      <w:pPr>
        <w:ind w:left="40" w:right="619" w:firstLine="270"/>
        <w:spacing w:after="0" w:line="286" w:lineRule="auto"/>
        <w:rPr>
          <w:sz w:val="20"/>
          <w:szCs w:val="20"/>
          <w:color w:val="auto"/>
        </w:rPr>
      </w:pPr>
      <w:r>
        <w:rPr>
          <w:rFonts w:ascii="Arial" w:cs="Arial" w:eastAsia="Arial" w:hAnsi="Arial"/>
          <w:sz w:val="17"/>
          <w:szCs w:val="17"/>
          <w:color w:val="auto"/>
        </w:rPr>
        <w:t>For the six months ended June 30, 2017, we recognized net realized losses of $25,360,659, compared to net realized losses of $4,970,709 for the six months ended June 30, 2016. The components of our net realized losses on portfolio investments, excluding treasury investments, are reflected above, under “— Overview — Investments — (Portfolio Activity).”</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4" w:name="page55"/>
    <w:bookmarkEnd w:id="5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Change in Unrealized Appreciation/(Depreciation) of Investments</w:t>
      </w:r>
    </w:p>
    <w:p>
      <w:pPr>
        <w:spacing w:after="0" w:line="117" w:lineRule="exact"/>
        <w:rPr>
          <w:sz w:val="20"/>
          <w:szCs w:val="20"/>
          <w:color w:val="auto"/>
        </w:rPr>
      </w:pPr>
    </w:p>
    <w:p>
      <w:pPr>
        <w:jc w:val="both"/>
        <w:ind w:left="60" w:right="559" w:firstLine="270"/>
        <w:spacing w:after="0" w:line="259" w:lineRule="auto"/>
        <w:rPr>
          <w:sz w:val="20"/>
          <w:szCs w:val="20"/>
          <w:color w:val="auto"/>
        </w:rPr>
      </w:pPr>
      <w:r>
        <w:rPr>
          <w:rFonts w:ascii="Arial" w:cs="Arial" w:eastAsia="Arial" w:hAnsi="Arial"/>
          <w:sz w:val="18"/>
          <w:szCs w:val="18"/>
          <w:color w:val="auto"/>
        </w:rPr>
        <w:t>For the three months ended June 30, 2017, we had a net change in unrealized appreciation of $12,752,528. For the three months ended June 30, 2016, we had a net change in unrealized depreciation of $15,933,886. The following tables summarize, by portfolio company, the significant changes in unrealized appreciation/(depreciation) of our investment portfolio for each of the three months ended June 30,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47510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three months</w:t>
            </w:r>
          </w:p>
        </w:tc>
        <w:tc>
          <w:tcPr>
            <w:tcW w:w="0" w:type="dxa"/>
            <w:vAlign w:val="bottom"/>
          </w:tcPr>
          <w:p>
            <w:pPr>
              <w:spacing w:after="0"/>
              <w:rPr>
                <w:sz w:val="1"/>
                <w:szCs w:val="1"/>
                <w:color w:val="auto"/>
              </w:rPr>
            </w:pPr>
          </w:p>
        </w:tc>
      </w:tr>
      <w:tr>
        <w:trPr>
          <w:trHeight w:val="149"/>
        </w:trPr>
        <w:tc>
          <w:tcPr>
            <w:tcW w:w="61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71"/>
        </w:trPr>
        <w:tc>
          <w:tcPr>
            <w:tcW w:w="614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June 30, 2017</w:t>
            </w:r>
          </w:p>
        </w:tc>
        <w:tc>
          <w:tcPr>
            <w:tcW w:w="0" w:type="dxa"/>
            <w:vAlign w:val="bottom"/>
          </w:tcPr>
          <w:p>
            <w:pPr>
              <w:spacing w:after="0"/>
              <w:rPr>
                <w:sz w:val="1"/>
                <w:szCs w:val="1"/>
                <w:color w:val="auto"/>
              </w:rPr>
            </w:pPr>
          </w:p>
        </w:tc>
      </w:tr>
      <w:tr>
        <w:trPr>
          <w:trHeight w:val="210"/>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Spotify Technology S.A.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7,426,444</w:t>
            </w:r>
          </w:p>
        </w:tc>
        <w:tc>
          <w:tcPr>
            <w:tcW w:w="0" w:type="dxa"/>
            <w:vAlign w:val="bottom"/>
          </w:tcPr>
          <w:p>
            <w:pPr>
              <w:spacing w:after="0"/>
              <w:rPr>
                <w:sz w:val="1"/>
                <w:szCs w:val="1"/>
                <w:color w:val="auto"/>
              </w:rPr>
            </w:pPr>
          </w:p>
        </w:tc>
      </w:tr>
      <w:tr>
        <w:trPr>
          <w:trHeight w:val="216"/>
        </w:trPr>
        <w:tc>
          <w:tcPr>
            <w:tcW w:w="6140" w:type="dxa"/>
            <w:vAlign w:val="bottom"/>
            <w:gridSpan w:val="4"/>
          </w:tcPr>
          <w:p>
            <w:pPr>
              <w:ind w:left="20"/>
              <w:spacing w:after="0"/>
              <w:rPr>
                <w:sz w:val="20"/>
                <w:szCs w:val="20"/>
                <w:color w:val="auto"/>
              </w:rPr>
            </w:pPr>
            <w:r>
              <w:rPr>
                <w:rFonts w:ascii="Arial" w:cs="Arial" w:eastAsia="Arial" w:hAnsi="Arial"/>
                <w:sz w:val="18"/>
                <w:szCs w:val="18"/>
                <w:color w:val="auto"/>
              </w:rPr>
              <w:t>JAMF Holdings,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5,686,017</w:t>
            </w: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Chegg, Inc.</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4,553,750</w:t>
            </w:r>
          </w:p>
        </w:tc>
        <w:tc>
          <w:tcPr>
            <w:tcW w:w="0" w:type="dxa"/>
            <w:vAlign w:val="bottom"/>
          </w:tcPr>
          <w:p>
            <w:pPr>
              <w:spacing w:after="0"/>
              <w:rPr>
                <w:sz w:val="1"/>
                <w:szCs w:val="1"/>
                <w:color w:val="auto"/>
              </w:rPr>
            </w:pPr>
          </w:p>
        </w:tc>
      </w:tr>
      <w:tr>
        <w:trPr>
          <w:trHeight w:val="216"/>
        </w:trPr>
        <w:tc>
          <w:tcPr>
            <w:tcW w:w="6140" w:type="dxa"/>
            <w:vAlign w:val="bottom"/>
            <w:gridSpan w:val="4"/>
          </w:tcPr>
          <w:p>
            <w:pPr>
              <w:ind w:left="20"/>
              <w:spacing w:after="0"/>
              <w:rPr>
                <w:sz w:val="20"/>
                <w:szCs w:val="20"/>
                <w:color w:val="auto"/>
              </w:rPr>
            </w:pPr>
            <w:r>
              <w:rPr>
                <w:rFonts w:ascii="Arial" w:cs="Arial" w:eastAsia="Arial" w:hAnsi="Arial"/>
                <w:sz w:val="18"/>
                <w:szCs w:val="18"/>
                <w:color w:val="auto"/>
              </w:rPr>
              <w:t>Coursera,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3,853,586</w:t>
            </w: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Aspiration Partners, Inc.</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2,028,453</w:t>
            </w:r>
          </w:p>
        </w:tc>
        <w:tc>
          <w:tcPr>
            <w:tcW w:w="0" w:type="dxa"/>
            <w:vAlign w:val="bottom"/>
          </w:tcPr>
          <w:p>
            <w:pPr>
              <w:spacing w:after="0"/>
              <w:rPr>
                <w:sz w:val="1"/>
                <w:szCs w:val="1"/>
                <w:color w:val="auto"/>
              </w:rPr>
            </w:pPr>
          </w:p>
        </w:tc>
      </w:tr>
      <w:tr>
        <w:trPr>
          <w:trHeight w:val="216"/>
        </w:trPr>
        <w:tc>
          <w:tcPr>
            <w:tcW w:w="6140" w:type="dxa"/>
            <w:vAlign w:val="bottom"/>
            <w:gridSpan w:val="4"/>
          </w:tcPr>
          <w:p>
            <w:pPr>
              <w:ind w:left="20"/>
              <w:spacing w:after="0"/>
              <w:rPr>
                <w:sz w:val="20"/>
                <w:szCs w:val="20"/>
                <w:color w:val="auto"/>
              </w:rPr>
            </w:pPr>
            <w:r>
              <w:rPr>
                <w:rFonts w:ascii="Arial" w:cs="Arial" w:eastAsia="Arial" w:hAnsi="Arial"/>
                <w:sz w:val="18"/>
                <w:szCs w:val="18"/>
                <w:color w:val="auto"/>
              </w:rPr>
              <w:t>NestGSV, Inc. (d/b/a GSV Labs,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1,684,264</w:t>
            </w: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Lyft Inc.</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1,116,346</w:t>
            </w:r>
          </w:p>
        </w:tc>
        <w:tc>
          <w:tcPr>
            <w:tcW w:w="0" w:type="dxa"/>
            <w:vAlign w:val="bottom"/>
          </w:tcPr>
          <w:p>
            <w:pPr>
              <w:spacing w:after="0"/>
              <w:rPr>
                <w:sz w:val="1"/>
                <w:szCs w:val="1"/>
                <w:color w:val="auto"/>
              </w:rPr>
            </w:pPr>
          </w:p>
        </w:tc>
      </w:tr>
      <w:tr>
        <w:trPr>
          <w:trHeight w:val="216"/>
        </w:trPr>
        <w:tc>
          <w:tcPr>
            <w:tcW w:w="6140" w:type="dxa"/>
            <w:vAlign w:val="bottom"/>
            <w:gridSpan w:val="4"/>
          </w:tcPr>
          <w:p>
            <w:pPr>
              <w:ind w:left="20"/>
              <w:spacing w:after="0"/>
              <w:rPr>
                <w:sz w:val="20"/>
                <w:szCs w:val="20"/>
                <w:color w:val="auto"/>
              </w:rPr>
            </w:pPr>
            <w:r>
              <w:rPr>
                <w:rFonts w:ascii="Arial" w:cs="Arial" w:eastAsia="Arial" w:hAnsi="Arial"/>
                <w:sz w:val="18"/>
                <w:szCs w:val="18"/>
                <w:color w:val="auto"/>
              </w:rPr>
              <w:t>Snap Inc. (f/k/a Snapchat,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(1,239,580)</w:t>
            </w: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Dataminr, Inc.</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(1,619,630)</w:t>
            </w:r>
          </w:p>
        </w:tc>
        <w:tc>
          <w:tcPr>
            <w:tcW w:w="0" w:type="dxa"/>
            <w:vAlign w:val="bottom"/>
          </w:tcPr>
          <w:p>
            <w:pPr>
              <w:spacing w:after="0"/>
              <w:rPr>
                <w:sz w:val="1"/>
                <w:szCs w:val="1"/>
                <w:color w:val="auto"/>
              </w:rPr>
            </w:pPr>
          </w:p>
        </w:tc>
      </w:tr>
      <w:tr>
        <w:trPr>
          <w:trHeight w:val="216"/>
        </w:trPr>
        <w:tc>
          <w:tcPr>
            <w:tcW w:w="6140" w:type="dxa"/>
            <w:vAlign w:val="bottom"/>
            <w:gridSpan w:val="4"/>
          </w:tcPr>
          <w:p>
            <w:pPr>
              <w:ind w:left="20"/>
              <w:spacing w:after="0"/>
              <w:rPr>
                <w:sz w:val="20"/>
                <w:szCs w:val="20"/>
                <w:color w:val="auto"/>
              </w:rPr>
            </w:pPr>
            <w:r>
              <w:rPr>
                <w:rFonts w:ascii="Arial" w:cs="Arial" w:eastAsia="Arial" w:hAnsi="Arial"/>
                <w:sz w:val="18"/>
                <w:szCs w:val="18"/>
                <w:color w:val="auto"/>
              </w:rPr>
              <w:t>General Assembly Space,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(2,093,705)</w:t>
            </w: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Palantir Technologies, Inc.</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(2,097,042)</w:t>
            </w:r>
          </w:p>
        </w:tc>
        <w:tc>
          <w:tcPr>
            <w:tcW w:w="0" w:type="dxa"/>
            <w:vAlign w:val="bottom"/>
          </w:tcPr>
          <w:p>
            <w:pPr>
              <w:spacing w:after="0"/>
              <w:rPr>
                <w:sz w:val="1"/>
                <w:szCs w:val="1"/>
                <w:color w:val="auto"/>
              </w:rPr>
            </w:pPr>
          </w:p>
        </w:tc>
      </w:tr>
      <w:tr>
        <w:trPr>
          <w:trHeight w:val="216"/>
        </w:trPr>
        <w:tc>
          <w:tcPr>
            <w:tcW w:w="6140" w:type="dxa"/>
            <w:vAlign w:val="bottom"/>
            <w:gridSpan w:val="4"/>
          </w:tcPr>
          <w:p>
            <w:pPr>
              <w:ind w:left="20"/>
              <w:spacing w:after="0"/>
              <w:rPr>
                <w:sz w:val="20"/>
                <w:szCs w:val="20"/>
                <w:color w:val="auto"/>
              </w:rPr>
            </w:pPr>
            <w:r>
              <w:rPr>
                <w:rFonts w:ascii="Arial" w:cs="Arial" w:eastAsia="Arial" w:hAnsi="Arial"/>
                <w:sz w:val="18"/>
                <w:szCs w:val="18"/>
                <w:color w:val="auto"/>
              </w:rPr>
              <w:t>Dropbox,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(2,124,877)</w:t>
            </w: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SPBRX, INC. (f/k/a GSV Sustainability Partners, Inc.)</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(2,647,657)</w:t>
            </w:r>
          </w:p>
        </w:tc>
        <w:tc>
          <w:tcPr>
            <w:tcW w:w="0" w:type="dxa"/>
            <w:vAlign w:val="bottom"/>
          </w:tcPr>
          <w:p>
            <w:pPr>
              <w:spacing w:after="0"/>
              <w:rPr>
                <w:sz w:val="1"/>
                <w:szCs w:val="1"/>
                <w:color w:val="auto"/>
              </w:rPr>
            </w:pPr>
          </w:p>
        </w:tc>
      </w:tr>
      <w:tr>
        <w:trPr>
          <w:trHeight w:val="257"/>
        </w:trPr>
        <w:tc>
          <w:tcPr>
            <w:tcW w:w="6140" w:type="dxa"/>
            <w:vAlign w:val="bottom"/>
            <w:gridSpan w:val="4"/>
          </w:tcPr>
          <w:p>
            <w:pPr>
              <w:ind w:left="2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(1,773,841)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12,752,528</w:t>
            </w:r>
          </w:p>
        </w:tc>
        <w:tc>
          <w:tcPr>
            <w:tcW w:w="0" w:type="dxa"/>
            <w:vAlign w:val="bottom"/>
          </w:tcPr>
          <w:p>
            <w:pPr>
              <w:spacing w:after="0"/>
              <w:rPr>
                <w:sz w:val="1"/>
                <w:szCs w:val="1"/>
                <w:color w:val="auto"/>
              </w:rPr>
            </w:pPr>
          </w:p>
        </w:tc>
      </w:tr>
      <w:tr>
        <w:trPr>
          <w:trHeight w:val="281"/>
        </w:trPr>
        <w:tc>
          <w:tcPr>
            <w:tcW w:w="2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5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Change in</w:t>
            </w:r>
          </w:p>
        </w:tc>
        <w:tc>
          <w:tcPr>
            <w:tcW w:w="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three months</w:t>
            </w:r>
          </w:p>
        </w:tc>
        <w:tc>
          <w:tcPr>
            <w:tcW w:w="0" w:type="dxa"/>
            <w:vAlign w:val="bottom"/>
          </w:tcPr>
          <w:p>
            <w:pPr>
              <w:spacing w:after="0"/>
              <w:rPr>
                <w:sz w:val="1"/>
                <w:szCs w:val="1"/>
                <w:color w:val="auto"/>
              </w:rPr>
            </w:pPr>
          </w:p>
        </w:tc>
      </w:tr>
      <w:tr>
        <w:trPr>
          <w:trHeight w:val="149"/>
        </w:trPr>
        <w:tc>
          <w:tcPr>
            <w:tcW w:w="6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71"/>
        </w:trPr>
        <w:tc>
          <w:tcPr>
            <w:tcW w:w="6120" w:type="dxa"/>
            <w:vAlign w:val="bottom"/>
            <w:tcBorders>
              <w:bottom w:val="single" w:sz="8" w:color="auto"/>
            </w:tcBorders>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June 30, 2016</w:t>
            </w:r>
          </w:p>
        </w:tc>
        <w:tc>
          <w:tcPr>
            <w:tcW w:w="0" w:type="dxa"/>
            <w:vAlign w:val="bottom"/>
          </w:tcPr>
          <w:p>
            <w:pPr>
              <w:spacing w:after="0"/>
              <w:rPr>
                <w:sz w:val="1"/>
                <w:szCs w:val="1"/>
                <w:color w:val="auto"/>
              </w:rPr>
            </w:pPr>
          </w:p>
        </w:tc>
      </w:tr>
      <w:tr>
        <w:trPr>
          <w:trHeight w:val="210"/>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Fullbridge, Inc.</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(4,885,195)</w:t>
            </w:r>
          </w:p>
        </w:tc>
        <w:tc>
          <w:tcPr>
            <w:tcW w:w="0" w:type="dxa"/>
            <w:vAlign w:val="bottom"/>
          </w:tcPr>
          <w:p>
            <w:pPr>
              <w:spacing w:after="0"/>
              <w:rPr>
                <w:sz w:val="1"/>
                <w:szCs w:val="1"/>
                <w:color w:val="auto"/>
              </w:rPr>
            </w:pPr>
          </w:p>
        </w:tc>
      </w:tr>
      <w:tr>
        <w:trPr>
          <w:trHeight w:val="216"/>
        </w:trPr>
        <w:tc>
          <w:tcPr>
            <w:tcW w:w="6140" w:type="dxa"/>
            <w:vAlign w:val="bottom"/>
            <w:gridSpan w:val="4"/>
          </w:tcPr>
          <w:p>
            <w:pPr>
              <w:ind w:left="20"/>
              <w:spacing w:after="0"/>
              <w:rPr>
                <w:sz w:val="20"/>
                <w:szCs w:val="20"/>
                <w:color w:val="auto"/>
              </w:rPr>
            </w:pPr>
            <w:r>
              <w:rPr>
                <w:rFonts w:ascii="Arial" w:cs="Arial" w:eastAsia="Arial" w:hAnsi="Arial"/>
                <w:sz w:val="18"/>
                <w:szCs w:val="18"/>
                <w:color w:val="auto"/>
              </w:rPr>
              <w:t>Beamreach Solar, Inc. (f/k/a Solexel,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(4,935,262)</w:t>
            </w: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Dataminr, Inc.</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(2,634,109)</w:t>
            </w:r>
          </w:p>
        </w:tc>
        <w:tc>
          <w:tcPr>
            <w:tcW w:w="0" w:type="dxa"/>
            <w:vAlign w:val="bottom"/>
          </w:tcPr>
          <w:p>
            <w:pPr>
              <w:spacing w:after="0"/>
              <w:rPr>
                <w:sz w:val="1"/>
                <w:szCs w:val="1"/>
                <w:color w:val="auto"/>
              </w:rPr>
            </w:pPr>
          </w:p>
        </w:tc>
      </w:tr>
      <w:tr>
        <w:trPr>
          <w:trHeight w:val="216"/>
        </w:trPr>
        <w:tc>
          <w:tcPr>
            <w:tcW w:w="6140" w:type="dxa"/>
            <w:vAlign w:val="bottom"/>
            <w:gridSpan w:val="4"/>
          </w:tcPr>
          <w:p>
            <w:pPr>
              <w:ind w:left="20"/>
              <w:spacing w:after="0"/>
              <w:rPr>
                <w:sz w:val="20"/>
                <w:szCs w:val="20"/>
                <w:color w:val="auto"/>
              </w:rPr>
            </w:pPr>
            <w:r>
              <w:rPr>
                <w:rFonts w:ascii="Arial" w:cs="Arial" w:eastAsia="Arial" w:hAnsi="Arial"/>
                <w:sz w:val="18"/>
                <w:szCs w:val="18"/>
                <w:color w:val="auto"/>
              </w:rPr>
              <w:t>Lyft,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(2,151,193)</w:t>
            </w: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Dropbox, Inc.</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(1,916,830)</w:t>
            </w:r>
          </w:p>
        </w:tc>
        <w:tc>
          <w:tcPr>
            <w:tcW w:w="0" w:type="dxa"/>
            <w:vAlign w:val="bottom"/>
          </w:tcPr>
          <w:p>
            <w:pPr>
              <w:spacing w:after="0"/>
              <w:rPr>
                <w:sz w:val="1"/>
                <w:szCs w:val="1"/>
                <w:color w:val="auto"/>
              </w:rPr>
            </w:pPr>
          </w:p>
        </w:tc>
      </w:tr>
      <w:tr>
        <w:trPr>
          <w:trHeight w:val="257"/>
        </w:trPr>
        <w:tc>
          <w:tcPr>
            <w:tcW w:w="6140" w:type="dxa"/>
            <w:vAlign w:val="bottom"/>
            <w:gridSpan w:val="4"/>
          </w:tcPr>
          <w:p>
            <w:pPr>
              <w:ind w:left="2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588,703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(15,933,886)</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5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-2117725</wp:posOffset>
            </wp:positionV>
            <wp:extent cx="475107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-222250</wp:posOffset>
            </wp:positionV>
            <wp:extent cx="475107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-2057400</wp:posOffset>
            </wp:positionV>
            <wp:extent cx="47421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236" w:lineRule="exact"/>
        <w:rPr>
          <w:sz w:val="20"/>
          <w:szCs w:val="20"/>
          <w:color w:val="auto"/>
        </w:rPr>
      </w:pPr>
    </w:p>
    <w:p>
      <w:pPr>
        <w:ind w:left="300" w:right="579" w:hanging="272"/>
        <w:spacing w:after="0" w:line="308" w:lineRule="auto"/>
        <w:tabs>
          <w:tab w:leader="none" w:pos="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Other represents investments (including U.S. Treasury Bills and U.S. Treasury Strips) for which individual change in unrealized appreciation/(depreciation) was less than $1,000,000 for the three months ended June 30, 2017 and 2016.</w:t>
      </w:r>
    </w:p>
    <w:p>
      <w:pPr>
        <w:spacing w:after="0" w:line="200" w:lineRule="exact"/>
        <w:rPr>
          <w:sz w:val="20"/>
          <w:szCs w:val="20"/>
          <w:color w:val="auto"/>
        </w:rPr>
      </w:pPr>
    </w:p>
    <w:p>
      <w:pPr>
        <w:spacing w:after="0" w:line="2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5" w:name="page56"/>
    <w:bookmarkEnd w:id="5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79" w:firstLine="270"/>
        <w:spacing w:after="0" w:line="259" w:lineRule="auto"/>
        <w:rPr>
          <w:sz w:val="20"/>
          <w:szCs w:val="20"/>
          <w:color w:val="auto"/>
        </w:rPr>
      </w:pPr>
      <w:r>
        <w:rPr>
          <w:rFonts w:ascii="Arial" w:cs="Arial" w:eastAsia="Arial" w:hAnsi="Arial"/>
          <w:sz w:val="18"/>
          <w:szCs w:val="18"/>
          <w:color w:val="auto"/>
        </w:rPr>
        <w:t>For the six months ended June 30, 2017, we had a net change in unrealized appreciation of $46,032,793. For the six months ended June 30, 2016, we had a net change in unrealized depreciation of $35,354,887. The following tables summarize, by portfolio company, the significant changes in unrealized appreciation/(depreciation) of our investment portfolio for each of the six months ended June 30,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47510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six months</w:t>
            </w:r>
          </w:p>
        </w:tc>
        <w:tc>
          <w:tcPr>
            <w:tcW w:w="0" w:type="dxa"/>
            <w:vAlign w:val="bottom"/>
          </w:tcPr>
          <w:p>
            <w:pPr>
              <w:spacing w:after="0"/>
              <w:rPr>
                <w:sz w:val="1"/>
                <w:szCs w:val="1"/>
                <w:color w:val="auto"/>
              </w:rPr>
            </w:pPr>
          </w:p>
        </w:tc>
      </w:tr>
      <w:tr>
        <w:trPr>
          <w:trHeight w:val="149"/>
        </w:trPr>
        <w:tc>
          <w:tcPr>
            <w:tcW w:w="61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71"/>
        </w:trPr>
        <w:tc>
          <w:tcPr>
            <w:tcW w:w="614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June 30, 2017</w:t>
            </w:r>
          </w:p>
        </w:tc>
        <w:tc>
          <w:tcPr>
            <w:tcW w:w="0" w:type="dxa"/>
            <w:vAlign w:val="bottom"/>
          </w:tcPr>
          <w:p>
            <w:pPr>
              <w:spacing w:after="0"/>
              <w:rPr>
                <w:sz w:val="1"/>
                <w:szCs w:val="1"/>
                <w:color w:val="auto"/>
              </w:rPr>
            </w:pPr>
          </w:p>
        </w:tc>
      </w:tr>
      <w:tr>
        <w:trPr>
          <w:trHeight w:val="210"/>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Beamreach Solar, Inc. (f/k/a Solexel, Inc.)</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14,272,843</w:t>
            </w:r>
          </w:p>
        </w:tc>
        <w:tc>
          <w:tcPr>
            <w:tcW w:w="0" w:type="dxa"/>
            <w:vAlign w:val="bottom"/>
          </w:tcPr>
          <w:p>
            <w:pPr>
              <w:spacing w:after="0"/>
              <w:rPr>
                <w:sz w:val="1"/>
                <w:szCs w:val="1"/>
                <w:color w:val="auto"/>
              </w:rPr>
            </w:pPr>
          </w:p>
        </w:tc>
      </w:tr>
      <w:tr>
        <w:trPr>
          <w:trHeight w:val="216"/>
        </w:trPr>
        <w:tc>
          <w:tcPr>
            <w:tcW w:w="6140" w:type="dxa"/>
            <w:vAlign w:val="bottom"/>
            <w:gridSpan w:val="4"/>
          </w:tcPr>
          <w:p>
            <w:pPr>
              <w:ind w:left="20"/>
              <w:spacing w:after="0"/>
              <w:rPr>
                <w:sz w:val="20"/>
                <w:szCs w:val="20"/>
                <w:color w:val="auto"/>
              </w:rPr>
            </w:pPr>
            <w:r>
              <w:rPr>
                <w:rFonts w:ascii="Arial" w:cs="Arial" w:eastAsia="Arial" w:hAnsi="Arial"/>
                <w:sz w:val="18"/>
                <w:szCs w:val="18"/>
                <w:color w:val="auto"/>
              </w:rPr>
              <w:t>Spotify Technology S.A.</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8,101,508</w:t>
            </w: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JAMF Holdings, Inc.</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6,719,198</w:t>
            </w:r>
          </w:p>
        </w:tc>
        <w:tc>
          <w:tcPr>
            <w:tcW w:w="0" w:type="dxa"/>
            <w:vAlign w:val="bottom"/>
          </w:tcPr>
          <w:p>
            <w:pPr>
              <w:spacing w:after="0"/>
              <w:rPr>
                <w:sz w:val="1"/>
                <w:szCs w:val="1"/>
                <w:color w:val="auto"/>
              </w:rPr>
            </w:pPr>
          </w:p>
        </w:tc>
      </w:tr>
      <w:tr>
        <w:trPr>
          <w:trHeight w:val="216"/>
        </w:trPr>
        <w:tc>
          <w:tcPr>
            <w:tcW w:w="6140" w:type="dxa"/>
            <w:vAlign w:val="bottom"/>
            <w:gridSpan w:val="4"/>
          </w:tcPr>
          <w:p>
            <w:pPr>
              <w:ind w:left="20"/>
              <w:spacing w:after="0"/>
              <w:rPr>
                <w:sz w:val="20"/>
                <w:szCs w:val="20"/>
                <w:color w:val="auto"/>
              </w:rPr>
            </w:pPr>
            <w:r>
              <w:rPr>
                <w:rFonts w:ascii="Arial" w:cs="Arial" w:eastAsia="Arial" w:hAnsi="Arial"/>
                <w:sz w:val="18"/>
                <w:szCs w:val="18"/>
                <w:color w:val="auto"/>
              </w:rPr>
              <w:t>Chegg,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5,807,509</w:t>
            </w: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Orchestra One, Inc. (f/k/a Learnist Inc.)</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4,959,614</w:t>
            </w:r>
          </w:p>
        </w:tc>
        <w:tc>
          <w:tcPr>
            <w:tcW w:w="0" w:type="dxa"/>
            <w:vAlign w:val="bottom"/>
          </w:tcPr>
          <w:p>
            <w:pPr>
              <w:spacing w:after="0"/>
              <w:rPr>
                <w:sz w:val="1"/>
                <w:szCs w:val="1"/>
                <w:color w:val="auto"/>
              </w:rPr>
            </w:pPr>
          </w:p>
        </w:tc>
      </w:tr>
      <w:tr>
        <w:trPr>
          <w:trHeight w:val="216"/>
        </w:trPr>
        <w:tc>
          <w:tcPr>
            <w:tcW w:w="6140" w:type="dxa"/>
            <w:vAlign w:val="bottom"/>
            <w:gridSpan w:val="4"/>
          </w:tcPr>
          <w:p>
            <w:pPr>
              <w:ind w:left="20"/>
              <w:spacing w:after="0"/>
              <w:rPr>
                <w:sz w:val="20"/>
                <w:szCs w:val="20"/>
                <w:color w:val="auto"/>
              </w:rPr>
            </w:pPr>
            <w:r>
              <w:rPr>
                <w:rFonts w:ascii="Arial" w:cs="Arial" w:eastAsia="Arial" w:hAnsi="Arial"/>
                <w:sz w:val="18"/>
                <w:szCs w:val="18"/>
                <w:color w:val="auto"/>
              </w:rPr>
              <w:t>Coursera,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3,853,586</w:t>
            </w: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NestGSV, Inc. (d/b/a GSV Labs, Inc.)</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3,509,788</w:t>
            </w:r>
          </w:p>
        </w:tc>
        <w:tc>
          <w:tcPr>
            <w:tcW w:w="0" w:type="dxa"/>
            <w:vAlign w:val="bottom"/>
          </w:tcPr>
          <w:p>
            <w:pPr>
              <w:spacing w:after="0"/>
              <w:rPr>
                <w:sz w:val="1"/>
                <w:szCs w:val="1"/>
                <w:color w:val="auto"/>
              </w:rPr>
            </w:pPr>
          </w:p>
        </w:tc>
      </w:tr>
      <w:tr>
        <w:trPr>
          <w:trHeight w:val="216"/>
        </w:trPr>
        <w:tc>
          <w:tcPr>
            <w:tcW w:w="6140" w:type="dxa"/>
            <w:vAlign w:val="bottom"/>
            <w:gridSpan w:val="4"/>
          </w:tcPr>
          <w:p>
            <w:pPr>
              <w:ind w:left="20"/>
              <w:spacing w:after="0"/>
              <w:rPr>
                <w:sz w:val="20"/>
                <w:szCs w:val="20"/>
                <w:color w:val="auto"/>
              </w:rPr>
            </w:pPr>
            <w:r>
              <w:rPr>
                <w:rFonts w:ascii="Arial" w:cs="Arial" w:eastAsia="Arial" w:hAnsi="Arial"/>
                <w:sz w:val="18"/>
                <w:szCs w:val="18"/>
                <w:color w:val="auto"/>
              </w:rPr>
              <w:t>Cricket Media (f/k/a ePals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2,448,959</w:t>
            </w: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Aspiration Partners, Inc.</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2,044,661</w:t>
            </w:r>
          </w:p>
        </w:tc>
        <w:tc>
          <w:tcPr>
            <w:tcW w:w="0" w:type="dxa"/>
            <w:vAlign w:val="bottom"/>
          </w:tcPr>
          <w:p>
            <w:pPr>
              <w:spacing w:after="0"/>
              <w:rPr>
                <w:sz w:val="1"/>
                <w:szCs w:val="1"/>
                <w:color w:val="auto"/>
              </w:rPr>
            </w:pPr>
          </w:p>
        </w:tc>
      </w:tr>
      <w:tr>
        <w:trPr>
          <w:trHeight w:val="216"/>
        </w:trPr>
        <w:tc>
          <w:tcPr>
            <w:tcW w:w="6140" w:type="dxa"/>
            <w:vAlign w:val="bottom"/>
            <w:gridSpan w:val="4"/>
          </w:tcPr>
          <w:p>
            <w:pPr>
              <w:ind w:left="20"/>
              <w:spacing w:after="0"/>
              <w:rPr>
                <w:sz w:val="20"/>
                <w:szCs w:val="20"/>
                <w:color w:val="auto"/>
              </w:rPr>
            </w:pPr>
            <w:r>
              <w:rPr>
                <w:rFonts w:ascii="Arial" w:cs="Arial" w:eastAsia="Arial" w:hAnsi="Arial"/>
                <w:sz w:val="18"/>
                <w:szCs w:val="18"/>
                <w:color w:val="auto"/>
              </w:rPr>
              <w:t>AlwaysOn,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1,903,414</w:t>
            </w: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Dropbox, Inc.</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1,746,957</w:t>
            </w:r>
          </w:p>
        </w:tc>
        <w:tc>
          <w:tcPr>
            <w:tcW w:w="0" w:type="dxa"/>
            <w:vAlign w:val="bottom"/>
          </w:tcPr>
          <w:p>
            <w:pPr>
              <w:spacing w:after="0"/>
              <w:rPr>
                <w:sz w:val="1"/>
                <w:szCs w:val="1"/>
                <w:color w:val="auto"/>
              </w:rPr>
            </w:pPr>
          </w:p>
        </w:tc>
      </w:tr>
      <w:tr>
        <w:trPr>
          <w:trHeight w:val="216"/>
        </w:trPr>
        <w:tc>
          <w:tcPr>
            <w:tcW w:w="6140" w:type="dxa"/>
            <w:vAlign w:val="bottom"/>
            <w:gridSpan w:val="4"/>
          </w:tcPr>
          <w:p>
            <w:pPr>
              <w:ind w:left="20"/>
              <w:spacing w:after="0"/>
              <w:rPr>
                <w:sz w:val="20"/>
                <w:szCs w:val="20"/>
                <w:color w:val="auto"/>
              </w:rPr>
            </w:pPr>
            <w:r>
              <w:rPr>
                <w:rFonts w:ascii="Arial" w:cs="Arial" w:eastAsia="Arial" w:hAnsi="Arial"/>
                <w:sz w:val="18"/>
                <w:szCs w:val="18"/>
                <w:color w:val="auto"/>
              </w:rPr>
              <w:t>Curious.com,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(1,051,625)</w:t>
            </w: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Dataminr, Inc.</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(1,571,376)</w:t>
            </w:r>
          </w:p>
        </w:tc>
        <w:tc>
          <w:tcPr>
            <w:tcW w:w="0" w:type="dxa"/>
            <w:vAlign w:val="bottom"/>
          </w:tcPr>
          <w:p>
            <w:pPr>
              <w:spacing w:after="0"/>
              <w:rPr>
                <w:sz w:val="1"/>
                <w:szCs w:val="1"/>
                <w:color w:val="auto"/>
              </w:rPr>
            </w:pPr>
          </w:p>
        </w:tc>
      </w:tr>
      <w:tr>
        <w:trPr>
          <w:trHeight w:val="216"/>
        </w:trPr>
        <w:tc>
          <w:tcPr>
            <w:tcW w:w="6140" w:type="dxa"/>
            <w:vAlign w:val="bottom"/>
            <w:gridSpan w:val="4"/>
          </w:tcPr>
          <w:p>
            <w:pPr>
              <w:ind w:left="20"/>
              <w:spacing w:after="0"/>
              <w:rPr>
                <w:sz w:val="20"/>
                <w:szCs w:val="20"/>
                <w:color w:val="auto"/>
              </w:rPr>
            </w:pPr>
            <w:r>
              <w:rPr>
                <w:rFonts w:ascii="Arial" w:cs="Arial" w:eastAsia="Arial" w:hAnsi="Arial"/>
                <w:sz w:val="18"/>
                <w:szCs w:val="18"/>
                <w:color w:val="auto"/>
              </w:rPr>
              <w:t>SPBRX, INC. (f/k/a GSV Sustainability Partners,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(2,780,534)</w:t>
            </w: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Palantir Technologies, Inc.</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(4,532,388)</w:t>
            </w:r>
          </w:p>
        </w:tc>
        <w:tc>
          <w:tcPr>
            <w:tcW w:w="0" w:type="dxa"/>
            <w:vAlign w:val="bottom"/>
          </w:tcPr>
          <w:p>
            <w:pPr>
              <w:spacing w:after="0"/>
              <w:rPr>
                <w:sz w:val="1"/>
                <w:szCs w:val="1"/>
                <w:color w:val="auto"/>
              </w:rPr>
            </w:pPr>
          </w:p>
        </w:tc>
      </w:tr>
      <w:tr>
        <w:trPr>
          <w:trHeight w:val="257"/>
        </w:trPr>
        <w:tc>
          <w:tcPr>
            <w:tcW w:w="6140" w:type="dxa"/>
            <w:vAlign w:val="bottom"/>
            <w:gridSpan w:val="4"/>
          </w:tcPr>
          <w:p>
            <w:pPr>
              <w:ind w:left="2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600,679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46,032,793</w:t>
            </w:r>
          </w:p>
        </w:tc>
        <w:tc>
          <w:tcPr>
            <w:tcW w:w="0" w:type="dxa"/>
            <w:vAlign w:val="bottom"/>
          </w:tcPr>
          <w:p>
            <w:pPr>
              <w:spacing w:after="0"/>
              <w:rPr>
                <w:sz w:val="1"/>
                <w:szCs w:val="1"/>
                <w:color w:val="auto"/>
              </w:rPr>
            </w:pPr>
          </w:p>
        </w:tc>
      </w:tr>
      <w:tr>
        <w:trPr>
          <w:trHeight w:val="281"/>
        </w:trPr>
        <w:tc>
          <w:tcPr>
            <w:tcW w:w="2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5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Change in</w:t>
            </w:r>
          </w:p>
        </w:tc>
        <w:tc>
          <w:tcPr>
            <w:tcW w:w="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six months</w:t>
            </w:r>
          </w:p>
        </w:tc>
        <w:tc>
          <w:tcPr>
            <w:tcW w:w="0" w:type="dxa"/>
            <w:vAlign w:val="bottom"/>
          </w:tcPr>
          <w:p>
            <w:pPr>
              <w:spacing w:after="0"/>
              <w:rPr>
                <w:sz w:val="1"/>
                <w:szCs w:val="1"/>
                <w:color w:val="auto"/>
              </w:rPr>
            </w:pPr>
          </w:p>
        </w:tc>
      </w:tr>
      <w:tr>
        <w:trPr>
          <w:trHeight w:val="149"/>
        </w:trPr>
        <w:tc>
          <w:tcPr>
            <w:tcW w:w="6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71"/>
        </w:trPr>
        <w:tc>
          <w:tcPr>
            <w:tcW w:w="6120" w:type="dxa"/>
            <w:vAlign w:val="bottom"/>
            <w:tcBorders>
              <w:bottom w:val="single" w:sz="8" w:color="auto"/>
            </w:tcBorders>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June 30, 2016</w:t>
            </w:r>
          </w:p>
        </w:tc>
        <w:tc>
          <w:tcPr>
            <w:tcW w:w="0" w:type="dxa"/>
            <w:vAlign w:val="bottom"/>
          </w:tcPr>
          <w:p>
            <w:pPr>
              <w:spacing w:after="0"/>
              <w:rPr>
                <w:sz w:val="1"/>
                <w:szCs w:val="1"/>
                <w:color w:val="auto"/>
              </w:rPr>
            </w:pPr>
          </w:p>
        </w:tc>
      </w:tr>
      <w:tr>
        <w:trPr>
          <w:trHeight w:val="210"/>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Palantir Technologies, Inc.</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(11,131,768)</w:t>
            </w:r>
          </w:p>
        </w:tc>
        <w:tc>
          <w:tcPr>
            <w:tcW w:w="0" w:type="dxa"/>
            <w:vAlign w:val="bottom"/>
          </w:tcPr>
          <w:p>
            <w:pPr>
              <w:spacing w:after="0"/>
              <w:rPr>
                <w:sz w:val="1"/>
                <w:szCs w:val="1"/>
                <w:color w:val="auto"/>
              </w:rPr>
            </w:pPr>
          </w:p>
        </w:tc>
      </w:tr>
      <w:tr>
        <w:trPr>
          <w:trHeight w:val="216"/>
        </w:trPr>
        <w:tc>
          <w:tcPr>
            <w:tcW w:w="6140" w:type="dxa"/>
            <w:vAlign w:val="bottom"/>
            <w:gridSpan w:val="4"/>
          </w:tcPr>
          <w:p>
            <w:pPr>
              <w:ind w:left="20"/>
              <w:spacing w:after="0"/>
              <w:rPr>
                <w:sz w:val="20"/>
                <w:szCs w:val="20"/>
                <w:color w:val="auto"/>
              </w:rPr>
            </w:pPr>
            <w:r>
              <w:rPr>
                <w:rFonts w:ascii="Arial" w:cs="Arial" w:eastAsia="Arial" w:hAnsi="Arial"/>
                <w:sz w:val="18"/>
                <w:szCs w:val="18"/>
                <w:color w:val="auto"/>
              </w:rPr>
              <w:t>Fullbridge,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(5,655,694)</w:t>
            </w: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Dataminr, Inc.</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(5,241,364)</w:t>
            </w:r>
          </w:p>
        </w:tc>
        <w:tc>
          <w:tcPr>
            <w:tcW w:w="0" w:type="dxa"/>
            <w:vAlign w:val="bottom"/>
          </w:tcPr>
          <w:p>
            <w:pPr>
              <w:spacing w:after="0"/>
              <w:rPr>
                <w:sz w:val="1"/>
                <w:szCs w:val="1"/>
                <w:color w:val="auto"/>
              </w:rPr>
            </w:pPr>
          </w:p>
        </w:tc>
      </w:tr>
      <w:tr>
        <w:trPr>
          <w:trHeight w:val="216"/>
        </w:trPr>
        <w:tc>
          <w:tcPr>
            <w:tcW w:w="6140" w:type="dxa"/>
            <w:vAlign w:val="bottom"/>
            <w:gridSpan w:val="4"/>
          </w:tcPr>
          <w:p>
            <w:pPr>
              <w:ind w:left="20"/>
              <w:spacing w:after="0"/>
              <w:rPr>
                <w:sz w:val="20"/>
                <w:szCs w:val="20"/>
                <w:color w:val="auto"/>
              </w:rPr>
            </w:pPr>
            <w:r>
              <w:rPr>
                <w:rFonts w:ascii="Arial" w:cs="Arial" w:eastAsia="Arial" w:hAnsi="Arial"/>
                <w:sz w:val="18"/>
                <w:szCs w:val="18"/>
                <w:color w:val="auto"/>
              </w:rPr>
              <w:t>Twitter,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(4,987,738)</w:t>
            </w: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Dropbox, Inc.</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(4,964,278)</w:t>
            </w:r>
          </w:p>
        </w:tc>
        <w:tc>
          <w:tcPr>
            <w:tcW w:w="0" w:type="dxa"/>
            <w:vAlign w:val="bottom"/>
          </w:tcPr>
          <w:p>
            <w:pPr>
              <w:spacing w:after="0"/>
              <w:rPr>
                <w:sz w:val="1"/>
                <w:szCs w:val="1"/>
                <w:color w:val="auto"/>
              </w:rPr>
            </w:pPr>
          </w:p>
        </w:tc>
      </w:tr>
      <w:tr>
        <w:trPr>
          <w:trHeight w:val="216"/>
        </w:trPr>
        <w:tc>
          <w:tcPr>
            <w:tcW w:w="6140" w:type="dxa"/>
            <w:vAlign w:val="bottom"/>
            <w:gridSpan w:val="4"/>
          </w:tcPr>
          <w:p>
            <w:pPr>
              <w:ind w:left="20"/>
              <w:spacing w:after="0"/>
              <w:rPr>
                <w:sz w:val="20"/>
                <w:szCs w:val="20"/>
                <w:color w:val="auto"/>
              </w:rPr>
            </w:pPr>
            <w:r>
              <w:rPr>
                <w:rFonts w:ascii="Arial" w:cs="Arial" w:eastAsia="Arial" w:hAnsi="Arial"/>
                <w:sz w:val="18"/>
                <w:szCs w:val="18"/>
                <w:color w:val="auto"/>
              </w:rPr>
              <w:t>Beamreach Solar, Inc. (f/k/a Solexel,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(4,936,231)</w:t>
            </w: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Chegg, Inc.</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(2,046,230)</w:t>
            </w:r>
          </w:p>
        </w:tc>
        <w:tc>
          <w:tcPr>
            <w:tcW w:w="0" w:type="dxa"/>
            <w:vAlign w:val="bottom"/>
          </w:tcPr>
          <w:p>
            <w:pPr>
              <w:spacing w:after="0"/>
              <w:rPr>
                <w:sz w:val="1"/>
                <w:szCs w:val="1"/>
                <w:color w:val="auto"/>
              </w:rPr>
            </w:pPr>
          </w:p>
        </w:tc>
      </w:tr>
      <w:tr>
        <w:trPr>
          <w:trHeight w:val="216"/>
        </w:trPr>
        <w:tc>
          <w:tcPr>
            <w:tcW w:w="6140" w:type="dxa"/>
            <w:vAlign w:val="bottom"/>
            <w:gridSpan w:val="4"/>
          </w:tcPr>
          <w:p>
            <w:pPr>
              <w:ind w:left="20"/>
              <w:spacing w:after="0"/>
              <w:rPr>
                <w:sz w:val="20"/>
                <w:szCs w:val="20"/>
                <w:color w:val="auto"/>
              </w:rPr>
            </w:pPr>
            <w:r>
              <w:rPr>
                <w:rFonts w:ascii="Arial" w:cs="Arial" w:eastAsia="Arial" w:hAnsi="Arial"/>
                <w:sz w:val="18"/>
                <w:szCs w:val="18"/>
                <w:color w:val="auto"/>
              </w:rPr>
              <w:t>Lyft,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(1,775,644)</w:t>
            </w: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SPBRX, INC. (f/k/a GSV Sustainability Partners, Inc.)</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(1,523,289)</w:t>
            </w:r>
          </w:p>
        </w:tc>
        <w:tc>
          <w:tcPr>
            <w:tcW w:w="0" w:type="dxa"/>
            <w:vAlign w:val="bottom"/>
          </w:tcPr>
          <w:p>
            <w:pPr>
              <w:spacing w:after="0"/>
              <w:rPr>
                <w:sz w:val="1"/>
                <w:szCs w:val="1"/>
                <w:color w:val="auto"/>
              </w:rPr>
            </w:pPr>
          </w:p>
        </w:tc>
      </w:tr>
      <w:tr>
        <w:trPr>
          <w:trHeight w:val="216"/>
        </w:trPr>
        <w:tc>
          <w:tcPr>
            <w:tcW w:w="6140" w:type="dxa"/>
            <w:vAlign w:val="bottom"/>
            <w:gridSpan w:val="4"/>
          </w:tcPr>
          <w:p>
            <w:pPr>
              <w:ind w:left="20"/>
              <w:spacing w:after="0"/>
              <w:rPr>
                <w:sz w:val="20"/>
                <w:szCs w:val="20"/>
                <w:color w:val="auto"/>
              </w:rPr>
            </w:pPr>
            <w:r>
              <w:rPr>
                <w:rFonts w:ascii="Arial" w:cs="Arial" w:eastAsia="Arial" w:hAnsi="Arial"/>
                <w:sz w:val="18"/>
                <w:szCs w:val="18"/>
                <w:color w:val="auto"/>
              </w:rPr>
              <w:t>SugarCRM,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(1,012,969)</w:t>
            </w: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Gilt Groupe Holdings, Inc.</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6,055,046</w:t>
            </w:r>
          </w:p>
        </w:tc>
        <w:tc>
          <w:tcPr>
            <w:tcW w:w="0" w:type="dxa"/>
            <w:vAlign w:val="bottom"/>
          </w:tcPr>
          <w:p>
            <w:pPr>
              <w:spacing w:after="0"/>
              <w:rPr>
                <w:sz w:val="1"/>
                <w:szCs w:val="1"/>
                <w:color w:val="auto"/>
              </w:rPr>
            </w:pPr>
          </w:p>
        </w:tc>
      </w:tr>
      <w:tr>
        <w:trPr>
          <w:trHeight w:val="257"/>
        </w:trPr>
        <w:tc>
          <w:tcPr>
            <w:tcW w:w="6140" w:type="dxa"/>
            <w:vAlign w:val="bottom"/>
            <w:gridSpan w:val="4"/>
          </w:tcPr>
          <w:p>
            <w:pPr>
              <w:ind w:left="2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1,865,272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(35,354,887)</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51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-2932430</wp:posOffset>
            </wp:positionV>
            <wp:extent cx="475107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4751070"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-2872105</wp:posOffset>
            </wp:positionV>
            <wp:extent cx="47421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236" w:lineRule="exact"/>
        <w:rPr>
          <w:sz w:val="20"/>
          <w:szCs w:val="20"/>
          <w:color w:val="auto"/>
        </w:rPr>
      </w:pPr>
    </w:p>
    <w:p>
      <w:pPr>
        <w:ind w:left="300" w:right="579" w:hanging="272"/>
        <w:spacing w:after="0" w:line="342" w:lineRule="auto"/>
        <w:tabs>
          <w:tab w:leader="none" w:pos="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 represents investments (including U.S. Treasury Bills and U.S. Treasury Strips) for which individual change in unrealized appreciation/(depreciation) was less than $1,000,000 for each of the six months ended June 30, 2017 and 2016.</w:t>
      </w:r>
    </w:p>
    <w:p>
      <w:pPr>
        <w:spacing w:after="0" w:line="200" w:lineRule="exact"/>
        <w:rPr>
          <w:sz w:val="20"/>
          <w:szCs w:val="20"/>
          <w:color w:val="auto"/>
        </w:rPr>
      </w:pPr>
    </w:p>
    <w:p>
      <w:pPr>
        <w:spacing w:after="0" w:line="26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6" w:name="page57"/>
    <w:bookmarkEnd w:id="5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Increase/Decrease in Net Assets Resulting from Operations</w:t>
      </w:r>
    </w:p>
    <w:p>
      <w:pPr>
        <w:spacing w:after="0" w:line="117" w:lineRule="exact"/>
        <w:rPr>
          <w:sz w:val="20"/>
          <w:szCs w:val="20"/>
          <w:color w:val="auto"/>
        </w:rPr>
      </w:pPr>
    </w:p>
    <w:p>
      <w:pPr>
        <w:ind w:left="60" w:right="899" w:firstLine="270"/>
        <w:spacing w:after="0" w:line="277" w:lineRule="auto"/>
        <w:rPr>
          <w:sz w:val="20"/>
          <w:szCs w:val="20"/>
          <w:color w:val="auto"/>
        </w:rPr>
      </w:pPr>
      <w:r>
        <w:rPr>
          <w:rFonts w:ascii="Arial" w:cs="Arial" w:eastAsia="Arial" w:hAnsi="Arial"/>
          <w:sz w:val="18"/>
          <w:szCs w:val="18"/>
          <w:color w:val="auto"/>
        </w:rPr>
        <w:t>For the three months ended June 30, 2017 and 2016, our net increase/(decrease) in net assets resulting from operations was $6,198,075 and $(16,281,566), respectively.</w:t>
      </w:r>
    </w:p>
    <w:p>
      <w:pPr>
        <w:spacing w:after="0" w:line="62" w:lineRule="exact"/>
        <w:rPr>
          <w:sz w:val="20"/>
          <w:szCs w:val="20"/>
          <w:color w:val="auto"/>
        </w:rPr>
      </w:pPr>
    </w:p>
    <w:p>
      <w:pPr>
        <w:ind w:left="60" w:right="1059" w:firstLine="270"/>
        <w:spacing w:after="0" w:line="277" w:lineRule="auto"/>
        <w:rPr>
          <w:sz w:val="20"/>
          <w:szCs w:val="20"/>
          <w:color w:val="auto"/>
        </w:rPr>
      </w:pPr>
      <w:r>
        <w:rPr>
          <w:rFonts w:ascii="Arial" w:cs="Arial" w:eastAsia="Arial" w:hAnsi="Arial"/>
          <w:sz w:val="18"/>
          <w:szCs w:val="18"/>
          <w:color w:val="auto"/>
        </w:rPr>
        <w:t>For the six months ended June 30, 2017 and 2016, our net increase/(decrease) in net assets resulting from operations was $9,980,961 and $(41,230,630), respectively.</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60" w:right="559" w:firstLine="270"/>
        <w:spacing w:after="0" w:line="255" w:lineRule="auto"/>
        <w:rPr>
          <w:sz w:val="20"/>
          <w:szCs w:val="20"/>
          <w:color w:val="auto"/>
        </w:rPr>
      </w:pPr>
      <w:r>
        <w:rPr>
          <w:rFonts w:ascii="Arial" w:cs="Arial" w:eastAsia="Arial" w:hAnsi="Arial"/>
          <w:sz w:val="18"/>
          <w:szCs w:val="18"/>
          <w:color w:val="auto"/>
        </w:rPr>
        <w:t>Our liquidity and capital resources are generated primarily from the sales of our investments and advances from any credit facility from which we may borrow. For example, prior to its expiration in accordance with its terms on December 31, 2016, we also generated liquidity and capital resources from advances from the SVB Credit Facility and have entered into the Credit Facility, which matures on the later of (i) August 15, 2018 or (ii) 30 days prior to the due date of the Convertible Senior Notes, which mature on September 15, 2018. In management’s view, we have sufficient liquidity and capital resources to pay our operating expenses and conduct investment activities.</w:t>
      </w:r>
    </w:p>
    <w:p>
      <w:pPr>
        <w:spacing w:after="0" w:line="85" w:lineRule="exact"/>
        <w:rPr>
          <w:sz w:val="20"/>
          <w:szCs w:val="20"/>
          <w:color w:val="auto"/>
        </w:rPr>
      </w:pPr>
    </w:p>
    <w:p>
      <w:pPr>
        <w:ind w:left="60" w:right="659" w:firstLine="270"/>
        <w:spacing w:after="0" w:line="342" w:lineRule="auto"/>
        <w:rPr>
          <w:sz w:val="20"/>
          <w:szCs w:val="20"/>
          <w:color w:val="auto"/>
        </w:rPr>
      </w:pPr>
      <w:r>
        <w:rPr>
          <w:rFonts w:ascii="Arial" w:cs="Arial" w:eastAsia="Arial" w:hAnsi="Arial"/>
          <w:sz w:val="16"/>
          <w:szCs w:val="16"/>
          <w:color w:val="auto"/>
        </w:rPr>
        <w:t>Our primary uses of cash are to make investments, pay our operating expenses and make distributions to our stockholders. For the six months ended June 30, 2017 and 2016, our operating expenses were $11,400,225 and $953,567,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-22860</wp:posOffset>
            </wp:positionV>
            <wp:extent cx="519684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5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Cash Reserves and Liquid 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84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2,602,570</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8,332,634</w:t>
            </w:r>
          </w:p>
        </w:tc>
        <w:tc>
          <w:tcPr>
            <w:tcW w:w="0" w:type="dxa"/>
            <w:vAlign w:val="bottom"/>
          </w:tcPr>
          <w:p>
            <w:pPr>
              <w:spacing w:after="0"/>
              <w:rPr>
                <w:sz w:val="1"/>
                <w:szCs w:val="1"/>
                <w:color w:val="auto"/>
              </w:rPr>
            </w:pPr>
          </w:p>
        </w:tc>
      </w:tr>
      <w:tr>
        <w:trPr>
          <w:trHeight w:val="257"/>
        </w:trPr>
        <w:tc>
          <w:tcPr>
            <w:tcW w:w="58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Amounts available for borrowing under the Credit Facility</w:t>
            </w:r>
            <w:r>
              <w:rPr>
                <w:rFonts w:ascii="Arial" w:cs="Arial" w:eastAsia="Arial" w:hAnsi="Arial"/>
                <w:sz w:val="29"/>
                <w:szCs w:val="29"/>
                <w:color w:val="auto"/>
                <w:vertAlign w:val="superscript"/>
              </w:rPr>
              <w:t>(1)(2)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4,000,000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Securities of publicly traded portfolio companies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Unrestricted securities</w:t>
            </w:r>
            <w:r>
              <w:rPr>
                <w:rFonts w:ascii="Arial" w:cs="Arial" w:eastAsia="Arial" w:hAnsi="Arial"/>
                <w:sz w:val="29"/>
                <w:szCs w:val="29"/>
                <w:color w:val="auto"/>
                <w:vertAlign w:val="superscript"/>
              </w:rPr>
              <w:t>(3)</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14,536,514</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8,729,005</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82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Subject to other sales restrictions</w:t>
            </w:r>
            <w:r>
              <w:rPr>
                <w:rFonts w:ascii="Arial" w:cs="Arial" w:eastAsia="Arial" w:hAnsi="Arial"/>
                <w:sz w:val="29"/>
                <w:szCs w:val="29"/>
                <w:color w:val="auto"/>
                <w:vertAlign w:val="superscript"/>
              </w:rPr>
              <w:t>(4)</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4,627,592</w:t>
            </w:r>
          </w:p>
        </w:tc>
        <w:tc>
          <w:tcPr>
            <w:tcW w:w="220" w:type="dxa"/>
            <w:vAlign w:val="bottom"/>
            <w:tcBorders>
              <w:lef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tcPr>
          <w:p>
            <w:pPr>
              <w:ind w:left="180"/>
              <w:spacing w:after="0"/>
              <w:rPr>
                <w:sz w:val="20"/>
                <w:szCs w:val="20"/>
                <w:color w:val="auto"/>
              </w:rPr>
            </w:pPr>
            <w:r>
              <w:rPr>
                <w:rFonts w:ascii="Arial" w:cs="Arial" w:eastAsia="Arial" w:hAnsi="Arial"/>
                <w:sz w:val="18"/>
                <w:szCs w:val="18"/>
                <w:color w:val="auto"/>
              </w:rPr>
              <w:t>Total securities of publicly traded portfolio companies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19,164,106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8,729,005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Reserves and Liquid Securities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25,766,676</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17,061,639</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48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-505460</wp:posOffset>
            </wp:positionV>
            <wp:extent cx="5213985"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619" w:hanging="272"/>
        <w:spacing w:after="0" w:line="308" w:lineRule="auto"/>
        <w:tabs>
          <w:tab w:leader="none" w:pos="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Subject to leverage and borrowing base restrictions under the Credit Facility. Refer to “Note 9 — Long-Term Liabilities” to our condensed consolidated financial statements as of June 30, 2017 for details regarding the Credit Facility.</w:t>
      </w:r>
    </w:p>
    <w:p>
      <w:pPr>
        <w:spacing w:after="0" w:line="38" w:lineRule="exact"/>
        <w:rPr>
          <w:rFonts w:ascii="Arial" w:cs="Arial" w:eastAsia="Arial" w:hAnsi="Arial"/>
          <w:sz w:val="17"/>
          <w:szCs w:val="17"/>
          <w:color w:val="auto"/>
        </w:rPr>
      </w:pPr>
    </w:p>
    <w:p>
      <w:pPr>
        <w:ind w:left="300" w:right="1379" w:hanging="272"/>
        <w:spacing w:after="0" w:line="277" w:lineRule="auto"/>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July 7, 2017, we paid off the $8.0 million due under the Credit Facility. As of August 9, 2017, there is no balance outstanding under the Credit Facility.</w:t>
      </w:r>
    </w:p>
    <w:p>
      <w:pPr>
        <w:spacing w:after="0" w:line="62" w:lineRule="exact"/>
        <w:rPr>
          <w:rFonts w:ascii="Arial" w:cs="Arial" w:eastAsia="Arial" w:hAnsi="Arial"/>
          <w:sz w:val="18"/>
          <w:szCs w:val="18"/>
          <w:color w:val="auto"/>
        </w:rPr>
      </w:pPr>
    </w:p>
    <w:p>
      <w:pPr>
        <w:ind w:left="300" w:right="579" w:hanging="272"/>
        <w:spacing w:after="0" w:line="308" w:lineRule="auto"/>
        <w:tabs>
          <w:tab w:leader="none" w:pos="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“Unrestricted securities” represents common stock of our publicly traded companies that are not subject to any restrictions upon sale. We may incur losses if we liquidate these positions to pay operating expenses or fund new investments.</w:t>
      </w:r>
    </w:p>
    <w:p>
      <w:pPr>
        <w:spacing w:after="0" w:line="38" w:lineRule="exact"/>
        <w:rPr>
          <w:rFonts w:ascii="Arial" w:cs="Arial" w:eastAsia="Arial" w:hAnsi="Arial"/>
          <w:sz w:val="17"/>
          <w:szCs w:val="17"/>
          <w:color w:val="auto"/>
        </w:rPr>
      </w:pPr>
    </w:p>
    <w:p>
      <w:pPr>
        <w:ind w:left="300" w:right="1159" w:hanging="272"/>
        <w:spacing w:after="0" w:line="277" w:lineRule="auto"/>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June 30, 2017, this balance represents our shares of common stock of Snap Inc. (f/k/a Snapchat, Inc.), which were restricted until July 31, 2017.</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six months ended June 30, 2017, cash and cash equivalents decreased to $2,602,570 from $8,332,634 at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beginning of the period. The decrease was primarily due to an additional $7,004,110 margin deposit posted for the purchase of 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U.S. Treasury Bill, as well as $1,811,250 in interest payments on the Convertible Senior Notes, $2,594,278 in management fees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paid under the Advisory Agreement, $717,274 in allocation of overhead expenses paid to GSV Capital Service Company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$1,074,020 of audit and legal fees. During the six months ended June 30, 2017, we borrowed $8,000,000 under the Credit Facility,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which partially offset the decrease in cash and cash equivalents.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Issuances &amp; Debt Capital Activities</w:t>
      </w:r>
    </w:p>
    <w:p>
      <w:pPr>
        <w:spacing w:after="0" w:line="117" w:lineRule="exact"/>
        <w:rPr>
          <w:sz w:val="20"/>
          <w:szCs w:val="20"/>
          <w:color w:val="auto"/>
        </w:rPr>
      </w:pPr>
    </w:p>
    <w:p>
      <w:pPr>
        <w:ind w:left="60" w:right="599" w:firstLine="270"/>
        <w:spacing w:after="0" w:line="277" w:lineRule="auto"/>
        <w:rPr>
          <w:sz w:val="20"/>
          <w:szCs w:val="20"/>
          <w:color w:val="auto"/>
        </w:rPr>
      </w:pPr>
      <w:r>
        <w:rPr>
          <w:rFonts w:ascii="Arial" w:cs="Arial" w:eastAsia="Arial" w:hAnsi="Arial"/>
          <w:sz w:val="18"/>
          <w:szCs w:val="18"/>
          <w:color w:val="auto"/>
        </w:rPr>
        <w:t>There were no sales of our equity or debt securities during the six months ended June 30, 2017 or the year ended December 31, 2016.</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7" w:name="page58"/>
    <w:bookmarkEnd w:id="5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94"/>
              </w:rPr>
              <w:t>Payments Due By Period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8"/>
              </w:rPr>
              <w:t>(dollars in millions)</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740" w:type="dxa"/>
            <w:vAlign w:val="bottom"/>
            <w:gridSpan w:val="3"/>
          </w:tcPr>
          <w:p>
            <w:pPr>
              <w:jc w:val="right"/>
              <w:ind w:right="80"/>
              <w:spacing w:after="0" w:line="119" w:lineRule="exact"/>
              <w:rPr>
                <w:sz w:val="20"/>
                <w:szCs w:val="20"/>
                <w:color w:val="auto"/>
              </w:rPr>
            </w:pPr>
            <w:r>
              <w:rPr>
                <w:rFonts w:ascii="Arial" w:cs="Arial" w:eastAsia="Arial" w:hAnsi="Arial"/>
                <w:sz w:val="13"/>
                <w:szCs w:val="13"/>
                <w:b w:val="1"/>
                <w:bCs w:val="1"/>
                <w:color w:val="auto"/>
              </w:rPr>
              <w:t>Less than</w:t>
            </w:r>
          </w:p>
        </w:tc>
        <w:tc>
          <w:tcPr>
            <w:tcW w:w="160" w:type="dxa"/>
            <w:vAlign w:val="bottom"/>
          </w:tcPr>
          <w:p>
            <w:pPr>
              <w:spacing w:after="0"/>
              <w:rPr>
                <w:sz w:val="10"/>
                <w:szCs w:val="10"/>
                <w:color w:val="auto"/>
              </w:rPr>
            </w:pPr>
          </w:p>
        </w:tc>
        <w:tc>
          <w:tcPr>
            <w:tcW w:w="74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4"/>
              </w:rPr>
              <w:t>1 – 3 years</w:t>
            </w:r>
          </w:p>
        </w:tc>
        <w:tc>
          <w:tcPr>
            <w:tcW w:w="160" w:type="dxa"/>
            <w:vAlign w:val="bottom"/>
          </w:tcPr>
          <w:p>
            <w:pPr>
              <w:spacing w:after="0"/>
              <w:rPr>
                <w:sz w:val="10"/>
                <w:szCs w:val="10"/>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2"/>
              </w:rPr>
              <w:t>3 – 5 years</w:t>
            </w:r>
          </w:p>
        </w:tc>
        <w:tc>
          <w:tcPr>
            <w:tcW w:w="16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40" w:type="dxa"/>
            <w:vAlign w:val="bottom"/>
            <w:gridSpan w:val="3"/>
            <w:vMerge w:val="restart"/>
          </w:tcPr>
          <w:p>
            <w:pPr>
              <w:ind w:left="20"/>
              <w:spacing w:after="0"/>
              <w:rPr>
                <w:sz w:val="20"/>
                <w:szCs w:val="20"/>
                <w:color w:val="auto"/>
              </w:rPr>
            </w:pPr>
            <w:r>
              <w:rPr>
                <w:rFonts w:ascii="Arial" w:cs="Arial" w:eastAsia="Arial" w:hAnsi="Arial"/>
                <w:sz w:val="18"/>
                <w:szCs w:val="18"/>
                <w:color w:val="auto"/>
              </w:rPr>
              <w:t>Payable for securities purchased</w:t>
            </w:r>
            <w:r>
              <w:rPr>
                <w:rFonts w:ascii="Arial" w:cs="Arial" w:eastAsia="Arial" w:hAnsi="Arial"/>
                <w:sz w:val="30"/>
                <w:szCs w:val="30"/>
                <w:color w:val="auto"/>
                <w:vertAlign w:val="superscript"/>
              </w:rPr>
              <w:t>(1)</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8"/>
              </w:rPr>
              <w:t>1 year</w:t>
            </w:r>
          </w:p>
        </w:tc>
        <w:tc>
          <w:tcPr>
            <w:tcW w:w="160" w:type="dxa"/>
            <w:vAlign w:val="bottom"/>
          </w:tcPr>
          <w:p>
            <w:pPr>
              <w:spacing w:after="0"/>
              <w:rPr>
                <w:sz w:val="14"/>
                <w:szCs w:val="14"/>
                <w:color w:val="auto"/>
              </w:rPr>
            </w:pPr>
          </w:p>
        </w:tc>
        <w:tc>
          <w:tcPr>
            <w:tcW w:w="74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3840" w:type="dxa"/>
            <w:vAlign w:val="bottom"/>
            <w:gridSpan w:val="3"/>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89.5</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8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Credit facility payable</w:t>
            </w:r>
            <w:r>
              <w:rPr>
                <w:rFonts w:ascii="Arial" w:cs="Arial" w:eastAsia="Arial" w:hAnsi="Arial"/>
                <w:sz w:val="29"/>
                <w:szCs w:val="29"/>
                <w:color w:val="auto"/>
                <w:vertAlign w:val="superscript"/>
              </w:rPr>
              <w:t>(2)(3)(4)</w:t>
            </w:r>
          </w:p>
        </w:tc>
        <w:tc>
          <w:tcPr>
            <w:tcW w:w="1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8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Convertible Senior Notes</w:t>
            </w:r>
            <w:r>
              <w:rPr>
                <w:rFonts w:ascii="Arial" w:cs="Arial" w:eastAsia="Arial" w:hAnsi="Arial"/>
                <w:sz w:val="29"/>
                <w:szCs w:val="29"/>
                <w:color w:val="auto"/>
                <w:vertAlign w:val="superscript"/>
              </w:rPr>
              <w:t>(5)</w:t>
            </w:r>
          </w:p>
        </w:tc>
        <w:tc>
          <w:tcPr>
            <w:tcW w:w="140" w:type="dxa"/>
            <w:vAlign w:val="bottom"/>
          </w:tcPr>
          <w:p>
            <w:pPr>
              <w:spacing w:after="0"/>
              <w:rPr>
                <w:sz w:val="22"/>
                <w:szCs w:val="2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69.0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89.5</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w:t>
            </w: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284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5213985" cy="342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599" w:hanging="272"/>
        <w:spacing w:after="0" w:line="264"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“Payable for securities purchased” relates to the purchase of the U.S. Treasury Bill on margin. The payable for securities purchased was subsequently repaid on July 6, 2017, when the $100.0 million United States Treasury Bill matured and the $10.5 million margin deposit that was posted as collateral was returned.</w:t>
      </w:r>
    </w:p>
    <w:p>
      <w:pPr>
        <w:spacing w:after="0" w:line="73" w:lineRule="exact"/>
        <w:rPr>
          <w:rFonts w:ascii="Arial" w:cs="Arial" w:eastAsia="Arial" w:hAnsi="Arial"/>
          <w:sz w:val="18"/>
          <w:szCs w:val="18"/>
          <w:color w:val="auto"/>
        </w:rPr>
      </w:pPr>
    </w:p>
    <w:p>
      <w:pPr>
        <w:ind w:left="300" w:right="1379" w:hanging="272"/>
        <w:spacing w:after="0" w:line="277"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July 7, 2017, we paid off the $8.0 million due under the Credit Facility. As of August 9, 2017, there is no balance outstanding.</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total unused amount available under the Credit Facility as of June 30, 2017 was $4.0 million.</w:t>
      </w:r>
    </w:p>
    <w:p>
      <w:pPr>
        <w:spacing w:after="0" w:line="117"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weighted-average interest rate incurred under the Credit Facility was 0.02% for each of the three and six months ended June 30, 2017.</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balance shown for the Convertible Senior Notes reflects the principal balance payable to investors. Refer to “Note</w:t>
      </w:r>
    </w:p>
    <w:p>
      <w:pPr>
        <w:spacing w:after="0" w:line="34"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9 — Long-Term Liabilities” to our condensed consolidated financial statements as of June 30, 2017 for more information.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60" w:right="619" w:firstLine="270"/>
        <w:spacing w:after="0" w:line="308" w:lineRule="auto"/>
        <w:rPr>
          <w:sz w:val="20"/>
          <w:szCs w:val="20"/>
          <w:color w:val="auto"/>
        </w:rPr>
      </w:pPr>
      <w:r>
        <w:rPr>
          <w:rFonts w:ascii="Arial" w:cs="Arial" w:eastAsia="Arial" w:hAnsi="Arial"/>
          <w:sz w:val="17"/>
          <w:szCs w:val="17"/>
          <w:color w:val="auto"/>
        </w:rPr>
        <w:t>As of June 30, 2017, we had no off-balance sheet arrangements, including any risk management of commodity pricing or other hedging practices. However, we may employ hedging and other risk management techniques in the future.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60" w:right="579" w:firstLine="270"/>
        <w:spacing w:after="0" w:line="259"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June 30, 2017. The table is divided by fiscal year according to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46482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6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Amount per</w:t>
            </w:r>
          </w:p>
        </w:tc>
        <w:tc>
          <w:tcPr>
            <w:tcW w:w="0" w:type="dxa"/>
            <w:vAlign w:val="bottom"/>
          </w:tcPr>
          <w:p>
            <w:pPr>
              <w:spacing w:after="0"/>
              <w:rPr>
                <w:sz w:val="1"/>
                <w:szCs w:val="1"/>
                <w:color w:val="auto"/>
              </w:rPr>
            </w:pPr>
          </w:p>
        </w:tc>
      </w:tr>
      <w:tr>
        <w:trPr>
          <w:trHeight w:val="171"/>
        </w:trPr>
        <w:tc>
          <w:tcPr>
            <w:tcW w:w="27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0"/>
        </w:trPr>
        <w:tc>
          <w:tcPr>
            <w:tcW w:w="2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Fiscal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November 4, 2015</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November 16, 2015</w:t>
            </w:r>
          </w:p>
        </w:tc>
        <w:tc>
          <w:tcPr>
            <w:tcW w:w="16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December 31, 2015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Fiscal 2016:</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August 3, 2016</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August 16, 2016</w:t>
            </w:r>
          </w:p>
        </w:tc>
        <w:tc>
          <w:tcPr>
            <w:tcW w:w="16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August 24, 2016</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7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6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6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475107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2" w:lineRule="auto"/>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approximately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69" w:lineRule="exact"/>
        <w:rPr>
          <w:rFonts w:ascii="Arial" w:cs="Arial" w:eastAsia="Arial" w:hAnsi="Arial"/>
          <w:sz w:val="17"/>
          <w:szCs w:val="17"/>
          <w:color w:val="auto"/>
        </w:rPr>
      </w:pPr>
    </w:p>
    <w:p>
      <w:pPr>
        <w:ind w:left="300" w:right="719" w:hanging="272"/>
        <w:spacing w:after="0" w:line="277"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Of the total distribution of $887,240 on August 24, 2016, $820,753 represented a distribution from realized gains and $66,487 represented a return of capital.</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59" w:firstLine="270"/>
        <w:spacing w:after="0" w:line="255" w:lineRule="auto"/>
        <w:rPr>
          <w:sz w:val="20"/>
          <w:szCs w:val="20"/>
          <w:color w:val="auto"/>
        </w:rPr>
      </w:pPr>
      <w:r>
        <w:rPr>
          <w:rFonts w:ascii="Arial" w:cs="Arial" w:eastAsia="Arial" w:hAnsi="Arial"/>
          <w:sz w:val="18"/>
          <w:szCs w:val="18"/>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business development companies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85" w:lineRule="exact"/>
        <w:rPr>
          <w:sz w:val="20"/>
          <w:szCs w:val="20"/>
          <w:color w:val="auto"/>
        </w:rPr>
      </w:pPr>
    </w:p>
    <w:p>
      <w:pPr>
        <w:ind w:left="40" w:right="519" w:firstLine="270"/>
        <w:spacing w:after="0" w:line="287" w:lineRule="auto"/>
        <w:rPr>
          <w:sz w:val="20"/>
          <w:szCs w:val="20"/>
          <w:color w:val="auto"/>
        </w:rPr>
      </w:pPr>
      <w:r>
        <w:rPr>
          <w:rFonts w:ascii="Arial" w:cs="Arial" w:eastAsia="Arial" w:hAnsi="Arial"/>
          <w:sz w:val="16"/>
          <w:szCs w:val="16"/>
          <w:color w:val="auto"/>
        </w:rPr>
        <w:t>Our current intention is to make any future distributions out of assets legally available in the form of additional shares of our common stock under our dividend reinvestment plan, unless a stockholder elects to receive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remain taxable to the U.S. stockholder,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In addition, reinvested dividends have the effect of increasing our gross assets, which may correspondingly increase the management fee payable to our investment adviser, GSV Asset Management. Stockholders who hold shares in the name of a broker or financial intermediary should contact the broker or financial intermediary regarding any election to receive distributions in cash.</w:t>
      </w:r>
    </w:p>
    <w:p>
      <w:pPr>
        <w:spacing w:after="0" w:line="61" w:lineRule="exact"/>
        <w:rPr>
          <w:sz w:val="20"/>
          <w:szCs w:val="20"/>
          <w:color w:val="auto"/>
        </w:rPr>
      </w:pPr>
    </w:p>
    <w:p>
      <w:pPr>
        <w:ind w:left="40" w:right="599" w:firstLine="270"/>
        <w:spacing w:after="0" w:line="268" w:lineRule="auto"/>
        <w:rPr>
          <w:sz w:val="20"/>
          <w:szCs w:val="20"/>
          <w:color w:val="auto"/>
        </w:rPr>
      </w:pPr>
      <w:r>
        <w:rPr>
          <w:rFonts w:ascii="Arial" w:cs="Arial" w:eastAsia="Arial" w:hAnsi="Arial"/>
          <w:sz w:val="17"/>
          <w:szCs w:val="17"/>
          <w:color w:val="auto"/>
        </w:rPr>
        <w:t>We elected to be treated as a RIC under Subchapter M of the Code beginning with our taxable year ended December 31, 2014 and continue to qualify to be treated as a RIC. So long as we qualify and maintain our status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condensed consolidated financial statements. In order to qualify as a RIC and to avoid corporate-level tax on the income we distribute to our stockholders, we are required, under Subchapter M of the Code, to distribute at least 90% of our ordinary income and short-term capital gains to our stockholders on an annual basis. See “Note 1 — Nature of Operations and Significant Accounting Policies — Summary of Significant Accounting Policies — U.S. Federal and State Income Taxes” and “Note 8 — Income Taxes” to our condensed consolidated financial statements as of June 30, 2017 for more information. The GSVC Holdings included in our condensed consolidated financial statements are taxable subsidiaries, regardless of whether we are a RIC. These taxable subsidiaries are not consolidated for income tax purposes and may generate income tax expenses as a result of their ownership of the portfolio companies. Such income tax expenses and deferred taxes, if any, will be reflected in our condensed consolidated financial statements.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Borrowings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ind w:left="40" w:right="639" w:firstLine="270"/>
        <w:spacing w:after="0" w:line="253" w:lineRule="auto"/>
        <w:rPr>
          <w:sz w:val="20"/>
          <w:szCs w:val="20"/>
          <w:color w:val="auto"/>
        </w:rPr>
      </w:pPr>
      <w:r>
        <w:rPr>
          <w:rFonts w:ascii="Arial" w:cs="Arial" w:eastAsia="Arial" w:hAnsi="Arial"/>
          <w:sz w:val="18"/>
          <w:szCs w:val="18"/>
          <w:color w:val="auto"/>
        </w:rPr>
        <w:t>On September 17, 2013, we issued $69 million aggregate principal amount of Convertible Senior Notes (including $9 million aggregate principal amount issued pursuant to the exercise of the initial purchasers’ option to purchase additional Convertible Senior Notes), which bear interest at a fixed rate of 5.25% per year, are payable semi-annually and mature on September 15, 2018, unless previously repurchased or converted in accordance with their terms. We do not have the right to redeem the Convertible Senior Notes prior to maturity. As of June 30, 2017, the Convertible Senior Notes were convertible into shares of our common stock based on a conversion rate of 83.3596 shares of our common stock per $1,000 principal amount of the Convertible Senior Notes, which is equivalent to a conversion price of approximately $12.00 per share of common stock. Refer to “Note 9 — Long-Term Liabilities” to our condensed consolidated financial statements as of June 30, 2017 for more information regarding the Convertible Senior Notes.</w:t>
      </w: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9" w:name="page60"/>
    <w:bookmarkEnd w:id="5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60" w:right="559" w:firstLine="270"/>
        <w:spacing w:after="0" w:line="271" w:lineRule="auto"/>
        <w:rPr>
          <w:sz w:val="20"/>
          <w:szCs w:val="20"/>
          <w:color w:val="auto"/>
        </w:rPr>
      </w:pPr>
      <w:r>
        <w:rPr>
          <w:rFonts w:ascii="Arial" w:cs="Arial" w:eastAsia="Arial" w:hAnsi="Arial"/>
          <w:sz w:val="17"/>
          <w:szCs w:val="17"/>
          <w:color w:val="auto"/>
        </w:rPr>
        <w:t>On May 31, 2017, we entered into the Loan Agreement with Western Alliance Bank, pursuant to which Western Alliance Bank agreed to provide us with the $12 million Credit Facility. The Credit Facility, among other things, matures on the later of (i) August 15, 2018 or (ii) thirty days prior to the due date of the Convertible Senior Notes, which mature on September 15, 2018. The Credit Facility bears interest at a per annum rate equal to the prime rate plus 3.50%. In addition, a facility fee of $60,000 was charged upon closing of the Credit Facility, and the Loan Agreement requires payment of a fee for unused amounts during the revolving period in an amount equal to 0.50% per annum of the average unused portion of the Credit Facility payable quarterly in arrears. Refer to “Note 9 — Long-Term Liabilities” to our condensed consolidated financial statements as of June 30, 2017 for more information regarding the Credit Facility.</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60" w:right="539" w:firstLine="270"/>
        <w:spacing w:after="0" w:line="289" w:lineRule="auto"/>
        <w:rPr>
          <w:sz w:val="20"/>
          <w:szCs w:val="20"/>
          <w:color w:val="auto"/>
        </w:rPr>
      </w:pPr>
      <w:r>
        <w:rPr>
          <w:rFonts w:ascii="Arial" w:cs="Arial" w:eastAsia="Arial" w:hAnsi="Arial"/>
          <w:sz w:val="16"/>
          <w:szCs w:val="16"/>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condensed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1 — Nature of Operations and Significant Accounting Policies — Summary of Significant Accounting Policies” to our condensed consolidated financial statements as of June 30, 2017 for further detail regarding our critical accounting policies and recently issued accounting pronouncements not yet required to be adopted by us.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Portfolio Activity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June 30, 2017 through August 9, 2017, we did not purchase any investments.</w:t>
      </w:r>
    </w:p>
    <w:p>
      <w:pPr>
        <w:spacing w:after="0" w:line="117" w:lineRule="exact"/>
        <w:rPr>
          <w:sz w:val="20"/>
          <w:szCs w:val="20"/>
          <w:color w:val="auto"/>
        </w:rPr>
      </w:pPr>
    </w:p>
    <w:p>
      <w:pPr>
        <w:ind w:left="60" w:right="619" w:firstLine="270"/>
        <w:spacing w:after="0" w:line="277" w:lineRule="auto"/>
        <w:rPr>
          <w:sz w:val="20"/>
          <w:szCs w:val="20"/>
          <w:color w:val="auto"/>
        </w:rPr>
      </w:pPr>
      <w:r>
        <w:rPr>
          <w:rFonts w:ascii="Arial" w:cs="Arial" w:eastAsia="Arial" w:hAnsi="Arial"/>
          <w:sz w:val="18"/>
          <w:szCs w:val="18"/>
          <w:color w:val="auto"/>
        </w:rPr>
        <w:t>From June 30, 2017 through August 9, 2017, we sold investments of $5,739,896 net of transaction costs as shown in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4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Transaction</w:t>
            </w:r>
          </w:p>
        </w:tc>
        <w:tc>
          <w:tcPr>
            <w:tcW w:w="120" w:type="dxa"/>
            <w:vAlign w:val="bottom"/>
          </w:tcPr>
          <w:p>
            <w:pPr>
              <w:spacing w:after="0"/>
              <w:rPr>
                <w:sz w:val="16"/>
                <w:szCs w:val="16"/>
                <w:color w:val="auto"/>
              </w:rPr>
            </w:pPr>
          </w:p>
        </w:tc>
        <w:tc>
          <w:tcPr>
            <w:tcW w:w="9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40"/>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6"/>
                <w:szCs w:val="16"/>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149"/>
        </w:trPr>
        <w:tc>
          <w:tcPr>
            <w:tcW w:w="3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Sales by Portfolio Company</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Gain/</w:t>
            </w:r>
          </w:p>
        </w:tc>
        <w:tc>
          <w:tcPr>
            <w:tcW w:w="0" w:type="dxa"/>
            <w:vAlign w:val="bottom"/>
          </w:tcPr>
          <w:p>
            <w:pPr>
              <w:spacing w:after="0"/>
              <w:rPr>
                <w:sz w:val="1"/>
                <w:szCs w:val="1"/>
                <w:color w:val="auto"/>
              </w:rPr>
            </w:pPr>
          </w:p>
        </w:tc>
      </w:tr>
      <w:tr>
        <w:trPr>
          <w:trHeight w:val="176"/>
        </w:trPr>
        <w:tc>
          <w:tcPr>
            <w:tcW w:w="3060" w:type="dxa"/>
            <w:vAlign w:val="bottom"/>
            <w:tcBorders>
              <w:bottom w:val="single" w:sz="8" w:color="auto"/>
            </w:tcBorders>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Sold</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40"/>
              <w:spacing w:after="0" w:line="176" w:lineRule="exact"/>
              <w:rPr>
                <w:sz w:val="20"/>
                <w:szCs w:val="20"/>
                <w:color w:val="auto"/>
              </w:rPr>
            </w:pPr>
            <w:r>
              <w:rPr>
                <w:rFonts w:ascii="Arial" w:cs="Arial" w:eastAsia="Arial" w:hAnsi="Arial"/>
                <w:sz w:val="13"/>
                <w:szCs w:val="13"/>
                <w:b w:val="1"/>
                <w:bCs w:val="1"/>
                <w:color w:val="auto"/>
                <w:w w:val="95"/>
              </w:rPr>
              <w:t>Price</w:t>
            </w:r>
            <w:r>
              <w:rPr>
                <w:rFonts w:ascii="Arial" w:cs="Arial" w:eastAsia="Arial" w:hAnsi="Arial"/>
                <w:sz w:val="20"/>
                <w:szCs w:val="20"/>
                <w:b w:val="1"/>
                <w:bCs w:val="1"/>
                <w:color w:val="auto"/>
                <w:w w:val="95"/>
                <w:vertAlign w:val="superscript"/>
              </w:rPr>
              <w:t>(1)</w:t>
            </w:r>
          </w:p>
        </w:tc>
        <w:tc>
          <w:tcPr>
            <w:tcW w:w="120" w:type="dxa"/>
            <w:vAlign w:val="bottom"/>
          </w:tcPr>
          <w:p>
            <w:pPr>
              <w:spacing w:after="0"/>
              <w:rPr>
                <w:sz w:val="15"/>
                <w:szCs w:val="15"/>
                <w:color w:val="auto"/>
              </w:rPr>
            </w:pPr>
          </w:p>
        </w:tc>
        <w:tc>
          <w:tcPr>
            <w:tcW w:w="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Proceeds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10"/>
        </w:trPr>
        <w:tc>
          <w:tcPr>
            <w:tcW w:w="3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Chegg, Inc.</w:t>
            </w:r>
          </w:p>
        </w:tc>
        <w:tc>
          <w:tcPr>
            <w:tcW w:w="10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7/20/17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$2,802,995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431,849</w:t>
            </w:r>
          </w:p>
        </w:tc>
        <w:tc>
          <w:tcPr>
            <w:tcW w:w="0" w:type="dxa"/>
            <w:vAlign w:val="bottom"/>
          </w:tcPr>
          <w:p>
            <w:pPr>
              <w:spacing w:after="0"/>
              <w:rPr>
                <w:sz w:val="1"/>
                <w:szCs w:val="1"/>
                <w:color w:val="auto"/>
              </w:rPr>
            </w:pPr>
          </w:p>
        </w:tc>
      </w:tr>
      <w:tr>
        <w:trPr>
          <w:trHeight w:val="216"/>
        </w:trPr>
        <w:tc>
          <w:tcPr>
            <w:tcW w:w="3060" w:type="dxa"/>
            <w:vAlign w:val="bottom"/>
            <w:gridSpan w:val="3"/>
          </w:tcPr>
          <w:p>
            <w:pPr>
              <w:ind w:left="20"/>
              <w:spacing w:after="0"/>
              <w:rPr>
                <w:sz w:val="20"/>
                <w:szCs w:val="20"/>
                <w:color w:val="auto"/>
              </w:rPr>
            </w:pPr>
            <w:r>
              <w:rPr>
                <w:rFonts w:ascii="Arial" w:cs="Arial" w:eastAsia="Arial" w:hAnsi="Arial"/>
                <w:sz w:val="18"/>
                <w:szCs w:val="18"/>
                <w:color w:val="auto"/>
              </w:rPr>
              <w:t>Chegg, Inc.</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7/25/17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14.29</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1,429,447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243,874</w:t>
            </w:r>
          </w:p>
        </w:tc>
        <w:tc>
          <w:tcPr>
            <w:tcW w:w="0" w:type="dxa"/>
            <w:vAlign w:val="bottom"/>
          </w:tcPr>
          <w:p>
            <w:pPr>
              <w:spacing w:after="0"/>
              <w:rPr>
                <w:sz w:val="1"/>
                <w:szCs w:val="1"/>
                <w:color w:val="auto"/>
              </w:rPr>
            </w:pPr>
          </w:p>
        </w:tc>
      </w:tr>
      <w:tr>
        <w:trPr>
          <w:trHeight w:val="216"/>
        </w:trPr>
        <w:tc>
          <w:tcPr>
            <w:tcW w:w="3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Chegg, Inc.</w:t>
            </w:r>
          </w:p>
        </w:tc>
        <w:tc>
          <w:tcPr>
            <w:tcW w:w="10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7/26/17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1,498,105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312,532</w:t>
            </w:r>
          </w:p>
        </w:tc>
        <w:tc>
          <w:tcPr>
            <w:tcW w:w="0" w:type="dxa"/>
            <w:vAlign w:val="bottom"/>
          </w:tcPr>
          <w:p>
            <w:pPr>
              <w:spacing w:after="0"/>
              <w:rPr>
                <w:sz w:val="1"/>
                <w:szCs w:val="1"/>
                <w:color w:val="auto"/>
              </w:rPr>
            </w:pPr>
          </w:p>
        </w:tc>
      </w:tr>
      <w:tr>
        <w:trPr>
          <w:trHeight w:val="216"/>
        </w:trPr>
        <w:tc>
          <w:tcPr>
            <w:tcW w:w="3060" w:type="dxa"/>
            <w:vAlign w:val="bottom"/>
            <w:gridSpan w:val="3"/>
          </w:tcPr>
          <w:p>
            <w:pPr>
              <w:ind w:left="20"/>
              <w:spacing w:after="0"/>
              <w:rPr>
                <w:sz w:val="20"/>
                <w:szCs w:val="20"/>
                <w:color w:val="auto"/>
              </w:rPr>
            </w:pPr>
            <w:r>
              <w:rPr>
                <w:rFonts w:ascii="Arial" w:cs="Arial" w:eastAsia="Arial" w:hAnsi="Arial"/>
                <w:sz w:val="18"/>
                <w:szCs w:val="18"/>
                <w:color w:val="auto"/>
              </w:rPr>
              <w:t>Chegg, Inc.</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8/3/17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9,349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5,739,896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990,491</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5213985"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The average net share price is the net share price realized after deducting all commissions and fees on the sale(s).</w:t>
      </w:r>
    </w:p>
    <w:p>
      <w:pPr>
        <w:spacing w:after="0" w:line="117" w:lineRule="exact"/>
        <w:rPr>
          <w:sz w:val="20"/>
          <w:szCs w:val="20"/>
          <w:color w:val="auto"/>
        </w:rPr>
      </w:pPr>
    </w:p>
    <w:p>
      <w:pPr>
        <w:ind w:left="60" w:right="519" w:firstLine="270"/>
        <w:spacing w:after="0" w:line="255" w:lineRule="auto"/>
        <w:rPr>
          <w:sz w:val="20"/>
          <w:szCs w:val="20"/>
          <w:color w:val="auto"/>
        </w:rPr>
      </w:pPr>
      <w:r>
        <w:rPr>
          <w:rFonts w:ascii="Arial" w:cs="Arial" w:eastAsia="Arial" w:hAnsi="Arial"/>
          <w:sz w:val="18"/>
          <w:szCs w:val="18"/>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200" w:lineRule="exact"/>
        <w:rPr>
          <w:sz w:val="20"/>
          <w:szCs w:val="20"/>
          <w:color w:val="auto"/>
        </w:rPr>
      </w:pPr>
    </w:p>
    <w:p>
      <w:pPr>
        <w:spacing w:after="0" w:line="33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0" w:name="page61"/>
    <w:bookmarkEnd w:id="6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Management Transition</w:t>
      </w:r>
    </w:p>
    <w:p>
      <w:pPr>
        <w:spacing w:after="0" w:line="121" w:lineRule="exact"/>
        <w:rPr>
          <w:sz w:val="20"/>
          <w:szCs w:val="20"/>
          <w:color w:val="auto"/>
        </w:rPr>
      </w:pPr>
    </w:p>
    <w:p>
      <w:pPr>
        <w:ind w:left="60" w:right="719" w:firstLine="270"/>
        <w:spacing w:after="0" w:line="257" w:lineRule="auto"/>
        <w:rPr>
          <w:sz w:val="20"/>
          <w:szCs w:val="20"/>
          <w:color w:val="auto"/>
        </w:rPr>
      </w:pPr>
      <w:r>
        <w:rPr>
          <w:rFonts w:ascii="Arial" w:cs="Arial" w:eastAsia="Arial" w:hAnsi="Arial"/>
          <w:sz w:val="18"/>
          <w:szCs w:val="18"/>
          <w:color w:val="auto"/>
        </w:rPr>
        <w:t>On August 8, 2017, we announced Michael Moe’s resignation as our Chief Executive Officer, effective August 11, 2017, and that our board of directors had appointed Mark Klein, a member of our board of directors and a consultant to GSV Asset Management, to serve as our Chief Executive Officer, effective August 11, 2017. Mr. Moe will continue to serve in his role as Chairman of our board of directors. Further information regarding our management transition can be found in our Current Report on Form 8-K, filed with the SEC on August 8, 2017.</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Share Repurchase Program</w:t>
      </w:r>
    </w:p>
    <w:p>
      <w:pPr>
        <w:spacing w:after="0" w:line="121" w:lineRule="exact"/>
        <w:rPr>
          <w:sz w:val="20"/>
          <w:szCs w:val="20"/>
          <w:color w:val="auto"/>
        </w:rPr>
      </w:pPr>
    </w:p>
    <w:p>
      <w:pPr>
        <w:ind w:left="60" w:right="579" w:firstLine="270"/>
        <w:spacing w:after="0" w:line="276" w:lineRule="auto"/>
        <w:rPr>
          <w:sz w:val="20"/>
          <w:szCs w:val="20"/>
          <w:color w:val="auto"/>
        </w:rPr>
      </w:pPr>
      <w:r>
        <w:rPr>
          <w:rFonts w:ascii="Arial" w:cs="Arial" w:eastAsia="Arial" w:hAnsi="Arial"/>
          <w:sz w:val="17"/>
          <w:szCs w:val="17"/>
          <w:color w:val="auto"/>
        </w:rPr>
        <w:t>On August 7, 2017, our board of directors authorized a discretionary share repurchase program of shares of our common stock, $0.01 par value per share, of up to $5.0 million over the next twelve months, until the earlier of (i) August 6, 2018 or (ii) the repurchase of $5.0 million in aggregate amount of our common stock. Under the repurchase program, we may repurchase our outstanding common stock in the open market provided that we comply with the prohibitions under our insider trading policies and procedures and the applicable provisions of the 1940 Act and the Exchange Act.</w:t>
      </w:r>
    </w:p>
    <w:p>
      <w:pPr>
        <w:spacing w:after="0" w:line="101" w:lineRule="exact"/>
        <w:rPr>
          <w:sz w:val="20"/>
          <w:szCs w:val="20"/>
          <w:color w:val="auto"/>
        </w:rPr>
      </w:pPr>
    </w:p>
    <w:p>
      <w:pPr>
        <w:ind w:left="60" w:right="4779"/>
        <w:spacing w:after="0" w:line="393"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Market Risk</w:t>
      </w:r>
    </w:p>
    <w:p>
      <w:pPr>
        <w:spacing w:after="0" w:line="1" w:lineRule="exact"/>
        <w:rPr>
          <w:sz w:val="20"/>
          <w:szCs w:val="20"/>
          <w:color w:val="auto"/>
        </w:rPr>
      </w:pPr>
    </w:p>
    <w:p>
      <w:pPr>
        <w:ind w:left="60" w:right="579" w:firstLine="270"/>
        <w:spacing w:after="0" w:line="273" w:lineRule="auto"/>
        <w:rPr>
          <w:sz w:val="20"/>
          <w:szCs w:val="20"/>
          <w:color w:val="auto"/>
        </w:rPr>
      </w:pPr>
      <w:r>
        <w:rPr>
          <w:rFonts w:ascii="Arial" w:cs="Arial" w:eastAsia="Arial" w:hAnsi="Arial"/>
          <w:sz w:val="17"/>
          <w:szCs w:val="17"/>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60" w:right="599" w:firstLine="270"/>
        <w:spacing w:after="0" w:line="257" w:lineRule="auto"/>
        <w:rPr>
          <w:sz w:val="20"/>
          <w:szCs w:val="20"/>
          <w:color w:val="auto"/>
        </w:rPr>
      </w:pPr>
      <w:r>
        <w:rPr>
          <w:rFonts w:ascii="Arial" w:cs="Arial" w:eastAsia="Arial" w:hAnsi="Arial"/>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indirect effect on the business, financial condition and results of operations of the portfolio companies in which we invest.</w:t>
      </w:r>
    </w:p>
    <w:p>
      <w:pPr>
        <w:spacing w:after="0" w:line="80" w:lineRule="exact"/>
        <w:rPr>
          <w:sz w:val="20"/>
          <w:szCs w:val="20"/>
          <w:color w:val="auto"/>
        </w:rPr>
      </w:pPr>
    </w:p>
    <w:p>
      <w:pPr>
        <w:ind w:left="60" w:right="519" w:firstLine="270"/>
        <w:spacing w:after="0" w:line="279" w:lineRule="auto"/>
        <w:rPr>
          <w:sz w:val="20"/>
          <w:szCs w:val="20"/>
          <w:color w:val="auto"/>
        </w:rPr>
      </w:pPr>
      <w:r>
        <w:rPr>
          <w:rFonts w:ascii="Arial" w:cs="Arial" w:eastAsia="Arial" w:hAnsi="Arial"/>
          <w:sz w:val="17"/>
          <w:szCs w:val="17"/>
          <w:color w:val="auto"/>
        </w:rPr>
        <w:t>As of June 30, 2017, all of our debt investments bore a fixed rate of interest. As of June 30, 2017, all of our borrowings bore a fixed rate of interest with the exception of the Credit Facility, which is indexed to the prime rate. We do not expect a significant impact on net investment income or loss due to changes in the prime rate, based on its historical stability. The table below, however, indicates the impact on our net investment income or loss should the prime rate change.</w:t>
      </w:r>
    </w:p>
    <w:p>
      <w:pPr>
        <w:spacing w:after="0" w:line="63" w:lineRule="exact"/>
        <w:rPr>
          <w:sz w:val="20"/>
          <w:szCs w:val="20"/>
          <w:color w:val="auto"/>
        </w:rPr>
      </w:pPr>
    </w:p>
    <w:p>
      <w:pPr>
        <w:jc w:val="both"/>
        <w:ind w:left="60" w:right="539" w:firstLine="270"/>
        <w:spacing w:after="0" w:line="286" w:lineRule="auto"/>
        <w:rPr>
          <w:sz w:val="20"/>
          <w:szCs w:val="20"/>
          <w:color w:val="auto"/>
        </w:rPr>
      </w:pPr>
      <w:r>
        <w:rPr>
          <w:rFonts w:ascii="Arial" w:cs="Arial" w:eastAsia="Arial" w:hAnsi="Arial"/>
          <w:sz w:val="17"/>
          <w:szCs w:val="17"/>
          <w:color w:val="auto"/>
        </w:rPr>
        <w:t>Based on our June 30, 2017 Condensed Consolidated Statement of Assets and Liabilities, the following table shows the various, incremental impact of changes in interest rates on our net income or loss related to the Credit Facility for the six months ended June 30, 2017, assuming no changes in our investment income and borrowing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2540</wp:posOffset>
            </wp:positionV>
            <wp:extent cx="47510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Basis Point Change</w:t>
            </w:r>
            <w:r>
              <w:rPr>
                <w:rFonts w:ascii="Arial" w:cs="Arial" w:eastAsia="Arial" w:hAnsi="Arial"/>
                <w:sz w:val="23"/>
                <w:szCs w:val="23"/>
                <w:b w:val="1"/>
                <w:bCs w:val="1"/>
                <w:color w:val="auto"/>
                <w:vertAlign w:val="superscript"/>
              </w:rPr>
              <w:t>(1)</w:t>
            </w:r>
          </w:p>
        </w:tc>
        <w:tc>
          <w:tcPr>
            <w:tcW w:w="16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14"/>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9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5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7"/>
              </w:rPr>
              <w:t>Expense</w:t>
            </w:r>
          </w:p>
        </w:tc>
        <w:tc>
          <w:tcPr>
            <w:tcW w:w="16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Income/(Loss)</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300 Basis points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5"/>
              </w:rPr>
              <w:t>180,000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3"/>
              </w:rPr>
              <w:t>(180,000)</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Up 200 Basis points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w w:val="95"/>
              </w:rPr>
              <w:t>120,000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w w:val="93"/>
              </w:rPr>
              <w:t>(120,000)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100 Basis points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Down 100 Basis points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Down 200 Basis points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Down 300 Basis points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8"/>
              </w:rPr>
              <w:t>(180,000)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300" w:right="619" w:hanging="272"/>
        <w:spacing w:after="0" w:line="264" w:lineRule="auto"/>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Assumes we have borrowed $12 million under the Credit Facility for the six months ended June 30, 2017. Our actual borrowings under the Credit Facility will vary based on our needs throughout the year. For the six months ended June 30, 2017, our actual average borrowings under the Credit Facility were $176,796.</w:t>
      </w:r>
    </w:p>
    <w:p>
      <w:pPr>
        <w:spacing w:after="0" w:line="200" w:lineRule="exact"/>
        <w:rPr>
          <w:sz w:val="20"/>
          <w:szCs w:val="20"/>
          <w:color w:val="auto"/>
        </w:rPr>
      </w:pPr>
    </w:p>
    <w:p>
      <w:pPr>
        <w:spacing w:after="0" w:line="3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19" w:firstLine="270"/>
        <w:spacing w:after="0" w:line="312" w:lineRule="auto"/>
        <w:rPr>
          <w:sz w:val="20"/>
          <w:szCs w:val="20"/>
          <w:color w:val="auto"/>
        </w:rPr>
      </w:pPr>
      <w:r>
        <w:rPr>
          <w:rFonts w:ascii="Arial" w:cs="Arial" w:eastAsia="Arial" w:hAnsi="Arial"/>
          <w:sz w:val="16"/>
          <w:szCs w:val="16"/>
          <w:color w:val="auto"/>
        </w:rPr>
        <w:t>Although we believe that this measure is indicative of our sensitivity to the above-referenced interest rate changes, it does not reflect potential changes in credit quality, size and composition of the assets on our statement of assets and liabilities and other business developments that could affect net increase or decrease in net assets resulting from operations, or net income or loss.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As of June 30, 2017, we,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70" w:lineRule="exact"/>
        <w:rPr>
          <w:sz w:val="20"/>
          <w:szCs w:val="20"/>
          <w:color w:val="auto"/>
        </w:rPr>
      </w:pPr>
    </w:p>
    <w:p>
      <w:pPr>
        <w:jc w:val="both"/>
        <w:ind w:left="40" w:right="659" w:firstLine="270"/>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quarter ended June 30, 2017, that have materially affected, or are reasonably likely to materially affect, our internal control over financial reporting.</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Although we and our subsidiaries may, from time to time, be involved in litigation arising out of our and our subsidiaries’ operations in the normal course of business or otherwise, neither we nor any of our subsidiaries are currently party to any pending material legal proceedings.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0" w:right="519" w:firstLine="270"/>
        <w:spacing w:after="0" w:line="291"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“Item 1A. Risk Factors” in our annual report on Form 10-K for the fiscal year ended December 31, 2016, filed with the SEC on March 16, 2017, which could materially affect our business, financial condition and/or operating results. The risks described in our annual report on Form 10-K are not the only risks we face. Additional risks and uncertainties not currently known to us, or that we currently deem to be immaterial, also may materially and adversely affect our business, financial condition and/or operating results. Other than as described below, during the six months ended June 30, 2017, there have been no material changes to the risk factors discussed in “Item 1A. Risk Factors” of our annual report on Form 10-K for the fiscal year ended December 31, 2016:</w:t>
      </w:r>
    </w:p>
    <w:p>
      <w:pPr>
        <w:spacing w:after="0" w:line="86" w:lineRule="exact"/>
        <w:rPr>
          <w:sz w:val="20"/>
          <w:szCs w:val="20"/>
          <w:color w:val="auto"/>
        </w:rPr>
      </w:pPr>
    </w:p>
    <w:p>
      <w:pPr>
        <w:ind w:left="40" w:right="1379"/>
        <w:spacing w:after="0" w:line="277" w:lineRule="auto"/>
        <w:rPr>
          <w:sz w:val="20"/>
          <w:szCs w:val="20"/>
          <w:color w:val="auto"/>
        </w:rPr>
      </w:pPr>
      <w:r>
        <w:rPr>
          <w:rFonts w:ascii="Arial" w:cs="Arial" w:eastAsia="Arial" w:hAnsi="Arial"/>
          <w:sz w:val="18"/>
          <w:szCs w:val="18"/>
          <w:b w:val="1"/>
          <w:bCs w:val="1"/>
          <w:i w:val="1"/>
          <w:iCs w:val="1"/>
          <w:color w:val="auto"/>
        </w:rPr>
        <w:t>If we default under the Credit Facility or any other future indebtedness, we may not be able to make payments on the Convertible Senior Notes.</w:t>
      </w:r>
    </w:p>
    <w:p>
      <w:pPr>
        <w:spacing w:after="0" w:line="62" w:lineRule="exact"/>
        <w:rPr>
          <w:sz w:val="20"/>
          <w:szCs w:val="20"/>
          <w:color w:val="auto"/>
        </w:rPr>
      </w:pPr>
    </w:p>
    <w:p>
      <w:pPr>
        <w:ind w:left="40" w:right="539" w:firstLine="270"/>
        <w:spacing w:after="0" w:line="285" w:lineRule="auto"/>
        <w:rPr>
          <w:sz w:val="20"/>
          <w:szCs w:val="20"/>
          <w:color w:val="auto"/>
        </w:rPr>
      </w:pPr>
      <w:r>
        <w:rPr>
          <w:rFonts w:ascii="Arial" w:cs="Arial" w:eastAsia="Arial" w:hAnsi="Arial"/>
          <w:sz w:val="16"/>
          <w:szCs w:val="16"/>
          <w:color w:val="auto"/>
        </w:rPr>
        <w:t>Any default under the Credit Facility or any other future indebtedness to which we may be a party that is not waived by the required lenders or holders, and the remedies sought by the holders of such indebtedness, could make us unable to pay principal, premium, if any, and interest on the Convertible Senior Notes and substantially decrease the market value of the Convertible Senior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may have the ability to elect to declare all the funds borrowed thereunder due and payable, together with accrued and unpaid interest, the lenders under the Credit Facility or other debt we may incur in the future may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Credit Facility or other debt that we may incur in the future to avoid being in default. If we breach our covenants under the Credit Facility or other debt and seek a waiver, we may not be able to obtain a waiver from the required lenders or holders. If this occurs, we may be in default under the Credit Facility or other debt, the lenders or holders could exercise their rights as described above, and we could be forced into bankruptcy or liquidation. If we are unable to repay debt, lenders having secured obligations, including the lenders under the Credit Facility, could proceed against the collateral securing the debt. Because the Credit Facility has, and any future credit facilities will likely have, customary cross-default provisions, if the indebtedness under the Convertible Senior Notes, the Credit Facility or under any future credit facility is accelerated, we may be unable to repay or finance the amounts due.</w:t>
      </w:r>
    </w:p>
    <w:p>
      <w:pPr>
        <w:spacing w:after="0" w:line="105" w:lineRule="exact"/>
        <w:rPr>
          <w:sz w:val="20"/>
          <w:szCs w:val="20"/>
          <w:color w:val="auto"/>
        </w:rPr>
      </w:pPr>
    </w:p>
    <w:p>
      <w:pPr>
        <w:jc w:val="both"/>
        <w:ind w:left="40" w:right="579"/>
        <w:spacing w:after="0" w:line="264" w:lineRule="auto"/>
        <w:rPr>
          <w:sz w:val="20"/>
          <w:szCs w:val="20"/>
          <w:color w:val="auto"/>
        </w:rPr>
      </w:pPr>
      <w:r>
        <w:rPr>
          <w:rFonts w:ascii="Arial" w:cs="Arial" w:eastAsia="Arial" w:hAnsi="Arial"/>
          <w:sz w:val="18"/>
          <w:szCs w:val="18"/>
          <w:b w:val="1"/>
          <w:bCs w:val="1"/>
          <w:i w:val="1"/>
          <w:iCs w:val="1"/>
          <w:color w:val="auto"/>
        </w:rPr>
        <w:t>If we default under the Credit Facility or any future borrowing facility we enter into or are unable to amend, repay or refinance any such facility on commercially reasonable terms, or at all, we may suffer material adverse effects on our business, financial condition, results of operations and cash flows.</w:t>
      </w:r>
    </w:p>
    <w:p>
      <w:pPr>
        <w:spacing w:after="0" w:line="73" w:lineRule="exact"/>
        <w:rPr>
          <w:sz w:val="20"/>
          <w:szCs w:val="20"/>
          <w:color w:val="auto"/>
        </w:rPr>
      </w:pPr>
    </w:p>
    <w:p>
      <w:pPr>
        <w:ind w:left="40" w:right="619" w:firstLine="270"/>
        <w:spacing w:after="0" w:line="297" w:lineRule="auto"/>
        <w:rPr>
          <w:sz w:val="20"/>
          <w:szCs w:val="20"/>
          <w:color w:val="auto"/>
        </w:rPr>
      </w:pPr>
      <w:r>
        <w:rPr>
          <w:rFonts w:ascii="Arial" w:cs="Arial" w:eastAsia="Arial" w:hAnsi="Arial"/>
          <w:sz w:val="16"/>
          <w:szCs w:val="16"/>
          <w:color w:val="auto"/>
        </w:rPr>
        <w:t>Substantially all of our assets are pledged as collateral under the Credit Facility. In the event that we default under the Credit Facility or any other future borrowing facility, our business could be adversely affected as we may be forced to sell all or a portion of our investments quickly and prematurely at what may be disadvantageous prices to us in order to meet our outstanding payment obligations and/or support working capital requirements under the Credit Facility or such future borrowing facility, any of which would have a material adverse effect on our business, financial condition, results of operations and cash flows.</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39" w:firstLine="270"/>
        <w:spacing w:after="0" w:line="290" w:lineRule="auto"/>
        <w:rPr>
          <w:sz w:val="20"/>
          <w:szCs w:val="20"/>
          <w:color w:val="auto"/>
        </w:rPr>
      </w:pPr>
      <w:r>
        <w:rPr>
          <w:rFonts w:ascii="Arial" w:cs="Arial" w:eastAsia="Arial" w:hAnsi="Arial"/>
          <w:sz w:val="16"/>
          <w:szCs w:val="16"/>
          <w:color w:val="auto"/>
        </w:rPr>
        <w:t>Following any such default, the agent for the lenders under the Credit Facility or such future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 In addition, if the lender exercises its right to sell the assets pledged under the Credit Facility, such sales may be completed at distressed sale prices, thereby diminishing or potentially eliminating the amount of cash available to us after repayment of our outstanding borrowings. Moreover, such deleveraging of our Company could significantly impair our ability to effectively operate our business in the manner in which we have historically operated. As a result, we could be forced to curtail or cease new investment activities and lower or eliminate the dividends that we have historically paid to our stockholders.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exhibits are filed as part of this report or hereby incorporated by reference to exhibits previously filed with the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47167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48" w:lineRule="exact"/>
        <w:rPr>
          <w:sz w:val="20"/>
          <w:szCs w:val="20"/>
          <w:color w:val="auto"/>
        </w:rPr>
      </w:pPr>
    </w:p>
    <w:tbl>
      <w:tblPr>
        <w:tblLayout w:type="fixed"/>
        <w:tblInd w:w="100" w:type="dxa"/>
        <w:tblCellMar>
          <w:top w:w="0" w:type="dxa"/>
          <w:left w:w="0" w:type="dxa"/>
          <w:bottom w:w="0" w:type="dxa"/>
          <w:right w:w="0" w:type="dxa"/>
        </w:tblCellMar>
      </w:tblPr>
      <w:tr>
        <w:trPr>
          <w:trHeight w:val="345"/>
        </w:trPr>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920" w:type="dxa"/>
            <w:vAlign w:val="bottom"/>
          </w:tcPr>
          <w:p>
            <w:pPr>
              <w:ind w:left="140"/>
              <w:spacing w:after="0"/>
              <w:rPr>
                <w:sz w:val="20"/>
                <w:szCs w:val="20"/>
                <w:color w:val="auto"/>
              </w:rPr>
            </w:pPr>
            <w:r>
              <w:rPr>
                <w:rFonts w:ascii="Arial" w:cs="Arial" w:eastAsia="Arial" w:hAnsi="Arial"/>
                <w:sz w:val="18"/>
                <w:szCs w:val="18"/>
                <w:color w:val="auto"/>
              </w:rPr>
              <w:t>Articles of Amendment and Restatement</w:t>
            </w:r>
            <w:r>
              <w:rPr>
                <w:rFonts w:ascii="Arial" w:cs="Arial" w:eastAsia="Arial" w:hAnsi="Arial"/>
                <w:sz w:val="30"/>
                <w:szCs w:val="30"/>
                <w:color w:val="auto"/>
                <w:vertAlign w:val="superscript"/>
              </w:rPr>
              <w:t>(1)</w:t>
            </w:r>
          </w:p>
        </w:tc>
      </w:tr>
      <w:tr>
        <w:trPr>
          <w:trHeight w:val="257"/>
        </w:trPr>
        <w:tc>
          <w:tcPr>
            <w:tcW w:w="4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6920" w:type="dxa"/>
            <w:vAlign w:val="bottom"/>
          </w:tcPr>
          <w:p>
            <w:pPr>
              <w:ind w:left="140"/>
              <w:spacing w:after="0" w:line="256" w:lineRule="exact"/>
              <w:rPr>
                <w:sz w:val="20"/>
                <w:szCs w:val="20"/>
                <w:color w:val="auto"/>
              </w:rPr>
            </w:pPr>
            <w:r>
              <w:rPr>
                <w:rFonts w:ascii="Arial" w:cs="Arial" w:eastAsia="Arial" w:hAnsi="Arial"/>
                <w:sz w:val="18"/>
                <w:szCs w:val="18"/>
                <w:color w:val="auto"/>
              </w:rPr>
              <w:t>Articles of Amendment</w:t>
            </w:r>
            <w:r>
              <w:rPr>
                <w:rFonts w:ascii="Arial" w:cs="Arial" w:eastAsia="Arial" w:hAnsi="Arial"/>
                <w:sz w:val="29"/>
                <w:szCs w:val="29"/>
                <w:color w:val="auto"/>
                <w:vertAlign w:val="superscript"/>
              </w:rPr>
              <w:t>(2)</w:t>
            </w:r>
          </w:p>
        </w:tc>
      </w:tr>
      <w:tr>
        <w:trPr>
          <w:trHeight w:val="257"/>
        </w:trPr>
        <w:tc>
          <w:tcPr>
            <w:tcW w:w="4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6920" w:type="dxa"/>
            <w:vAlign w:val="bottom"/>
          </w:tcPr>
          <w:p>
            <w:pPr>
              <w:ind w:left="140"/>
              <w:spacing w:after="0" w:line="256" w:lineRule="exact"/>
              <w:rPr>
                <w:sz w:val="20"/>
                <w:szCs w:val="20"/>
                <w:color w:val="auto"/>
              </w:rPr>
            </w:pPr>
            <w:r>
              <w:rPr>
                <w:rFonts w:ascii="Arial" w:cs="Arial" w:eastAsia="Arial" w:hAnsi="Arial"/>
                <w:sz w:val="18"/>
                <w:szCs w:val="18"/>
                <w:color w:val="auto"/>
              </w:rPr>
              <w:t>Bylaws</w:t>
            </w:r>
            <w:r>
              <w:rPr>
                <w:rFonts w:ascii="Arial" w:cs="Arial" w:eastAsia="Arial" w:hAnsi="Arial"/>
                <w:sz w:val="29"/>
                <w:szCs w:val="29"/>
                <w:color w:val="auto"/>
                <w:vertAlign w:val="superscript"/>
              </w:rPr>
              <w:t>(1)</w:t>
            </w:r>
          </w:p>
        </w:tc>
      </w:tr>
      <w:tr>
        <w:trPr>
          <w:trHeight w:val="216"/>
        </w:trPr>
        <w:tc>
          <w:tcPr>
            <w:tcW w:w="460" w:type="dxa"/>
            <w:vAlign w:val="bottom"/>
          </w:tcPr>
          <w:p>
            <w:pPr>
              <w:jc w:val="center"/>
              <w:ind w:right="50"/>
              <w:spacing w:after="0"/>
              <w:rPr>
                <w:sz w:val="20"/>
                <w:szCs w:val="20"/>
                <w:color w:val="auto"/>
              </w:rPr>
            </w:pPr>
            <w:r>
              <w:rPr>
                <w:rFonts w:ascii="Arial" w:cs="Arial" w:eastAsia="Arial" w:hAnsi="Arial"/>
                <w:sz w:val="18"/>
                <w:szCs w:val="18"/>
                <w:color w:val="auto"/>
                <w:w w:val="91"/>
              </w:rPr>
              <w:t>10.1</w:t>
            </w:r>
          </w:p>
        </w:tc>
        <w:tc>
          <w:tcPr>
            <w:tcW w:w="6920" w:type="dxa"/>
            <w:vAlign w:val="bottom"/>
          </w:tcPr>
          <w:p>
            <w:pPr>
              <w:ind w:left="140"/>
              <w:spacing w:after="0"/>
              <w:rPr>
                <w:sz w:val="20"/>
                <w:szCs w:val="20"/>
                <w:color w:val="auto"/>
              </w:rPr>
            </w:pPr>
            <w:r>
              <w:rPr>
                <w:rFonts w:ascii="Arial" w:cs="Arial" w:eastAsia="Arial" w:hAnsi="Arial"/>
                <w:sz w:val="18"/>
                <w:szCs w:val="18"/>
                <w:color w:val="auto"/>
                <w:w w:val="90"/>
              </w:rPr>
              <w:t>Second Amended and Restated Administration Agreement by and between the Company and</w:t>
            </w:r>
          </w:p>
        </w:tc>
      </w:tr>
      <w:tr>
        <w:trPr>
          <w:trHeight w:val="216"/>
        </w:trPr>
        <w:tc>
          <w:tcPr>
            <w:tcW w:w="460" w:type="dxa"/>
            <w:vAlign w:val="bottom"/>
          </w:tcPr>
          <w:p>
            <w:pPr>
              <w:spacing w:after="0"/>
              <w:rPr>
                <w:sz w:val="18"/>
                <w:szCs w:val="18"/>
                <w:color w:val="auto"/>
              </w:rPr>
            </w:pPr>
          </w:p>
        </w:tc>
        <w:tc>
          <w:tcPr>
            <w:tcW w:w="6920" w:type="dxa"/>
            <w:vAlign w:val="bottom"/>
          </w:tcPr>
          <w:p>
            <w:pPr>
              <w:ind w:left="140"/>
              <w:spacing w:after="0"/>
              <w:rPr>
                <w:sz w:val="20"/>
                <w:szCs w:val="20"/>
                <w:color w:val="auto"/>
              </w:rPr>
            </w:pPr>
            <w:r>
              <w:rPr>
                <w:rFonts w:ascii="Arial" w:cs="Arial" w:eastAsia="Arial" w:hAnsi="Arial"/>
                <w:sz w:val="18"/>
                <w:szCs w:val="18"/>
                <w:color w:val="auto"/>
              </w:rPr>
              <w:t>GSV Capital Service Company, LLC*</w:t>
            </w:r>
          </w:p>
        </w:tc>
      </w:tr>
      <w:tr>
        <w:trPr>
          <w:trHeight w:val="220"/>
        </w:trPr>
        <w:tc>
          <w:tcPr>
            <w:tcW w:w="460" w:type="dxa"/>
            <w:vAlign w:val="bottom"/>
          </w:tcPr>
          <w:p>
            <w:pPr>
              <w:jc w:val="center"/>
              <w:ind w:right="50"/>
              <w:spacing w:after="0"/>
              <w:rPr>
                <w:sz w:val="20"/>
                <w:szCs w:val="20"/>
                <w:color w:val="auto"/>
              </w:rPr>
            </w:pPr>
            <w:r>
              <w:rPr>
                <w:rFonts w:ascii="Arial" w:cs="Arial" w:eastAsia="Arial" w:hAnsi="Arial"/>
                <w:sz w:val="18"/>
                <w:szCs w:val="18"/>
                <w:color w:val="auto"/>
                <w:w w:val="91"/>
              </w:rPr>
              <w:t>10.2</w:t>
            </w:r>
          </w:p>
        </w:tc>
        <w:tc>
          <w:tcPr>
            <w:tcW w:w="6920" w:type="dxa"/>
            <w:vAlign w:val="bottom"/>
          </w:tcPr>
          <w:p>
            <w:pPr>
              <w:ind w:left="140"/>
              <w:spacing w:after="0"/>
              <w:rPr>
                <w:sz w:val="20"/>
                <w:szCs w:val="20"/>
                <w:color w:val="auto"/>
              </w:rPr>
            </w:pPr>
            <w:r>
              <w:rPr>
                <w:rFonts w:ascii="Arial" w:cs="Arial" w:eastAsia="Arial" w:hAnsi="Arial"/>
                <w:sz w:val="18"/>
                <w:szCs w:val="18"/>
                <w:color w:val="auto"/>
                <w:w w:val="91"/>
              </w:rPr>
              <w:t>Loan and Security Agreement between GSV Capital Corp. and Western Alliance Bank, dated</w:t>
            </w:r>
          </w:p>
        </w:tc>
      </w:tr>
      <w:tr>
        <w:trPr>
          <w:trHeight w:val="253"/>
        </w:trPr>
        <w:tc>
          <w:tcPr>
            <w:tcW w:w="460" w:type="dxa"/>
            <w:vAlign w:val="bottom"/>
          </w:tcPr>
          <w:p>
            <w:pPr>
              <w:spacing w:after="0"/>
              <w:rPr>
                <w:sz w:val="21"/>
                <w:szCs w:val="21"/>
                <w:color w:val="auto"/>
              </w:rPr>
            </w:pPr>
          </w:p>
        </w:tc>
        <w:tc>
          <w:tcPr>
            <w:tcW w:w="6920" w:type="dxa"/>
            <w:vAlign w:val="bottom"/>
          </w:tcPr>
          <w:p>
            <w:pPr>
              <w:ind w:left="140"/>
              <w:spacing w:after="0" w:line="253" w:lineRule="exact"/>
              <w:rPr>
                <w:sz w:val="20"/>
                <w:szCs w:val="20"/>
                <w:color w:val="auto"/>
              </w:rPr>
            </w:pPr>
            <w:r>
              <w:rPr>
                <w:rFonts w:ascii="Arial" w:cs="Arial" w:eastAsia="Arial" w:hAnsi="Arial"/>
                <w:sz w:val="18"/>
                <w:szCs w:val="18"/>
                <w:color w:val="auto"/>
              </w:rPr>
              <w:t>as of May 31, 2017</w:t>
            </w:r>
            <w:r>
              <w:rPr>
                <w:rFonts w:ascii="Arial" w:cs="Arial" w:eastAsia="Arial" w:hAnsi="Arial"/>
                <w:sz w:val="29"/>
                <w:szCs w:val="29"/>
                <w:color w:val="auto"/>
                <w:vertAlign w:val="superscript"/>
              </w:rPr>
              <w:t>(3)</w:t>
            </w:r>
          </w:p>
        </w:tc>
      </w:tr>
      <w:tr>
        <w:trPr>
          <w:trHeight w:val="216"/>
        </w:trPr>
        <w:tc>
          <w:tcPr>
            <w:tcW w:w="460" w:type="dxa"/>
            <w:vAlign w:val="bottom"/>
          </w:tcPr>
          <w:p>
            <w:pPr>
              <w:jc w:val="center"/>
              <w:ind w:right="50"/>
              <w:spacing w:after="0"/>
              <w:rPr>
                <w:sz w:val="20"/>
                <w:szCs w:val="20"/>
                <w:color w:val="auto"/>
              </w:rPr>
            </w:pPr>
            <w:r>
              <w:rPr>
                <w:rFonts w:ascii="Arial" w:cs="Arial" w:eastAsia="Arial" w:hAnsi="Arial"/>
                <w:sz w:val="18"/>
                <w:szCs w:val="18"/>
                <w:color w:val="auto"/>
                <w:w w:val="91"/>
              </w:rPr>
              <w:t>11.1</w:t>
            </w:r>
          </w:p>
        </w:tc>
        <w:tc>
          <w:tcPr>
            <w:tcW w:w="6920" w:type="dxa"/>
            <w:vAlign w:val="bottom"/>
          </w:tcPr>
          <w:p>
            <w:pPr>
              <w:ind w:left="140"/>
              <w:spacing w:after="0"/>
              <w:rPr>
                <w:sz w:val="20"/>
                <w:szCs w:val="20"/>
                <w:color w:val="auto"/>
              </w:rPr>
            </w:pPr>
            <w:r>
              <w:rPr>
                <w:rFonts w:ascii="Arial" w:cs="Arial" w:eastAsia="Arial" w:hAnsi="Arial"/>
                <w:sz w:val="18"/>
                <w:szCs w:val="18"/>
                <w:color w:val="auto"/>
              </w:rPr>
              <w:t>Statement re Computation of per Share Earnings (Included in “Note 5 — Net</w:t>
            </w:r>
          </w:p>
        </w:tc>
      </w:tr>
      <w:tr>
        <w:trPr>
          <w:trHeight w:val="216"/>
        </w:trPr>
        <w:tc>
          <w:tcPr>
            <w:tcW w:w="460" w:type="dxa"/>
            <w:vAlign w:val="bottom"/>
          </w:tcPr>
          <w:p>
            <w:pPr>
              <w:spacing w:after="0"/>
              <w:rPr>
                <w:sz w:val="18"/>
                <w:szCs w:val="18"/>
                <w:color w:val="auto"/>
              </w:rPr>
            </w:pPr>
          </w:p>
        </w:tc>
        <w:tc>
          <w:tcPr>
            <w:tcW w:w="6920" w:type="dxa"/>
            <w:vAlign w:val="bottom"/>
          </w:tcPr>
          <w:p>
            <w:pPr>
              <w:ind w:left="140"/>
              <w:spacing w:after="0"/>
              <w:rPr>
                <w:sz w:val="20"/>
                <w:szCs w:val="20"/>
                <w:color w:val="auto"/>
              </w:rPr>
            </w:pPr>
            <w:r>
              <w:rPr>
                <w:rFonts w:ascii="Arial" w:cs="Arial" w:eastAsia="Arial" w:hAnsi="Arial"/>
                <w:sz w:val="18"/>
                <w:szCs w:val="18"/>
                <w:color w:val="auto"/>
                <w:w w:val="93"/>
              </w:rPr>
              <w:t>Increase/(Decrease) in Net Assets Resulting from Operations per Common Share — Basic</w:t>
            </w:r>
          </w:p>
        </w:tc>
      </w:tr>
      <w:tr>
        <w:trPr>
          <w:trHeight w:val="216"/>
        </w:trPr>
        <w:tc>
          <w:tcPr>
            <w:tcW w:w="460" w:type="dxa"/>
            <w:vAlign w:val="bottom"/>
          </w:tcPr>
          <w:p>
            <w:pPr>
              <w:spacing w:after="0"/>
              <w:rPr>
                <w:sz w:val="18"/>
                <w:szCs w:val="18"/>
                <w:color w:val="auto"/>
              </w:rPr>
            </w:pPr>
          </w:p>
        </w:tc>
        <w:tc>
          <w:tcPr>
            <w:tcW w:w="6920" w:type="dxa"/>
            <w:vAlign w:val="bottom"/>
          </w:tcPr>
          <w:p>
            <w:pPr>
              <w:ind w:left="140"/>
              <w:spacing w:after="0"/>
              <w:rPr>
                <w:sz w:val="20"/>
                <w:szCs w:val="20"/>
                <w:color w:val="auto"/>
              </w:rPr>
            </w:pPr>
            <w:r>
              <w:rPr>
                <w:rFonts w:ascii="Arial" w:cs="Arial" w:eastAsia="Arial" w:hAnsi="Arial"/>
                <w:sz w:val="18"/>
                <w:szCs w:val="18"/>
                <w:color w:val="auto"/>
                <w:w w:val="92"/>
              </w:rPr>
              <w:t>and Diluted” to our Condensed Consolidated Financial Statements contained in this report)*</w:t>
            </w:r>
          </w:p>
        </w:tc>
      </w:tr>
      <w:tr>
        <w:trPr>
          <w:trHeight w:val="216"/>
        </w:trPr>
        <w:tc>
          <w:tcPr>
            <w:tcW w:w="460" w:type="dxa"/>
            <w:vAlign w:val="bottom"/>
          </w:tcPr>
          <w:p>
            <w:pPr>
              <w:jc w:val="center"/>
              <w:ind w:right="50"/>
              <w:spacing w:after="0"/>
              <w:rPr>
                <w:sz w:val="20"/>
                <w:szCs w:val="20"/>
                <w:color w:val="auto"/>
              </w:rPr>
            </w:pPr>
            <w:r>
              <w:rPr>
                <w:rFonts w:ascii="Arial" w:cs="Arial" w:eastAsia="Arial" w:hAnsi="Arial"/>
                <w:sz w:val="18"/>
                <w:szCs w:val="18"/>
                <w:color w:val="auto"/>
                <w:w w:val="91"/>
              </w:rPr>
              <w:t>31.1</w:t>
            </w:r>
          </w:p>
        </w:tc>
        <w:tc>
          <w:tcPr>
            <w:tcW w:w="6920" w:type="dxa"/>
            <w:vAlign w:val="bottom"/>
          </w:tcPr>
          <w:p>
            <w:pPr>
              <w:ind w:left="140"/>
              <w:spacing w:after="0"/>
              <w:rPr>
                <w:sz w:val="20"/>
                <w:szCs w:val="20"/>
                <w:color w:val="auto"/>
              </w:rPr>
            </w:pPr>
            <w:r>
              <w:rPr>
                <w:rFonts w:ascii="Arial" w:cs="Arial" w:eastAsia="Arial" w:hAnsi="Arial"/>
                <w:sz w:val="18"/>
                <w:szCs w:val="18"/>
                <w:color w:val="auto"/>
                <w:w w:val="93"/>
              </w:rPr>
              <w:t>Certification of Chief Executive Officer pursuant to Rule 13a-14 of the Securities Exchange</w:t>
            </w:r>
          </w:p>
        </w:tc>
      </w:tr>
      <w:tr>
        <w:trPr>
          <w:trHeight w:val="216"/>
        </w:trPr>
        <w:tc>
          <w:tcPr>
            <w:tcW w:w="460" w:type="dxa"/>
            <w:vAlign w:val="bottom"/>
          </w:tcPr>
          <w:p>
            <w:pPr>
              <w:spacing w:after="0"/>
              <w:rPr>
                <w:sz w:val="18"/>
                <w:szCs w:val="18"/>
                <w:color w:val="auto"/>
              </w:rPr>
            </w:pPr>
          </w:p>
        </w:tc>
        <w:tc>
          <w:tcPr>
            <w:tcW w:w="6920" w:type="dxa"/>
            <w:vAlign w:val="bottom"/>
          </w:tcPr>
          <w:p>
            <w:pPr>
              <w:ind w:left="140"/>
              <w:spacing w:after="0"/>
              <w:rPr>
                <w:sz w:val="20"/>
                <w:szCs w:val="20"/>
                <w:color w:val="auto"/>
              </w:rPr>
            </w:pPr>
            <w:r>
              <w:rPr>
                <w:rFonts w:ascii="Arial" w:cs="Arial" w:eastAsia="Arial" w:hAnsi="Arial"/>
                <w:sz w:val="18"/>
                <w:szCs w:val="18"/>
                <w:color w:val="auto"/>
              </w:rPr>
              <w:t>Act of 1934, as amended*</w:t>
            </w:r>
          </w:p>
        </w:tc>
      </w:tr>
      <w:tr>
        <w:trPr>
          <w:trHeight w:val="216"/>
        </w:trPr>
        <w:tc>
          <w:tcPr>
            <w:tcW w:w="460" w:type="dxa"/>
            <w:vAlign w:val="bottom"/>
          </w:tcPr>
          <w:p>
            <w:pPr>
              <w:jc w:val="center"/>
              <w:ind w:right="50"/>
              <w:spacing w:after="0"/>
              <w:rPr>
                <w:sz w:val="20"/>
                <w:szCs w:val="20"/>
                <w:color w:val="auto"/>
              </w:rPr>
            </w:pPr>
            <w:r>
              <w:rPr>
                <w:rFonts w:ascii="Arial" w:cs="Arial" w:eastAsia="Arial" w:hAnsi="Arial"/>
                <w:sz w:val="18"/>
                <w:szCs w:val="18"/>
                <w:color w:val="auto"/>
                <w:w w:val="91"/>
              </w:rPr>
              <w:t>31.2</w:t>
            </w:r>
          </w:p>
        </w:tc>
        <w:tc>
          <w:tcPr>
            <w:tcW w:w="6920" w:type="dxa"/>
            <w:vAlign w:val="bottom"/>
          </w:tcPr>
          <w:p>
            <w:pPr>
              <w:ind w:left="140"/>
              <w:spacing w:after="0"/>
              <w:rPr>
                <w:sz w:val="20"/>
                <w:szCs w:val="20"/>
                <w:color w:val="auto"/>
              </w:rPr>
            </w:pPr>
            <w:r>
              <w:rPr>
                <w:rFonts w:ascii="Arial" w:cs="Arial" w:eastAsia="Arial" w:hAnsi="Arial"/>
                <w:sz w:val="18"/>
                <w:szCs w:val="18"/>
                <w:color w:val="auto"/>
                <w:w w:val="94"/>
              </w:rPr>
              <w:t>Certification of Chief Financial Officer pursuant to Rule 13a-14 of the Securities Exchange</w:t>
            </w:r>
          </w:p>
        </w:tc>
      </w:tr>
      <w:tr>
        <w:trPr>
          <w:trHeight w:val="216"/>
        </w:trPr>
        <w:tc>
          <w:tcPr>
            <w:tcW w:w="460" w:type="dxa"/>
            <w:vAlign w:val="bottom"/>
          </w:tcPr>
          <w:p>
            <w:pPr>
              <w:spacing w:after="0"/>
              <w:rPr>
                <w:sz w:val="18"/>
                <w:szCs w:val="18"/>
                <w:color w:val="auto"/>
              </w:rPr>
            </w:pPr>
          </w:p>
        </w:tc>
        <w:tc>
          <w:tcPr>
            <w:tcW w:w="6920" w:type="dxa"/>
            <w:vAlign w:val="bottom"/>
          </w:tcPr>
          <w:p>
            <w:pPr>
              <w:ind w:left="140"/>
              <w:spacing w:after="0"/>
              <w:rPr>
                <w:sz w:val="20"/>
                <w:szCs w:val="20"/>
                <w:color w:val="auto"/>
              </w:rPr>
            </w:pPr>
            <w:r>
              <w:rPr>
                <w:rFonts w:ascii="Arial" w:cs="Arial" w:eastAsia="Arial" w:hAnsi="Arial"/>
                <w:sz w:val="18"/>
                <w:szCs w:val="18"/>
                <w:color w:val="auto"/>
              </w:rPr>
              <w:t>Act of 1934, as amended*</w:t>
            </w:r>
          </w:p>
        </w:tc>
      </w:tr>
      <w:tr>
        <w:trPr>
          <w:trHeight w:val="216"/>
        </w:trPr>
        <w:tc>
          <w:tcPr>
            <w:tcW w:w="460" w:type="dxa"/>
            <w:vAlign w:val="bottom"/>
          </w:tcPr>
          <w:p>
            <w:pPr>
              <w:jc w:val="center"/>
              <w:ind w:right="50"/>
              <w:spacing w:after="0"/>
              <w:rPr>
                <w:sz w:val="20"/>
                <w:szCs w:val="20"/>
                <w:color w:val="auto"/>
              </w:rPr>
            </w:pPr>
            <w:r>
              <w:rPr>
                <w:rFonts w:ascii="Arial" w:cs="Arial" w:eastAsia="Arial" w:hAnsi="Arial"/>
                <w:sz w:val="18"/>
                <w:szCs w:val="18"/>
                <w:color w:val="auto"/>
                <w:w w:val="91"/>
              </w:rPr>
              <w:t>32.1</w:t>
            </w:r>
          </w:p>
        </w:tc>
        <w:tc>
          <w:tcPr>
            <w:tcW w:w="6920" w:type="dxa"/>
            <w:vAlign w:val="bottom"/>
          </w:tcPr>
          <w:p>
            <w:pPr>
              <w:ind w:left="140"/>
              <w:spacing w:after="0"/>
              <w:rPr>
                <w:sz w:val="20"/>
                <w:szCs w:val="20"/>
                <w:color w:val="auto"/>
              </w:rPr>
            </w:pPr>
            <w:r>
              <w:rPr>
                <w:rFonts w:ascii="Arial" w:cs="Arial" w:eastAsia="Arial" w:hAnsi="Arial"/>
                <w:sz w:val="18"/>
                <w:szCs w:val="18"/>
                <w:color w:val="auto"/>
                <w:w w:val="92"/>
              </w:rPr>
              <w:t>Certification of Chief Executive Officer pursuant to Section 906 of the Sarbanes-Oxley Act of</w:t>
            </w:r>
          </w:p>
        </w:tc>
      </w:tr>
      <w:tr>
        <w:trPr>
          <w:trHeight w:val="216"/>
        </w:trPr>
        <w:tc>
          <w:tcPr>
            <w:tcW w:w="460" w:type="dxa"/>
            <w:vAlign w:val="bottom"/>
          </w:tcPr>
          <w:p>
            <w:pPr>
              <w:spacing w:after="0"/>
              <w:rPr>
                <w:sz w:val="18"/>
                <w:szCs w:val="18"/>
                <w:color w:val="auto"/>
              </w:rPr>
            </w:pPr>
          </w:p>
        </w:tc>
        <w:tc>
          <w:tcPr>
            <w:tcW w:w="6920" w:type="dxa"/>
            <w:vAlign w:val="bottom"/>
          </w:tcPr>
          <w:p>
            <w:pPr>
              <w:ind w:left="140"/>
              <w:spacing w:after="0"/>
              <w:rPr>
                <w:sz w:val="20"/>
                <w:szCs w:val="20"/>
                <w:color w:val="auto"/>
              </w:rPr>
            </w:pPr>
            <w:r>
              <w:rPr>
                <w:rFonts w:ascii="Arial" w:cs="Arial" w:eastAsia="Arial" w:hAnsi="Arial"/>
                <w:sz w:val="18"/>
                <w:szCs w:val="18"/>
                <w:color w:val="auto"/>
              </w:rPr>
              <w:t>2002*</w:t>
            </w:r>
          </w:p>
        </w:tc>
      </w:tr>
      <w:tr>
        <w:trPr>
          <w:trHeight w:val="216"/>
        </w:trPr>
        <w:tc>
          <w:tcPr>
            <w:tcW w:w="460" w:type="dxa"/>
            <w:vAlign w:val="bottom"/>
          </w:tcPr>
          <w:p>
            <w:pPr>
              <w:jc w:val="center"/>
              <w:ind w:right="50"/>
              <w:spacing w:after="0"/>
              <w:rPr>
                <w:sz w:val="20"/>
                <w:szCs w:val="20"/>
                <w:color w:val="auto"/>
              </w:rPr>
            </w:pPr>
            <w:r>
              <w:rPr>
                <w:rFonts w:ascii="Arial" w:cs="Arial" w:eastAsia="Arial" w:hAnsi="Arial"/>
                <w:sz w:val="18"/>
                <w:szCs w:val="18"/>
                <w:color w:val="auto"/>
                <w:w w:val="91"/>
              </w:rPr>
              <w:t>32.2</w:t>
            </w:r>
          </w:p>
        </w:tc>
        <w:tc>
          <w:tcPr>
            <w:tcW w:w="6920" w:type="dxa"/>
            <w:vAlign w:val="bottom"/>
          </w:tcPr>
          <w:p>
            <w:pPr>
              <w:ind w:left="14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w:t>
            </w:r>
          </w:p>
        </w:tc>
      </w:tr>
      <w:tr>
        <w:trPr>
          <w:trHeight w:val="230"/>
        </w:trPr>
        <w:tc>
          <w:tcPr>
            <w:tcW w:w="460" w:type="dxa"/>
            <w:vAlign w:val="bottom"/>
          </w:tcPr>
          <w:p>
            <w:pPr>
              <w:spacing w:after="0"/>
              <w:rPr>
                <w:sz w:val="20"/>
                <w:szCs w:val="20"/>
                <w:color w:val="auto"/>
              </w:rPr>
            </w:pPr>
          </w:p>
        </w:tc>
        <w:tc>
          <w:tcPr>
            <w:tcW w:w="6920" w:type="dxa"/>
            <w:vAlign w:val="bottom"/>
          </w:tcPr>
          <w:p>
            <w:pPr>
              <w:ind w:left="140"/>
              <w:spacing w:after="0"/>
              <w:rPr>
                <w:sz w:val="20"/>
                <w:szCs w:val="20"/>
                <w:color w:val="auto"/>
              </w:rPr>
            </w:pPr>
            <w:r>
              <w:rPr>
                <w:rFonts w:ascii="Arial" w:cs="Arial" w:eastAsia="Arial" w:hAnsi="Arial"/>
                <w:sz w:val="18"/>
                <w:szCs w:val="18"/>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172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17" w:lineRule="exact"/>
        <w:rPr>
          <w:sz w:val="20"/>
          <w:szCs w:val="20"/>
          <w:color w:val="auto"/>
        </w:rPr>
      </w:pPr>
    </w:p>
    <w:p>
      <w:pPr>
        <w:ind w:left="280" w:right="859" w:hanging="272"/>
        <w:spacing w:after="0" w:line="277"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62" w:lineRule="exact"/>
        <w:rPr>
          <w:rFonts w:ascii="Arial" w:cs="Arial" w:eastAsia="Arial" w:hAnsi="Arial"/>
          <w:sz w:val="18"/>
          <w:szCs w:val="18"/>
          <w:color w:val="auto"/>
        </w:rPr>
      </w:pPr>
    </w:p>
    <w:p>
      <w:pPr>
        <w:ind w:left="280" w:right="719" w:hanging="272"/>
        <w:spacing w:after="0" w:line="277"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Previously filed in connection with Current Report on Form 8-K (File No. 814-00852) filed on June 1, 2011, and incorporated by reference herein.</w:t>
      </w:r>
    </w:p>
    <w:p>
      <w:pPr>
        <w:spacing w:after="0" w:line="62" w:lineRule="exact"/>
        <w:rPr>
          <w:rFonts w:ascii="Arial" w:cs="Arial" w:eastAsia="Arial" w:hAnsi="Arial"/>
          <w:sz w:val="18"/>
          <w:szCs w:val="18"/>
          <w:color w:val="auto"/>
        </w:rPr>
      </w:pPr>
    </w:p>
    <w:p>
      <w:pPr>
        <w:ind w:left="280" w:right="719" w:hanging="272"/>
        <w:spacing w:after="0" w:line="277"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Previously filed in connection with Current Report on Form 8-K (File No. 814-00852) filed on June 1, 2017, and incorporated by reference herein.</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4" w:name="page65"/>
    <w:bookmarkEnd w:id="6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 — Schedule of Investments in and Advances to Affiliates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June 30, 2017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640" w:type="dxa"/>
            <w:vAlign w:val="bottom"/>
          </w:tcPr>
          <w:p>
            <w:pPr>
              <w:jc w:val="center"/>
              <w:ind w:left="668"/>
              <w:spacing w:after="0"/>
              <w:rPr>
                <w:sz w:val="20"/>
                <w:szCs w:val="20"/>
                <w:color w:val="auto"/>
              </w:rPr>
            </w:pPr>
            <w:r>
              <w:rPr>
                <w:rFonts w:ascii="Arial" w:cs="Arial" w:eastAsia="Arial" w:hAnsi="Arial"/>
                <w:sz w:val="14"/>
                <w:szCs w:val="14"/>
                <w:b w:val="1"/>
                <w:bCs w:val="1"/>
                <w:color w:val="auto"/>
                <w:w w:val="94"/>
              </w:rPr>
              <w:t>Amount of</w:t>
            </w:r>
          </w:p>
        </w:tc>
        <w:tc>
          <w:tcPr>
            <w:tcW w:w="940" w:type="dxa"/>
            <w:vAlign w:val="bottom"/>
          </w:tcPr>
          <w:p>
            <w:pPr>
              <w:spacing w:after="0"/>
              <w:rPr>
                <w:sz w:val="14"/>
                <w:szCs w:val="14"/>
                <w:color w:val="auto"/>
              </w:rPr>
            </w:pPr>
          </w:p>
        </w:tc>
        <w:tc>
          <w:tcPr>
            <w:tcW w:w="1020" w:type="dxa"/>
            <w:vAlign w:val="bottom"/>
          </w:tcPr>
          <w:p>
            <w:pPr>
              <w:jc w:val="center"/>
              <w:ind w:right="8"/>
              <w:spacing w:after="0"/>
              <w:rPr>
                <w:sz w:val="20"/>
                <w:szCs w:val="20"/>
                <w:color w:val="auto"/>
              </w:rPr>
            </w:pPr>
            <w:r>
              <w:rPr>
                <w:rFonts w:ascii="Arial" w:cs="Arial" w:eastAsia="Arial" w:hAnsi="Arial"/>
                <w:sz w:val="14"/>
                <w:szCs w:val="14"/>
                <w:b w:val="1"/>
                <w:bCs w:val="1"/>
                <w:color w:val="auto"/>
                <w:w w:val="88"/>
              </w:rPr>
              <w:t>Purchases,</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Control Investments</w:t>
            </w:r>
          </w:p>
        </w:tc>
        <w:tc>
          <w:tcPr>
            <w:tcW w:w="1640" w:type="dxa"/>
            <w:vAlign w:val="bottom"/>
          </w:tcPr>
          <w:p>
            <w:pPr>
              <w:jc w:val="center"/>
              <w:ind w:left="668"/>
              <w:spacing w:after="0" w:line="149" w:lineRule="exact"/>
              <w:rPr>
                <w:sz w:val="20"/>
                <w:szCs w:val="20"/>
                <w:color w:val="auto"/>
              </w:rPr>
            </w:pPr>
            <w:r>
              <w:rPr>
                <w:rFonts w:ascii="Arial" w:cs="Arial" w:eastAsia="Arial" w:hAnsi="Arial"/>
                <w:sz w:val="14"/>
                <w:szCs w:val="14"/>
                <w:b w:val="1"/>
                <w:bCs w:val="1"/>
                <w:color w:val="auto"/>
                <w:w w:val="90"/>
              </w:rPr>
              <w:t>Interest, Fees</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10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Capitalized</w:t>
            </w:r>
          </w:p>
        </w:tc>
        <w:tc>
          <w:tcPr>
            <w:tcW w:w="58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Realized and</w:t>
            </w:r>
          </w:p>
        </w:tc>
        <w:tc>
          <w:tcPr>
            <w:tcW w:w="7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040" w:type="dxa"/>
            <w:vAlign w:val="bottom"/>
            <w:vMerge w:val="continue"/>
          </w:tcPr>
          <w:p>
            <w:pPr>
              <w:spacing w:after="0"/>
              <w:rPr>
                <w:sz w:val="12"/>
                <w:szCs w:val="12"/>
                <w:color w:val="auto"/>
              </w:rPr>
            </w:pPr>
          </w:p>
        </w:tc>
        <w:tc>
          <w:tcPr>
            <w:tcW w:w="1640" w:type="dxa"/>
            <w:vAlign w:val="bottom"/>
          </w:tcPr>
          <w:p>
            <w:pPr>
              <w:jc w:val="center"/>
              <w:ind w:left="648"/>
              <w:spacing w:after="0" w:line="149" w:lineRule="exact"/>
              <w:rPr>
                <w:sz w:val="20"/>
                <w:szCs w:val="20"/>
                <w:color w:val="auto"/>
              </w:rPr>
            </w:pPr>
            <w:r>
              <w:rPr>
                <w:rFonts w:ascii="Arial" w:cs="Arial" w:eastAsia="Arial" w:hAnsi="Arial"/>
                <w:sz w:val="14"/>
                <w:szCs w:val="14"/>
                <w:b w:val="1"/>
                <w:bCs w:val="1"/>
                <w:color w:val="auto"/>
                <w:w w:val="94"/>
              </w:rPr>
              <w:t>or Dividends</w:t>
            </w:r>
          </w:p>
        </w:tc>
        <w:tc>
          <w:tcPr>
            <w:tcW w:w="940" w:type="dxa"/>
            <w:vAlign w:val="bottom"/>
            <w:vMerge w:val="continue"/>
          </w:tcPr>
          <w:p>
            <w:pPr>
              <w:spacing w:after="0"/>
              <w:rPr>
                <w:sz w:val="12"/>
                <w:szCs w:val="12"/>
                <w:color w:val="auto"/>
              </w:rPr>
            </w:pPr>
          </w:p>
        </w:tc>
        <w:tc>
          <w:tcPr>
            <w:tcW w:w="10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Fees, Interest</w:t>
            </w:r>
          </w:p>
        </w:tc>
        <w:tc>
          <w:tcPr>
            <w:tcW w:w="5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b w:val="1"/>
                <w:bCs w:val="1"/>
                <w:color w:val="auto"/>
              </w:rPr>
              <w:t>Portfolio Company/</w:t>
            </w:r>
          </w:p>
        </w:tc>
        <w:tc>
          <w:tcPr>
            <w:tcW w:w="1640" w:type="dxa"/>
            <w:vAlign w:val="bottom"/>
          </w:tcPr>
          <w:p>
            <w:pPr>
              <w:jc w:val="center"/>
              <w:ind w:left="668"/>
              <w:spacing w:after="0" w:line="149" w:lineRule="exact"/>
              <w:rPr>
                <w:sz w:val="20"/>
                <w:szCs w:val="20"/>
                <w:color w:val="auto"/>
              </w:rPr>
            </w:pPr>
            <w:r>
              <w:rPr>
                <w:rFonts w:ascii="Arial" w:cs="Arial" w:eastAsia="Arial" w:hAnsi="Arial"/>
                <w:sz w:val="14"/>
                <w:szCs w:val="14"/>
                <w:b w:val="1"/>
                <w:bCs w:val="1"/>
                <w:color w:val="auto"/>
                <w:w w:val="95"/>
              </w:rPr>
              <w:t>Credited in</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and</w:t>
            </w:r>
          </w:p>
        </w:tc>
        <w:tc>
          <w:tcPr>
            <w:tcW w:w="5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Sales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74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2040" w:type="dxa"/>
            <w:vAlign w:val="bottom"/>
          </w:tcPr>
          <w:p>
            <w:pPr>
              <w:spacing w:after="0"/>
              <w:rPr>
                <w:sz w:val="20"/>
                <w:szCs w:val="20"/>
                <w:color w:val="auto"/>
              </w:rPr>
            </w:pPr>
            <w:r>
              <w:rPr>
                <w:rFonts w:ascii="Arial" w:cs="Arial" w:eastAsia="Arial" w:hAnsi="Arial"/>
                <w:sz w:val="14"/>
                <w:szCs w:val="14"/>
                <w:b w:val="1"/>
                <w:bCs w:val="1"/>
                <w:color w:val="auto"/>
              </w:rPr>
              <w:t>Type of Investment*</w:t>
            </w:r>
          </w:p>
        </w:tc>
        <w:tc>
          <w:tcPr>
            <w:tcW w:w="1640" w:type="dxa"/>
            <w:vAlign w:val="bottom"/>
          </w:tcPr>
          <w:p>
            <w:pPr>
              <w:jc w:val="center"/>
              <w:ind w:left="648"/>
              <w:spacing w:after="0"/>
              <w:rPr>
                <w:sz w:val="20"/>
                <w:szCs w:val="20"/>
                <w:color w:val="auto"/>
              </w:rPr>
            </w:pPr>
            <w:r>
              <w:rPr>
                <w:rFonts w:ascii="Arial" w:cs="Arial" w:eastAsia="Arial" w:hAnsi="Arial"/>
                <w:sz w:val="14"/>
                <w:szCs w:val="14"/>
                <w:b w:val="1"/>
                <w:bCs w:val="1"/>
                <w:color w:val="auto"/>
                <w:w w:val="89"/>
              </w:rPr>
              <w:t>Income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020" w:type="dxa"/>
            <w:vAlign w:val="bottom"/>
          </w:tcPr>
          <w:p>
            <w:pPr>
              <w:jc w:val="center"/>
              <w:ind w:right="8"/>
              <w:spacing w:after="0"/>
              <w:rPr>
                <w:sz w:val="20"/>
                <w:szCs w:val="20"/>
                <w:color w:val="auto"/>
              </w:rPr>
            </w:pPr>
            <w:r>
              <w:rPr>
                <w:rFonts w:ascii="Arial" w:cs="Arial" w:eastAsia="Arial" w:hAnsi="Arial"/>
                <w:sz w:val="14"/>
                <w:szCs w:val="14"/>
                <w:b w:val="1"/>
                <w:bCs w:val="1"/>
                <w:u w:val="single" w:color="auto"/>
                <w:color w:val="auto"/>
                <w:w w:val="95"/>
              </w:rPr>
              <w:t>Amortization</w:t>
            </w:r>
          </w:p>
        </w:tc>
        <w:tc>
          <w:tcPr>
            <w:tcW w:w="580" w:type="dxa"/>
            <w:vAlign w:val="bottom"/>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87"/>
              </w:rPr>
              <w:t>Gains/(Losses)</w:t>
            </w:r>
          </w:p>
        </w:tc>
        <w:tc>
          <w:tcPr>
            <w:tcW w:w="740" w:type="dxa"/>
            <w:vAlign w:val="bottom"/>
          </w:tcPr>
          <w:p>
            <w:pPr>
              <w:jc w:val="center"/>
              <w:ind w:left="48"/>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5213985"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13985" cy="128905"/>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5"/>
          </w:tcPr>
          <w:p>
            <w:pPr>
              <w:spacing w:after="0" w:line="150" w:lineRule="exact"/>
              <w:rPr>
                <w:sz w:val="20"/>
                <w:szCs w:val="20"/>
                <w:color w:val="auto"/>
              </w:rPr>
            </w:pPr>
            <w:r>
              <w:rPr>
                <w:rFonts w:ascii="Arial" w:cs="Arial" w:eastAsia="Arial" w:hAnsi="Arial"/>
                <w:sz w:val="11"/>
                <w:szCs w:val="11"/>
                <w:b w:val="1"/>
                <w:bCs w:val="1"/>
                <w:color w:val="auto"/>
              </w:rPr>
              <w:t>StormWind, LLC</w:t>
            </w:r>
            <w:r>
              <w:rPr>
                <w:rFonts w:ascii="Arial" w:cs="Arial" w:eastAsia="Arial" w:hAnsi="Arial"/>
                <w:sz w:val="17"/>
                <w:szCs w:val="17"/>
                <w:color w:val="auto"/>
                <w:vertAlign w:val="superscript"/>
              </w:rPr>
              <w:t>(1)</w:t>
            </w:r>
          </w:p>
        </w:tc>
        <w:tc>
          <w:tcPr>
            <w:tcW w:w="60" w:type="dxa"/>
            <w:vAlign w:val="bottom"/>
            <w:vMerge w:val="restart"/>
          </w:tcPr>
          <w:p>
            <w:pPr>
              <w:spacing w:after="0"/>
              <w:rPr>
                <w:sz w:val="12"/>
                <w:szCs w:val="12"/>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gridSpan w:val="2"/>
            <w:vMerge w:val="restart"/>
          </w:tcPr>
          <w:p>
            <w:pPr>
              <w:ind w:left="42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2740" w:type="dxa"/>
            <w:vAlign w:val="bottom"/>
            <w:gridSpan w:val="5"/>
          </w:tcPr>
          <w:p>
            <w:pPr>
              <w:spacing w:after="0" w:line="123" w:lineRule="exact"/>
              <w:rPr>
                <w:sz w:val="20"/>
                <w:szCs w:val="20"/>
                <w:color w:val="auto"/>
              </w:rPr>
            </w:pPr>
            <w:r>
              <w:rPr>
                <w:rFonts w:ascii="Arial" w:cs="Arial" w:eastAsia="Arial" w:hAnsi="Arial"/>
                <w:sz w:val="14"/>
                <w:szCs w:val="14"/>
                <w:color w:val="auto"/>
              </w:rPr>
              <w:t>Preferred shares, Series C</w:t>
            </w:r>
          </w:p>
        </w:tc>
        <w:tc>
          <w:tcPr>
            <w:tcW w:w="6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5"/>
          </w:tcPr>
          <w:p>
            <w:pPr>
              <w:spacing w:after="0" w:line="149" w:lineRule="exact"/>
              <w:rPr>
                <w:sz w:val="20"/>
                <w:szCs w:val="20"/>
                <w:color w:val="auto"/>
              </w:rPr>
            </w:pPr>
            <w:r>
              <w:rPr>
                <w:rFonts w:ascii="Arial" w:cs="Arial" w:eastAsia="Arial" w:hAnsi="Arial"/>
                <w:sz w:val="14"/>
                <w:szCs w:val="14"/>
                <w:color w:val="auto"/>
              </w:rPr>
              <w:t>Preferred shares, Series B</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gridSpan w:val="5"/>
          </w:tcPr>
          <w:p>
            <w:pPr>
              <w:spacing w:after="0" w:line="145" w:lineRule="exact"/>
              <w:rPr>
                <w:sz w:val="20"/>
                <w:szCs w:val="20"/>
                <w:color w:val="auto"/>
              </w:rPr>
            </w:pPr>
            <w:r>
              <w:rPr>
                <w:rFonts w:ascii="Arial" w:cs="Arial" w:eastAsia="Arial" w:hAnsi="Arial"/>
                <w:sz w:val="14"/>
                <w:szCs w:val="14"/>
                <w:color w:val="auto"/>
              </w:rPr>
              <w:t>Preferred shares, Series A</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4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rPr>
              <w:t>NestGSV, Inc. (d/b/a GSV Labs, Inc.)</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28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w w:val="97"/>
              </w:rPr>
              <w:t>Convertible Promissory Note 8% Due</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7"/>
              </w:rPr>
              <w:t>07/31/2017***</w:t>
            </w: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59,263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40" w:type="dxa"/>
            <w:vAlign w:val="bottom"/>
            <w:gridSpan w:val="5"/>
          </w:tcPr>
          <w:p>
            <w:pPr>
              <w:spacing w:after="0" w:line="159" w:lineRule="exact"/>
              <w:rPr>
                <w:sz w:val="20"/>
                <w:szCs w:val="20"/>
                <w:color w:val="auto"/>
              </w:rPr>
            </w:pPr>
            <w:r>
              <w:rPr>
                <w:rFonts w:ascii="Arial" w:cs="Arial" w:eastAsia="Arial" w:hAnsi="Arial"/>
                <w:sz w:val="14"/>
                <w:szCs w:val="14"/>
                <w:color w:val="auto"/>
              </w:rPr>
              <w:t>Unsecured Promissory Note 12% Due</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300" w:type="dxa"/>
            <w:vAlign w:val="bottom"/>
            <w:gridSpan w:val="4"/>
          </w:tcPr>
          <w:p>
            <w:pPr>
              <w:ind w:left="200"/>
              <w:spacing w:after="0" w:line="179" w:lineRule="exact"/>
              <w:rPr>
                <w:sz w:val="20"/>
                <w:szCs w:val="20"/>
                <w:color w:val="auto"/>
              </w:rPr>
            </w:pPr>
            <w:r>
              <w:rPr>
                <w:rFonts w:ascii="Arial" w:cs="Arial" w:eastAsia="Arial" w:hAnsi="Arial"/>
                <w:sz w:val="13"/>
                <w:szCs w:val="13"/>
                <w:color w:val="auto"/>
              </w:rPr>
              <w:t>5/29/2017***</w:t>
            </w:r>
            <w:r>
              <w:rPr>
                <w:rFonts w:ascii="Arial" w:cs="Arial" w:eastAsia="Arial" w:hAnsi="Arial"/>
                <w:sz w:val="20"/>
                <w:szCs w:val="20"/>
                <w:color w:val="auto"/>
                <w:vertAlign w:val="superscript"/>
              </w:rPr>
              <w:t>(5)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50,146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40" w:type="dxa"/>
            <w:vAlign w:val="bottom"/>
            <w:gridSpan w:val="5"/>
          </w:tcPr>
          <w:p>
            <w:pPr>
              <w:spacing w:after="0" w:line="159" w:lineRule="exact"/>
              <w:rPr>
                <w:sz w:val="20"/>
                <w:szCs w:val="20"/>
                <w:color w:val="auto"/>
              </w:rPr>
            </w:pPr>
            <w:r>
              <w:rPr>
                <w:rFonts w:ascii="Arial" w:cs="Arial" w:eastAsia="Arial" w:hAnsi="Arial"/>
                <w:sz w:val="14"/>
                <w:szCs w:val="14"/>
                <w:color w:val="auto"/>
              </w:rPr>
              <w:t>Unsecured Promissory Note 12% Due</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300" w:type="dxa"/>
            <w:vAlign w:val="bottom"/>
            <w:gridSpan w:val="4"/>
          </w:tcPr>
          <w:p>
            <w:pPr>
              <w:ind w:left="200"/>
              <w:spacing w:after="0" w:line="179" w:lineRule="exact"/>
              <w:rPr>
                <w:sz w:val="20"/>
                <w:szCs w:val="20"/>
                <w:color w:val="auto"/>
              </w:rPr>
            </w:pPr>
            <w:r>
              <w:rPr>
                <w:rFonts w:ascii="Arial" w:cs="Arial" w:eastAsia="Arial" w:hAnsi="Arial"/>
                <w:sz w:val="13"/>
                <w:szCs w:val="13"/>
                <w:color w:val="auto"/>
              </w:rPr>
              <w:t>11/29/2017***</w:t>
            </w:r>
            <w:r>
              <w:rPr>
                <w:rFonts w:ascii="Arial" w:cs="Arial" w:eastAsia="Arial" w:hAnsi="Arial"/>
                <w:sz w:val="20"/>
                <w:szCs w:val="20"/>
                <w:color w:val="auto"/>
                <w:vertAlign w:val="superscript"/>
              </w:rPr>
              <w:t>(5)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17,368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5"/>
          </w:tcPr>
          <w:p>
            <w:pPr>
              <w:spacing w:after="0" w:line="149" w:lineRule="exact"/>
              <w:rPr>
                <w:sz w:val="20"/>
                <w:szCs w:val="20"/>
                <w:color w:val="auto"/>
              </w:rPr>
            </w:pPr>
            <w:r>
              <w:rPr>
                <w:rFonts w:ascii="Arial" w:cs="Arial" w:eastAsia="Arial" w:hAnsi="Arial"/>
                <w:sz w:val="14"/>
                <w:szCs w:val="14"/>
                <w:color w:val="auto"/>
              </w:rPr>
              <w:t>Preferred stock Series A-4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5"/>
          </w:tcPr>
          <w:p>
            <w:pPr>
              <w:spacing w:after="0" w:line="149" w:lineRule="exact"/>
              <w:rPr>
                <w:sz w:val="20"/>
                <w:szCs w:val="20"/>
                <w:color w:val="auto"/>
              </w:rPr>
            </w:pPr>
            <w:r>
              <w:rPr>
                <w:rFonts w:ascii="Arial" w:cs="Arial" w:eastAsia="Arial" w:hAnsi="Arial"/>
                <w:sz w:val="14"/>
                <w:szCs w:val="14"/>
                <w:color w:val="auto"/>
              </w:rPr>
              <w:t>Preferred stock Series A-3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5"/>
          </w:tcPr>
          <w:p>
            <w:pPr>
              <w:spacing w:after="0" w:line="149" w:lineRule="exact"/>
              <w:rPr>
                <w:sz w:val="20"/>
                <w:szCs w:val="20"/>
                <w:color w:val="auto"/>
              </w:rPr>
            </w:pPr>
            <w:r>
              <w:rPr>
                <w:rFonts w:ascii="Arial" w:cs="Arial" w:eastAsia="Arial" w:hAnsi="Arial"/>
                <w:sz w:val="14"/>
                <w:szCs w:val="14"/>
                <w:color w:val="auto"/>
              </w:rPr>
              <w:t>Preferred stock Series A-2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5"/>
          </w:tcPr>
          <w:p>
            <w:pPr>
              <w:spacing w:after="0" w:line="149" w:lineRule="exact"/>
              <w:rPr>
                <w:sz w:val="20"/>
                <w:szCs w:val="20"/>
                <w:color w:val="auto"/>
              </w:rPr>
            </w:pPr>
            <w:r>
              <w:rPr>
                <w:rFonts w:ascii="Arial" w:cs="Arial" w:eastAsia="Arial" w:hAnsi="Arial"/>
                <w:sz w:val="14"/>
                <w:szCs w:val="14"/>
                <w:color w:val="auto"/>
              </w:rPr>
              <w:t>Preferred stock Series A-1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5"/>
          </w:tcPr>
          <w:p>
            <w:pPr>
              <w:spacing w:after="0" w:line="149" w:lineRule="exact"/>
              <w:rPr>
                <w:sz w:val="20"/>
                <w:szCs w:val="20"/>
                <w:color w:val="auto"/>
              </w:rPr>
            </w:pPr>
            <w:r>
              <w:rPr>
                <w:rFonts w:ascii="Arial" w:cs="Arial" w:eastAsia="Arial" w:hAnsi="Arial"/>
                <w:sz w:val="14"/>
                <w:szCs w:val="14"/>
                <w:color w:val="auto"/>
              </w:rPr>
              <w:t>Common shares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5"/>
          </w:tcPr>
          <w:p>
            <w:pPr>
              <w:spacing w:after="0" w:line="149" w:lineRule="exact"/>
              <w:rPr>
                <w:sz w:val="20"/>
                <w:szCs w:val="20"/>
                <w:color w:val="auto"/>
              </w:rPr>
            </w:pPr>
            <w:r>
              <w:rPr>
                <w:rFonts w:ascii="Arial" w:cs="Arial" w:eastAsia="Arial" w:hAnsi="Arial"/>
                <w:sz w:val="14"/>
                <w:szCs w:val="14"/>
                <w:color w:val="auto"/>
              </w:rPr>
              <w:t>Preferred Warrant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gridSpan w:val="4"/>
          </w:tcPr>
          <w:p>
            <w:pPr>
              <w:spacing w:after="0" w:line="149" w:lineRule="exact"/>
              <w:rPr>
                <w:sz w:val="20"/>
                <w:szCs w:val="20"/>
                <w:color w:val="auto"/>
              </w:rPr>
            </w:pPr>
            <w:r>
              <w:rPr>
                <w:rFonts w:ascii="Arial" w:cs="Arial" w:eastAsia="Arial" w:hAnsi="Arial"/>
                <w:sz w:val="14"/>
                <w:szCs w:val="14"/>
                <w:color w:val="auto"/>
                <w:w w:val="97"/>
              </w:rPr>
              <w:t>Series A-3 – Strike Price $1.33, Expiration</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gridSpan w:val="4"/>
          </w:tcPr>
          <w:p>
            <w:pPr>
              <w:spacing w:after="0" w:line="149" w:lineRule="exact"/>
              <w:rPr>
                <w:sz w:val="20"/>
                <w:szCs w:val="20"/>
                <w:color w:val="auto"/>
              </w:rPr>
            </w:pPr>
            <w:r>
              <w:rPr>
                <w:rFonts w:ascii="Arial" w:cs="Arial" w:eastAsia="Arial" w:hAnsi="Arial"/>
                <w:sz w:val="14"/>
                <w:szCs w:val="14"/>
                <w:color w:val="auto"/>
              </w:rPr>
              <w:t>Date 4/4/2019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5"/>
          </w:tcPr>
          <w:p>
            <w:pPr>
              <w:spacing w:after="0" w:line="149" w:lineRule="exact"/>
              <w:rPr>
                <w:sz w:val="20"/>
                <w:szCs w:val="20"/>
                <w:color w:val="auto"/>
              </w:rPr>
            </w:pPr>
            <w:r>
              <w:rPr>
                <w:rFonts w:ascii="Arial" w:cs="Arial" w:eastAsia="Arial" w:hAnsi="Arial"/>
                <w:sz w:val="14"/>
                <w:szCs w:val="14"/>
                <w:color w:val="auto"/>
              </w:rPr>
              <w:t>Preferred Warrant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gridSpan w:val="4"/>
          </w:tcPr>
          <w:p>
            <w:pPr>
              <w:spacing w:after="0" w:line="149" w:lineRule="exact"/>
              <w:rPr>
                <w:sz w:val="20"/>
                <w:szCs w:val="20"/>
                <w:color w:val="auto"/>
              </w:rPr>
            </w:pPr>
            <w:r>
              <w:rPr>
                <w:rFonts w:ascii="Arial" w:cs="Arial" w:eastAsia="Arial" w:hAnsi="Arial"/>
                <w:sz w:val="14"/>
                <w:szCs w:val="14"/>
                <w:color w:val="auto"/>
                <w:w w:val="97"/>
              </w:rPr>
              <w:t>Series A-4 – Strike Price $1.33, Expiration</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gridSpan w:val="4"/>
          </w:tcPr>
          <w:p>
            <w:pPr>
              <w:spacing w:after="0" w:line="149" w:lineRule="exact"/>
              <w:rPr>
                <w:sz w:val="20"/>
                <w:szCs w:val="20"/>
                <w:color w:val="auto"/>
              </w:rPr>
            </w:pPr>
            <w:r>
              <w:rPr>
                <w:rFonts w:ascii="Arial" w:cs="Arial" w:eastAsia="Arial" w:hAnsi="Arial"/>
                <w:sz w:val="14"/>
                <w:szCs w:val="14"/>
                <w:color w:val="auto"/>
              </w:rPr>
              <w:t>Date 10/6/2019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5"/>
          </w:tcPr>
          <w:p>
            <w:pPr>
              <w:spacing w:after="0" w:line="149" w:lineRule="exact"/>
              <w:rPr>
                <w:sz w:val="20"/>
                <w:szCs w:val="20"/>
                <w:color w:val="auto"/>
              </w:rPr>
            </w:pPr>
            <w:r>
              <w:rPr>
                <w:rFonts w:ascii="Arial" w:cs="Arial" w:eastAsia="Arial" w:hAnsi="Arial"/>
                <w:sz w:val="14"/>
                <w:szCs w:val="14"/>
                <w:color w:val="auto"/>
              </w:rPr>
              <w:t>Preferred Warrant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gridSpan w:val="4"/>
          </w:tcPr>
          <w:p>
            <w:pPr>
              <w:spacing w:after="0" w:line="149" w:lineRule="exact"/>
              <w:rPr>
                <w:sz w:val="20"/>
                <w:szCs w:val="20"/>
                <w:color w:val="auto"/>
              </w:rPr>
            </w:pPr>
            <w:r>
              <w:rPr>
                <w:rFonts w:ascii="Arial" w:cs="Arial" w:eastAsia="Arial" w:hAnsi="Arial"/>
                <w:sz w:val="14"/>
                <w:szCs w:val="14"/>
                <w:color w:val="auto"/>
                <w:w w:val="97"/>
              </w:rPr>
              <w:t>Series A-4 – Strike Price $1.33, Expiration</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gridSpan w:val="4"/>
          </w:tcPr>
          <w:p>
            <w:pPr>
              <w:spacing w:after="0" w:line="149" w:lineRule="exact"/>
              <w:rPr>
                <w:sz w:val="20"/>
                <w:szCs w:val="20"/>
                <w:color w:val="auto"/>
              </w:rPr>
            </w:pPr>
            <w:r>
              <w:rPr>
                <w:rFonts w:ascii="Arial" w:cs="Arial" w:eastAsia="Arial" w:hAnsi="Arial"/>
                <w:sz w:val="14"/>
                <w:szCs w:val="14"/>
                <w:color w:val="auto"/>
              </w:rPr>
              <w:t>Date 7/18/2021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5"/>
          </w:tcPr>
          <w:p>
            <w:pPr>
              <w:spacing w:after="0" w:line="149" w:lineRule="exact"/>
              <w:rPr>
                <w:sz w:val="20"/>
                <w:szCs w:val="20"/>
                <w:color w:val="auto"/>
              </w:rPr>
            </w:pPr>
            <w:r>
              <w:rPr>
                <w:rFonts w:ascii="Arial" w:cs="Arial" w:eastAsia="Arial" w:hAnsi="Arial"/>
                <w:sz w:val="14"/>
                <w:szCs w:val="14"/>
                <w:color w:val="auto"/>
              </w:rPr>
              <w:t>Preferred Warrant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gridSpan w:val="4"/>
          </w:tcPr>
          <w:p>
            <w:pPr>
              <w:spacing w:after="0" w:line="149" w:lineRule="exact"/>
              <w:rPr>
                <w:sz w:val="20"/>
                <w:szCs w:val="20"/>
                <w:color w:val="auto"/>
              </w:rPr>
            </w:pPr>
            <w:r>
              <w:rPr>
                <w:rFonts w:ascii="Arial" w:cs="Arial" w:eastAsia="Arial" w:hAnsi="Arial"/>
                <w:sz w:val="14"/>
                <w:szCs w:val="14"/>
                <w:color w:val="auto"/>
                <w:w w:val="97"/>
              </w:rPr>
              <w:t>Series A-4 – Strike Price $1.33, Expiration</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gridSpan w:val="4"/>
          </w:tcPr>
          <w:p>
            <w:pPr>
              <w:spacing w:after="0" w:line="149" w:lineRule="exact"/>
              <w:rPr>
                <w:sz w:val="20"/>
                <w:szCs w:val="20"/>
                <w:color w:val="auto"/>
              </w:rPr>
            </w:pPr>
            <w:r>
              <w:rPr>
                <w:rFonts w:ascii="Arial" w:cs="Arial" w:eastAsia="Arial" w:hAnsi="Arial"/>
                <w:sz w:val="14"/>
                <w:szCs w:val="14"/>
                <w:color w:val="auto"/>
              </w:rPr>
              <w:t>Date 11/29/2021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5"/>
          </w:tcPr>
          <w:p>
            <w:pPr>
              <w:spacing w:after="0" w:line="149" w:lineRule="exact"/>
              <w:rPr>
                <w:sz w:val="20"/>
                <w:szCs w:val="20"/>
                <w:color w:val="auto"/>
              </w:rPr>
            </w:pPr>
            <w:r>
              <w:rPr>
                <w:rFonts w:ascii="Arial" w:cs="Arial" w:eastAsia="Arial" w:hAnsi="Arial"/>
                <w:sz w:val="14"/>
                <w:szCs w:val="14"/>
                <w:color w:val="auto"/>
              </w:rPr>
              <w:t>Preferred Warrant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60" w:type="dxa"/>
            <w:vAlign w:val="bottom"/>
            <w:gridSpan w:val="4"/>
          </w:tcPr>
          <w:p>
            <w:pPr>
              <w:spacing w:after="0" w:line="159" w:lineRule="exact"/>
              <w:rPr>
                <w:sz w:val="20"/>
                <w:szCs w:val="20"/>
                <w:color w:val="auto"/>
              </w:rPr>
            </w:pPr>
            <w:r>
              <w:rPr>
                <w:rFonts w:ascii="Arial" w:cs="Arial" w:eastAsia="Arial" w:hAnsi="Arial"/>
                <w:sz w:val="14"/>
                <w:szCs w:val="14"/>
                <w:color w:val="auto"/>
              </w:rPr>
              <w:t>Series B – Strike Price $2.31, Expiration</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4"/>
          </w:tcPr>
          <w:p>
            <w:pPr>
              <w:spacing w:after="0" w:line="175" w:lineRule="exact"/>
              <w:rPr>
                <w:sz w:val="20"/>
                <w:szCs w:val="20"/>
                <w:color w:val="auto"/>
              </w:rPr>
            </w:pPr>
            <w:r>
              <w:rPr>
                <w:rFonts w:ascii="Arial" w:cs="Arial" w:eastAsia="Arial" w:hAnsi="Arial"/>
                <w:sz w:val="13"/>
                <w:szCs w:val="13"/>
                <w:color w:val="auto"/>
              </w:rPr>
              <w:t>Date 6/30/2022</w:t>
            </w:r>
            <w:r>
              <w:rPr>
                <w:rFonts w:ascii="Arial" w:cs="Arial" w:eastAsia="Arial" w:hAnsi="Arial"/>
                <w:sz w:val="20"/>
                <w:szCs w:val="20"/>
                <w:color w:val="auto"/>
                <w:vertAlign w:val="superscript"/>
              </w:rPr>
              <w:t>(5)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4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rPr>
              <w:t>SPBRX, INC. (f/k/a GSV Sustainability</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2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Partners, Inc.)</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80" w:type="dxa"/>
            <w:vAlign w:val="bottom"/>
            <w:gridSpan w:val="3"/>
            <w:vMerge w:val="restart"/>
          </w:tcPr>
          <w:p>
            <w:pPr>
              <w:spacing w:after="0" w:line="155" w:lineRule="exact"/>
              <w:rPr>
                <w:sz w:val="20"/>
                <w:szCs w:val="20"/>
                <w:color w:val="auto"/>
              </w:rPr>
            </w:pPr>
            <w:r>
              <w:rPr>
                <w:rFonts w:ascii="Arial" w:cs="Arial" w:eastAsia="Arial" w:hAnsi="Arial"/>
                <w:sz w:val="14"/>
                <w:szCs w:val="14"/>
                <w:color w:val="auto"/>
              </w:rPr>
              <w:t>Class A***</w:t>
            </w: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vMerge w:val="restart"/>
          </w:tcPr>
          <w:p>
            <w:pPr>
              <w:jc w:val="right"/>
              <w:spacing w:after="0" w:line="155" w:lineRule="exact"/>
              <w:rPr>
                <w:sz w:val="20"/>
                <w:szCs w:val="20"/>
                <w:color w:val="auto"/>
              </w:rPr>
            </w:pPr>
            <w:r>
              <w:rPr>
                <w:rFonts w:ascii="Arial" w:cs="Arial" w:eastAsia="Arial" w:hAnsi="Arial"/>
                <w:sz w:val="14"/>
                <w:szCs w:val="14"/>
                <w:color w:val="auto"/>
              </w:rPr>
              <w:t>300,000</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gridSpan w:val="2"/>
          </w:tcPr>
          <w:p>
            <w:pPr>
              <w:spacing w:after="0" w:line="135" w:lineRule="exact"/>
              <w:rPr>
                <w:sz w:val="20"/>
                <w:szCs w:val="20"/>
                <w:color w:val="auto"/>
              </w:rPr>
            </w:pPr>
            <w:r>
              <w:rPr>
                <w:rFonts w:ascii="Arial" w:cs="Arial" w:eastAsia="Arial" w:hAnsi="Arial"/>
                <w:sz w:val="14"/>
                <w:szCs w:val="14"/>
                <w:color w:val="auto"/>
                <w:w w:val="94"/>
              </w:rPr>
              <w:t>Preferred shares,</w:t>
            </w:r>
          </w:p>
        </w:tc>
        <w:tc>
          <w:tcPr>
            <w:tcW w:w="16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jc w:val="right"/>
              <w:spacing w:after="0"/>
              <w:rPr>
                <w:sz w:val="20"/>
                <w:szCs w:val="20"/>
                <w:color w:val="auto"/>
              </w:rPr>
            </w:pPr>
            <w:r>
              <w:rPr>
                <w:rFonts w:ascii="Arial" w:cs="Arial" w:eastAsia="Arial" w:hAnsi="Arial"/>
                <w:sz w:val="14"/>
                <w:szCs w:val="14"/>
                <w:color w:val="auto"/>
                <w:w w:val="89"/>
              </w:rPr>
              <w:t>4,650,838</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  $</w:t>
            </w:r>
          </w:p>
        </w:tc>
        <w:tc>
          <w:tcPr>
            <w:tcW w:w="800" w:type="dxa"/>
            <w:vAlign w:val="bottom"/>
          </w:tcPr>
          <w:p>
            <w:pPr>
              <w:jc w:val="right"/>
              <w:spacing w:after="0"/>
              <w:rPr>
                <w:sz w:val="20"/>
                <w:szCs w:val="20"/>
                <w:color w:val="auto"/>
              </w:rPr>
            </w:pPr>
            <w:r>
              <w:rPr>
                <w:rFonts w:ascii="Arial" w:cs="Arial" w:eastAsia="Arial" w:hAnsi="Arial"/>
                <w:sz w:val="14"/>
                <w:szCs w:val="14"/>
                <w:color w:val="auto"/>
              </w:rPr>
              <w:t>—  $</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   4,650,838</w:t>
            </w: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9"/>
              </w:rPr>
              <w:t>4,470,403</w:t>
            </w:r>
          </w:p>
        </w:tc>
        <w:tc>
          <w:tcPr>
            <w:tcW w:w="280" w:type="dxa"/>
            <w:vAlign w:val="bottom"/>
          </w:tcPr>
          <w:p>
            <w:pPr>
              <w:spacing w:after="0"/>
              <w:rPr>
                <w:sz w:val="12"/>
                <w:szCs w:val="12"/>
                <w:color w:val="auto"/>
              </w:rPr>
            </w:pPr>
          </w:p>
        </w:tc>
        <w:tc>
          <w:tcPr>
            <w:tcW w:w="8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4,470,403</w:t>
            </w:r>
          </w:p>
        </w:tc>
      </w:tr>
      <w:tr>
        <w:trPr>
          <w:trHeight w:val="182"/>
        </w:trPr>
        <w:tc>
          <w:tcPr>
            <w:tcW w:w="640" w:type="dxa"/>
            <w:vAlign w:val="bottom"/>
          </w:tcPr>
          <w:p>
            <w:pPr>
              <w:jc w:val="right"/>
              <w:spacing w:after="0"/>
              <w:rPr>
                <w:sz w:val="20"/>
                <w:szCs w:val="20"/>
                <w:color w:val="auto"/>
              </w:rPr>
            </w:pPr>
            <w:r>
              <w:rPr>
                <w:rFonts w:ascii="Arial" w:cs="Arial" w:eastAsia="Arial" w:hAnsi="Arial"/>
                <w:sz w:val="14"/>
                <w:szCs w:val="14"/>
                <w:color w:val="auto"/>
              </w:rPr>
              <w:t>499,796</w:t>
            </w:r>
          </w:p>
        </w:tc>
        <w:tc>
          <w:tcPr>
            <w:tcW w:w="28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499,796</w:t>
            </w:r>
          </w:p>
        </w:tc>
      </w:tr>
      <w:tr>
        <w:trPr>
          <w:trHeight w:val="446"/>
        </w:trPr>
        <w:tc>
          <w:tcPr>
            <w:tcW w:w="640" w:type="dxa"/>
            <w:vAlign w:val="bottom"/>
          </w:tcPr>
          <w:p>
            <w:pPr>
              <w:jc w:val="right"/>
              <w:spacing w:after="0"/>
              <w:rPr>
                <w:sz w:val="20"/>
                <w:szCs w:val="20"/>
                <w:color w:val="auto"/>
              </w:rPr>
            </w:pPr>
            <w:r>
              <w:rPr>
                <w:rFonts w:ascii="Arial" w:cs="Arial" w:eastAsia="Arial" w:hAnsi="Arial"/>
                <w:sz w:val="14"/>
                <w:szCs w:val="14"/>
                <w:color w:val="auto"/>
              </w:rPr>
              <w:t>427,900</w:t>
            </w:r>
          </w:p>
        </w:tc>
        <w:tc>
          <w:tcPr>
            <w:tcW w:w="2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52,829</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27,412</w:t>
            </w:r>
          </w:p>
        </w:tc>
        <w:tc>
          <w:tcPr>
            <w:tcW w:w="900" w:type="dxa"/>
            <w:vAlign w:val="bottom"/>
          </w:tcPr>
          <w:p>
            <w:pPr>
              <w:jc w:val="right"/>
              <w:spacing w:after="0"/>
              <w:rPr>
                <w:sz w:val="20"/>
                <w:szCs w:val="20"/>
                <w:color w:val="auto"/>
              </w:rPr>
            </w:pPr>
            <w:r>
              <w:rPr>
                <w:rFonts w:ascii="Arial" w:cs="Arial" w:eastAsia="Arial" w:hAnsi="Arial"/>
                <w:sz w:val="14"/>
                <w:szCs w:val="14"/>
                <w:color w:val="auto"/>
              </w:rPr>
              <w:t>508,141</w:t>
            </w:r>
          </w:p>
        </w:tc>
      </w:tr>
      <w:tr>
        <w:trPr>
          <w:trHeight w:val="338"/>
        </w:trPr>
        <w:tc>
          <w:tcPr>
            <w:tcW w:w="640" w:type="dxa"/>
            <w:vAlign w:val="bottom"/>
          </w:tcPr>
          <w:p>
            <w:pPr>
              <w:jc w:val="right"/>
              <w:spacing w:after="0"/>
              <w:rPr>
                <w:sz w:val="20"/>
                <w:szCs w:val="20"/>
                <w:color w:val="auto"/>
              </w:rPr>
            </w:pPr>
            <w:r>
              <w:rPr>
                <w:rFonts w:ascii="Arial" w:cs="Arial" w:eastAsia="Arial" w:hAnsi="Arial"/>
                <w:sz w:val="14"/>
                <w:szCs w:val="14"/>
                <w:color w:val="auto"/>
              </w:rPr>
              <w:t>496,725</w:t>
            </w:r>
          </w:p>
        </w:tc>
        <w:tc>
          <w:tcPr>
            <w:tcW w:w="2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24,195</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w w:val="93"/>
              </w:rPr>
              <w:t>(526,000)</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5,080</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04"/>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467,200</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467,200</w:t>
            </w: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9"/>
              </w:rPr>
              <w:t>2,715,910</w:t>
            </w:r>
          </w:p>
        </w:tc>
        <w:tc>
          <w:tcPr>
            <w:tcW w:w="280" w:type="dxa"/>
            <w:vAlign w:val="bottom"/>
          </w:tcPr>
          <w:p>
            <w:pPr>
              <w:spacing w:after="0"/>
              <w:rPr>
                <w:sz w:val="12"/>
                <w:szCs w:val="12"/>
                <w:color w:val="auto"/>
              </w:rPr>
            </w:pPr>
          </w:p>
        </w:tc>
        <w:tc>
          <w:tcPr>
            <w:tcW w:w="8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2,157,845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4,873,755</w:t>
            </w: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952,591</w:t>
            </w:r>
          </w:p>
        </w:tc>
        <w:tc>
          <w:tcPr>
            <w:tcW w:w="280" w:type="dxa"/>
            <w:vAlign w:val="bottom"/>
          </w:tcPr>
          <w:p>
            <w:pPr>
              <w:spacing w:after="0"/>
              <w:rPr>
                <w:sz w:val="12"/>
                <w:szCs w:val="12"/>
                <w:color w:val="auto"/>
              </w:rPr>
            </w:pPr>
          </w:p>
        </w:tc>
        <w:tc>
          <w:tcPr>
            <w:tcW w:w="8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749,580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1,702,171</w:t>
            </w: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166,500</w:t>
            </w:r>
          </w:p>
        </w:tc>
        <w:tc>
          <w:tcPr>
            <w:tcW w:w="280" w:type="dxa"/>
            <w:vAlign w:val="bottom"/>
          </w:tcPr>
          <w:p>
            <w:pPr>
              <w:spacing w:after="0"/>
              <w:rPr>
                <w:sz w:val="12"/>
                <w:szCs w:val="12"/>
                <w:color w:val="auto"/>
              </w:rPr>
            </w:pPr>
          </w:p>
        </w:tc>
        <w:tc>
          <w:tcPr>
            <w:tcW w:w="8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130,500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297,000</w:t>
            </w:r>
          </w:p>
        </w:tc>
      </w:tr>
      <w:tr>
        <w:trPr>
          <w:trHeight w:val="149"/>
        </w:trPr>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270,000</w:t>
            </w:r>
          </w:p>
        </w:tc>
        <w:tc>
          <w:tcPr>
            <w:tcW w:w="280" w:type="dxa"/>
            <w:vAlign w:val="bottom"/>
          </w:tcPr>
          <w:p>
            <w:pPr>
              <w:spacing w:after="0"/>
              <w:rPr>
                <w:sz w:val="12"/>
                <w:szCs w:val="12"/>
                <w:color w:val="auto"/>
              </w:rPr>
            </w:pPr>
          </w:p>
        </w:tc>
        <w:tc>
          <w:tcPr>
            <w:tcW w:w="8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220,000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490,000</w:t>
            </w:r>
          </w:p>
        </w:tc>
      </w:tr>
      <w:tr>
        <w:trPr>
          <w:trHeight w:val="182"/>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46"/>
        </w:trPr>
        <w:tc>
          <w:tcPr>
            <w:tcW w:w="640" w:type="dxa"/>
            <w:vAlign w:val="bottom"/>
          </w:tcPr>
          <w:p>
            <w:pPr>
              <w:jc w:val="right"/>
              <w:spacing w:after="0"/>
              <w:rPr>
                <w:sz w:val="20"/>
                <w:szCs w:val="20"/>
                <w:color w:val="auto"/>
              </w:rPr>
            </w:pPr>
            <w:r>
              <w:rPr>
                <w:rFonts w:ascii="Arial" w:cs="Arial" w:eastAsia="Arial" w:hAnsi="Arial"/>
                <w:sz w:val="14"/>
                <w:szCs w:val="14"/>
                <w:color w:val="auto"/>
              </w:rPr>
              <w:t>5,625</w:t>
            </w:r>
          </w:p>
        </w:tc>
        <w:tc>
          <w:tcPr>
            <w:tcW w:w="2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7,500</w:t>
            </w:r>
          </w:p>
        </w:tc>
        <w:tc>
          <w:tcPr>
            <w:tcW w:w="900" w:type="dxa"/>
            <w:vAlign w:val="bottom"/>
          </w:tcPr>
          <w:p>
            <w:pPr>
              <w:jc w:val="right"/>
              <w:spacing w:after="0"/>
              <w:rPr>
                <w:sz w:val="20"/>
                <w:szCs w:val="20"/>
                <w:color w:val="auto"/>
              </w:rPr>
            </w:pPr>
            <w:r>
              <w:rPr>
                <w:rFonts w:ascii="Arial" w:cs="Arial" w:eastAsia="Arial" w:hAnsi="Arial"/>
                <w:sz w:val="14"/>
                <w:szCs w:val="14"/>
                <w:color w:val="auto"/>
              </w:rPr>
              <w:t>13,125</w:t>
            </w:r>
          </w:p>
        </w:tc>
      </w:tr>
      <w:tr>
        <w:trPr>
          <w:trHeight w:val="446"/>
        </w:trPr>
        <w:tc>
          <w:tcPr>
            <w:tcW w:w="640" w:type="dxa"/>
            <w:vAlign w:val="bottom"/>
          </w:tcPr>
          <w:p>
            <w:pPr>
              <w:jc w:val="right"/>
              <w:spacing w:after="0"/>
              <w:rPr>
                <w:sz w:val="20"/>
                <w:szCs w:val="20"/>
                <w:color w:val="auto"/>
              </w:rPr>
            </w:pPr>
            <w:r>
              <w:rPr>
                <w:rFonts w:ascii="Arial" w:cs="Arial" w:eastAsia="Arial" w:hAnsi="Arial"/>
                <w:sz w:val="14"/>
                <w:szCs w:val="14"/>
                <w:color w:val="auto"/>
              </w:rPr>
              <w:t>40,000</w:t>
            </w:r>
          </w:p>
        </w:tc>
        <w:tc>
          <w:tcPr>
            <w:tcW w:w="2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110,000</w:t>
            </w:r>
          </w:p>
        </w:tc>
        <w:tc>
          <w:tcPr>
            <w:tcW w:w="900" w:type="dxa"/>
            <w:vAlign w:val="bottom"/>
          </w:tcPr>
          <w:p>
            <w:pPr>
              <w:jc w:val="right"/>
              <w:spacing w:after="0"/>
              <w:rPr>
                <w:sz w:val="20"/>
                <w:szCs w:val="20"/>
                <w:color w:val="auto"/>
              </w:rPr>
            </w:pPr>
            <w:r>
              <w:rPr>
                <w:rFonts w:ascii="Arial" w:cs="Arial" w:eastAsia="Arial" w:hAnsi="Arial"/>
                <w:sz w:val="14"/>
                <w:szCs w:val="14"/>
                <w:color w:val="auto"/>
              </w:rPr>
              <w:t>150,000</w:t>
            </w:r>
          </w:p>
        </w:tc>
      </w:tr>
      <w:tr>
        <w:trPr>
          <w:trHeight w:val="446"/>
        </w:trPr>
        <w:tc>
          <w:tcPr>
            <w:tcW w:w="640" w:type="dxa"/>
            <w:vAlign w:val="bottom"/>
          </w:tcPr>
          <w:p>
            <w:pPr>
              <w:jc w:val="right"/>
              <w:spacing w:after="0"/>
              <w:rPr>
                <w:sz w:val="20"/>
                <w:szCs w:val="20"/>
                <w:color w:val="auto"/>
              </w:rPr>
            </w:pPr>
            <w:r>
              <w:rPr>
                <w:rFonts w:ascii="Arial" w:cs="Arial" w:eastAsia="Arial" w:hAnsi="Arial"/>
                <w:sz w:val="14"/>
                <w:szCs w:val="14"/>
                <w:color w:val="auto"/>
              </w:rPr>
              <w:t>22,500</w:t>
            </w:r>
          </w:p>
        </w:tc>
        <w:tc>
          <w:tcPr>
            <w:tcW w:w="2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65,000</w:t>
            </w:r>
          </w:p>
        </w:tc>
        <w:tc>
          <w:tcPr>
            <w:tcW w:w="900" w:type="dxa"/>
            <w:vAlign w:val="bottom"/>
          </w:tcPr>
          <w:p>
            <w:pPr>
              <w:jc w:val="right"/>
              <w:spacing w:after="0"/>
              <w:rPr>
                <w:sz w:val="20"/>
                <w:szCs w:val="20"/>
                <w:color w:val="auto"/>
              </w:rPr>
            </w:pPr>
            <w:r>
              <w:rPr>
                <w:rFonts w:ascii="Arial" w:cs="Arial" w:eastAsia="Arial" w:hAnsi="Arial"/>
                <w:sz w:val="14"/>
                <w:szCs w:val="14"/>
                <w:color w:val="auto"/>
              </w:rPr>
              <w:t>87,500</w:t>
            </w:r>
          </w:p>
        </w:tc>
      </w:tr>
      <w:tr>
        <w:trPr>
          <w:trHeight w:val="446"/>
        </w:trPr>
        <w:tc>
          <w:tcPr>
            <w:tcW w:w="640" w:type="dxa"/>
            <w:vAlign w:val="bottom"/>
          </w:tcPr>
          <w:p>
            <w:pPr>
              <w:jc w:val="right"/>
              <w:spacing w:after="0"/>
              <w:rPr>
                <w:sz w:val="20"/>
                <w:szCs w:val="20"/>
                <w:color w:val="auto"/>
              </w:rPr>
            </w:pPr>
            <w:r>
              <w:rPr>
                <w:rFonts w:ascii="Arial" w:cs="Arial" w:eastAsia="Arial" w:hAnsi="Arial"/>
                <w:sz w:val="14"/>
                <w:szCs w:val="14"/>
                <w:color w:val="auto"/>
              </w:rPr>
              <w:t>9,000</w:t>
            </w:r>
          </w:p>
        </w:tc>
        <w:tc>
          <w:tcPr>
            <w:tcW w:w="2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26,000</w:t>
            </w:r>
          </w:p>
        </w:tc>
        <w:tc>
          <w:tcPr>
            <w:tcW w:w="900" w:type="dxa"/>
            <w:vAlign w:val="bottom"/>
          </w:tcPr>
          <w:p>
            <w:pPr>
              <w:jc w:val="right"/>
              <w:spacing w:after="0"/>
              <w:rPr>
                <w:sz w:val="20"/>
                <w:szCs w:val="20"/>
                <w:color w:val="auto"/>
              </w:rPr>
            </w:pPr>
            <w:r>
              <w:rPr>
                <w:rFonts w:ascii="Arial" w:cs="Arial" w:eastAsia="Arial" w:hAnsi="Arial"/>
                <w:sz w:val="14"/>
                <w:szCs w:val="14"/>
                <w:color w:val="auto"/>
              </w:rPr>
              <w:t>35,000</w:t>
            </w:r>
          </w:p>
        </w:tc>
      </w:tr>
      <w:tr>
        <w:trPr>
          <w:trHeight w:val="486"/>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70,379</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10,871</w:t>
            </w:r>
          </w:p>
        </w:tc>
        <w:tc>
          <w:tcPr>
            <w:tcW w:w="900" w:type="dxa"/>
            <w:vAlign w:val="bottom"/>
          </w:tcPr>
          <w:p>
            <w:pPr>
              <w:jc w:val="right"/>
              <w:spacing w:after="0"/>
              <w:rPr>
                <w:sz w:val="20"/>
                <w:szCs w:val="20"/>
                <w:color w:val="auto"/>
              </w:rPr>
            </w:pPr>
            <w:r>
              <w:rPr>
                <w:rFonts w:ascii="Arial" w:cs="Arial" w:eastAsia="Arial" w:hAnsi="Arial"/>
                <w:sz w:val="14"/>
                <w:szCs w:val="14"/>
                <w:color w:val="auto"/>
              </w:rPr>
              <w:t>81,250</w:t>
            </w:r>
          </w:p>
        </w:tc>
      </w:tr>
      <w:tr>
        <w:trPr>
          <w:trHeight w:val="424"/>
        </w:trPr>
        <w:tc>
          <w:tcPr>
            <w:tcW w:w="640" w:type="dxa"/>
            <w:vAlign w:val="bottom"/>
          </w:tcPr>
          <w:p>
            <w:pPr>
              <w:jc w:val="right"/>
              <w:spacing w:after="0"/>
              <w:rPr>
                <w:sz w:val="20"/>
                <w:szCs w:val="20"/>
                <w:color w:val="auto"/>
              </w:rPr>
            </w:pPr>
            <w:r>
              <w:rPr>
                <w:rFonts w:ascii="Arial" w:cs="Arial" w:eastAsia="Arial" w:hAnsi="Arial"/>
                <w:sz w:val="14"/>
                <w:szCs w:val="14"/>
                <w:color w:val="auto"/>
                <w:w w:val="89"/>
              </w:rPr>
              <w:t>4,309,778</w:t>
            </w:r>
          </w:p>
        </w:tc>
        <w:tc>
          <w:tcPr>
            <w:tcW w:w="2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w w:val="97"/>
              </w:rPr>
              <w:t>(2,780,534)</w:t>
            </w:r>
          </w:p>
        </w:tc>
        <w:tc>
          <w:tcPr>
            <w:tcW w:w="900" w:type="dxa"/>
            <w:vAlign w:val="bottom"/>
          </w:tcPr>
          <w:p>
            <w:pPr>
              <w:jc w:val="right"/>
              <w:spacing w:after="0"/>
              <w:rPr>
                <w:sz w:val="20"/>
                <w:szCs w:val="20"/>
                <w:color w:val="auto"/>
              </w:rPr>
            </w:pPr>
            <w:r>
              <w:rPr>
                <w:rFonts w:ascii="Arial" w:cs="Arial" w:eastAsia="Arial" w:hAnsi="Arial"/>
                <w:sz w:val="14"/>
                <w:szCs w:val="14"/>
                <w:color w:val="auto"/>
              </w:rPr>
              <w:t>1,529,244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-2507615</wp:posOffset>
            </wp:positionH>
            <wp:positionV relativeFrom="paragraph">
              <wp:posOffset>-3091180</wp:posOffset>
            </wp:positionV>
            <wp:extent cx="5213985" cy="946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3985" cy="9461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-2902585</wp:posOffset>
            </wp:positionV>
            <wp:extent cx="5213985" cy="946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13985" cy="9461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-2619375</wp:posOffset>
            </wp:positionV>
            <wp:extent cx="5213985" cy="2146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-2190750</wp:posOffset>
            </wp:positionV>
            <wp:extent cx="5213985" cy="946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13985" cy="9461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-2001520</wp:posOffset>
            </wp:positionV>
            <wp:extent cx="5213985" cy="946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13985" cy="9461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-1812925</wp:posOffset>
            </wp:positionV>
            <wp:extent cx="5213985" cy="946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13985" cy="9461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-1435735</wp:posOffset>
            </wp:positionV>
            <wp:extent cx="5213985" cy="2832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-869950</wp:posOffset>
            </wp:positionV>
            <wp:extent cx="5213985" cy="2832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-278130</wp:posOffset>
            </wp:positionV>
            <wp:extent cx="5213985" cy="1885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13985"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780" w:space="180"/>
            <w:col w:w="613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8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Common shares</w:t>
            </w:r>
          </w:p>
        </w:tc>
        <w:tc>
          <w:tcPr>
            <w:tcW w:w="90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r>
      <w:tr>
        <w:trPr>
          <w:trHeight w:val="20"/>
        </w:trPr>
        <w:tc>
          <w:tcPr>
            <w:tcW w:w="282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r>
      <w:tr>
        <w:trPr>
          <w:trHeight w:val="142"/>
        </w:trPr>
        <w:tc>
          <w:tcPr>
            <w:tcW w:w="28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Total Control Investments</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   426,777</w:t>
            </w:r>
          </w:p>
        </w:tc>
        <w:tc>
          <w:tcPr>
            <w:tcW w:w="120" w:type="dxa"/>
            <w:vAlign w:val="bottom"/>
          </w:tcPr>
          <w:p>
            <w:pPr>
              <w:spacing w:after="0"/>
              <w:rPr>
                <w:sz w:val="12"/>
                <w:szCs w:val="12"/>
                <w:color w:val="auto"/>
              </w:rPr>
            </w:pPr>
          </w:p>
        </w:tc>
        <w:tc>
          <w:tcPr>
            <w:tcW w:w="9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w w:val="93"/>
              </w:rPr>
              <w:t>$  19,037,566</w:t>
            </w:r>
          </w:p>
        </w:tc>
        <w:tc>
          <w:tcPr>
            <w:tcW w:w="220" w:type="dxa"/>
            <w:vAlign w:val="bottom"/>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614,603</w:t>
            </w:r>
          </w:p>
        </w:tc>
        <w:tc>
          <w:tcPr>
            <w:tcW w:w="96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w w:val="94"/>
              </w:rPr>
              <w:t>$ (526,000)  $</w:t>
            </w:r>
          </w:p>
        </w:tc>
        <w:tc>
          <w:tcPr>
            <w:tcW w:w="78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729,254</w:t>
            </w: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w w:val="95"/>
              </w:rPr>
              <w:t>$  19,855,423</w:t>
            </w:r>
          </w:p>
        </w:tc>
      </w:tr>
      <w:tr>
        <w:trPr>
          <w:trHeight w:val="21"/>
        </w:trPr>
        <w:tc>
          <w:tcPr>
            <w:tcW w:w="2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-136525</wp:posOffset>
            </wp:positionV>
            <wp:extent cx="5213985"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65" w:name="page66"/>
    <w:bookmarkEnd w:id="6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 — Schedule of Investments in and Advances to Affiliates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June 30, 2017 (unaudited)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b w:val="1"/>
                <w:bCs w:val="1"/>
                <w:color w:val="auto"/>
                <w:w w:val="88"/>
              </w:rPr>
              <w:t>Purchases,</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Interest, Fees</w:t>
            </w:r>
          </w:p>
        </w:tc>
        <w:tc>
          <w:tcPr>
            <w:tcW w:w="10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Capitalized</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Realized and</w:t>
            </w:r>
          </w:p>
        </w:tc>
        <w:tc>
          <w:tcPr>
            <w:tcW w:w="8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2760" w:type="dxa"/>
            <w:vAlign w:val="bottom"/>
            <w:gridSpan w:val="10"/>
            <w:vMerge w:val="restart"/>
          </w:tcPr>
          <w:p>
            <w:pPr>
              <w:ind w:left="20"/>
              <w:spacing w:after="0"/>
              <w:rPr>
                <w:sz w:val="20"/>
                <w:szCs w:val="20"/>
                <w:color w:val="auto"/>
              </w:rPr>
            </w:pPr>
            <w:r>
              <w:rPr>
                <w:rFonts w:ascii="Arial" w:cs="Arial" w:eastAsia="Arial" w:hAnsi="Arial"/>
                <w:sz w:val="14"/>
                <w:szCs w:val="14"/>
                <w:b w:val="1"/>
                <w:bCs w:val="1"/>
                <w:color w:val="auto"/>
              </w:rPr>
              <w:t>Affiliate Investments</w:t>
            </w:r>
          </w:p>
        </w:tc>
        <w:tc>
          <w:tcPr>
            <w:tcW w:w="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or Dividends</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Fees, Interest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gridSpan w:val="10"/>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Credited in</w:t>
            </w:r>
          </w:p>
        </w:tc>
        <w:tc>
          <w:tcPr>
            <w:tcW w:w="1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276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rPr>
              <w:t>Portfolio Company/Type of Investment*</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Gains/(Losses)</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69"/>
        </w:trPr>
        <w:tc>
          <w:tcPr>
            <w:tcW w:w="2760" w:type="dxa"/>
            <w:vAlign w:val="bottom"/>
            <w:gridSpan w:val="10"/>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AlwaysOn, Inc.</w:t>
            </w:r>
            <w:r>
              <w:rPr>
                <w:rFonts w:ascii="Arial" w:cs="Arial" w:eastAsia="Arial" w:hAnsi="Arial"/>
                <w:sz w:val="19"/>
                <w:szCs w:val="19"/>
                <w:color w:val="auto"/>
                <w:vertAlign w:val="superscript"/>
              </w:rPr>
              <w:t>(7)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6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   —</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60" w:type="dxa"/>
            <w:vAlign w:val="bottom"/>
            <w:gridSpan w:val="10"/>
          </w:tcPr>
          <w:p>
            <w:pPr>
              <w:ind w:left="20"/>
              <w:spacing w:after="0" w:line="130" w:lineRule="exact"/>
              <w:rPr>
                <w:sz w:val="20"/>
                <w:szCs w:val="20"/>
                <w:color w:val="auto"/>
              </w:rPr>
            </w:pPr>
            <w:r>
              <w:rPr>
                <w:rFonts w:ascii="Arial" w:cs="Arial" w:eastAsia="Arial" w:hAnsi="Arial"/>
                <w:sz w:val="14"/>
                <w:szCs w:val="14"/>
                <w:color w:val="auto"/>
                <w:w w:val="93"/>
              </w:rPr>
              <w:t>Preferred warrants Series A, $1.00 strike 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9"/>
          </w:tcPr>
          <w:p>
            <w:pPr>
              <w:ind w:left="180"/>
              <w:spacing w:after="0"/>
              <w:rPr>
                <w:sz w:val="20"/>
                <w:szCs w:val="20"/>
                <w:color w:val="auto"/>
              </w:rPr>
            </w:pPr>
            <w:r>
              <w:rPr>
                <w:rFonts w:ascii="Arial" w:cs="Arial" w:eastAsia="Arial" w:hAnsi="Arial"/>
                <w:sz w:val="14"/>
                <w:szCs w:val="14"/>
                <w:color w:val="auto"/>
              </w:rPr>
              <w:t>expire 1/9/2017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760" w:type="dxa"/>
            <w:vAlign w:val="bottom"/>
            <w:gridSpan w:val="10"/>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Whittle Schools, LLC</w:t>
            </w:r>
            <w:r>
              <w:rPr>
                <w:rFonts w:ascii="Arial" w:cs="Arial" w:eastAsia="Arial" w:hAnsi="Arial"/>
                <w:sz w:val="20"/>
                <w:szCs w:val="20"/>
                <w:color w:val="auto"/>
                <w:vertAlign w:val="superscript"/>
              </w:rPr>
              <w:t>(2)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6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3,000,000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49"/>
        </w:trPr>
        <w:tc>
          <w:tcPr>
            <w:tcW w:w="276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r>
        <w:trPr>
          <w:trHeight w:val="135"/>
        </w:trPr>
        <w:tc>
          <w:tcPr>
            <w:tcW w:w="2760" w:type="dxa"/>
            <w:vAlign w:val="bottom"/>
            <w:gridSpan w:val="10"/>
          </w:tcPr>
          <w:p>
            <w:pPr>
              <w:ind w:left="20"/>
              <w:spacing w:after="0" w:line="135" w:lineRule="exact"/>
              <w:rPr>
                <w:sz w:val="20"/>
                <w:szCs w:val="20"/>
                <w:color w:val="auto"/>
              </w:rPr>
            </w:pPr>
            <w:r>
              <w:rPr>
                <w:rFonts w:ascii="Arial" w:cs="Arial" w:eastAsia="Arial" w:hAnsi="Arial"/>
                <w:sz w:val="14"/>
                <w:szCs w:val="14"/>
                <w:b w:val="1"/>
                <w:bCs w:val="1"/>
                <w:color w:val="auto"/>
              </w:rPr>
              <w:t>Circle Media (f/k/a S3 Digital Corp.</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tcBorders>
              <w:top w:val="single" w:sz="8" w:color="auto"/>
            </w:tcBorders>
            <w:gridSpan w:val="7"/>
          </w:tcPr>
          <w:p>
            <w:pPr>
              <w:ind w:left="180"/>
              <w:spacing w:after="0" w:line="129" w:lineRule="exact"/>
              <w:rPr>
                <w:sz w:val="20"/>
                <w:szCs w:val="20"/>
                <w:color w:val="auto"/>
              </w:rPr>
            </w:pPr>
            <w:r>
              <w:rPr>
                <w:rFonts w:ascii="Arial" w:cs="Arial" w:eastAsia="Arial" w:hAnsi="Arial"/>
                <w:sz w:val="14"/>
                <w:szCs w:val="14"/>
                <w:b w:val="1"/>
                <w:bCs w:val="1"/>
                <w:color w:val="auto"/>
              </w:rPr>
              <w:t>(d/b/a S3i))</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60" w:type="dxa"/>
            <w:vAlign w:val="bottom"/>
            <w:gridSpan w:val="10"/>
            <w:shd w:val="clear" w:color="auto" w:fill="CCEEFF"/>
          </w:tcPr>
          <w:p>
            <w:pPr>
              <w:ind w:left="20"/>
              <w:spacing w:after="0" w:line="142" w:lineRule="exact"/>
              <w:rPr>
                <w:sz w:val="20"/>
                <w:szCs w:val="20"/>
                <w:color w:val="auto"/>
              </w:rPr>
            </w:pPr>
            <w:r>
              <w:rPr>
                <w:rFonts w:ascii="Arial" w:cs="Arial" w:eastAsia="Arial" w:hAnsi="Arial"/>
                <w:sz w:val="14"/>
                <w:szCs w:val="14"/>
                <w:color w:val="auto"/>
              </w:rPr>
              <w:t>Promissory Note, 12%, 11/17/2017***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26,544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3,164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28,008</w:t>
            </w:r>
          </w:p>
        </w:tc>
        <w:tc>
          <w:tcPr>
            <w:tcW w:w="0" w:type="dxa"/>
            <w:vAlign w:val="bottom"/>
          </w:tcPr>
          <w:p>
            <w:pPr>
              <w:spacing w:after="0"/>
              <w:rPr>
                <w:sz w:val="1"/>
                <w:szCs w:val="1"/>
                <w:color w:val="auto"/>
              </w:rPr>
            </w:pPr>
          </w:p>
        </w:tc>
      </w:tr>
      <w:tr>
        <w:trPr>
          <w:trHeight w:val="149"/>
        </w:trPr>
        <w:tc>
          <w:tcPr>
            <w:tcW w:w="2760" w:type="dxa"/>
            <w:vAlign w:val="bottom"/>
            <w:gridSpan w:val="10"/>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484,769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(484,769)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60" w:type="dxa"/>
            <w:vAlign w:val="bottom"/>
            <w:gridSpan w:val="10"/>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740" w:type="dxa"/>
            <w:vAlign w:val="bottom"/>
            <w:gridSpan w:val="9"/>
            <w:shd w:val="clear" w:color="auto" w:fill="CCEEFF"/>
          </w:tcPr>
          <w:p>
            <w:pPr>
              <w:ind w:left="180"/>
              <w:spacing w:after="0"/>
              <w:rPr>
                <w:sz w:val="20"/>
                <w:szCs w:val="20"/>
                <w:color w:val="auto"/>
              </w:rPr>
            </w:pPr>
            <w:r>
              <w:rPr>
                <w:rFonts w:ascii="Arial" w:cs="Arial" w:eastAsia="Arial" w:hAnsi="Arial"/>
                <w:sz w:val="14"/>
                <w:szCs w:val="14"/>
                <w:color w:val="auto"/>
              </w:rPr>
              <w:t>Expiration Date 11/18/2022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60" w:type="dxa"/>
            <w:vAlign w:val="bottom"/>
            <w:gridSpan w:val="10"/>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9"/>
          </w:tcPr>
          <w:p>
            <w:pPr>
              <w:ind w:left="180"/>
              <w:spacing w:after="0"/>
              <w:rPr>
                <w:sz w:val="20"/>
                <w:szCs w:val="20"/>
                <w:color w:val="auto"/>
              </w:rPr>
            </w:pPr>
            <w:r>
              <w:rPr>
                <w:rFonts w:ascii="Arial" w:cs="Arial" w:eastAsia="Arial" w:hAnsi="Arial"/>
                <w:sz w:val="14"/>
                <w:szCs w:val="14"/>
                <w:color w:val="auto"/>
              </w:rPr>
              <w:t>Expiration Date 8/29/2021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60" w:type="dxa"/>
            <w:vAlign w:val="bottom"/>
            <w:gridSpan w:val="10"/>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740" w:type="dxa"/>
            <w:vAlign w:val="bottom"/>
            <w:gridSpan w:val="9"/>
            <w:shd w:val="clear" w:color="auto" w:fill="CCEEFF"/>
          </w:tcPr>
          <w:p>
            <w:pPr>
              <w:ind w:left="180"/>
              <w:spacing w:after="0"/>
              <w:rPr>
                <w:sz w:val="20"/>
                <w:szCs w:val="20"/>
                <w:color w:val="auto"/>
              </w:rPr>
            </w:pPr>
            <w:r>
              <w:rPr>
                <w:rFonts w:ascii="Arial" w:cs="Arial" w:eastAsia="Arial" w:hAnsi="Arial"/>
                <w:sz w:val="14"/>
                <w:szCs w:val="14"/>
                <w:color w:val="auto"/>
              </w:rPr>
              <w:t>Expiration Date 6/26/2021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60" w:type="dxa"/>
            <w:vAlign w:val="bottom"/>
            <w:gridSpan w:val="10"/>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9"/>
          </w:tcPr>
          <w:p>
            <w:pPr>
              <w:ind w:left="180"/>
              <w:spacing w:after="0"/>
              <w:rPr>
                <w:sz w:val="20"/>
                <w:szCs w:val="20"/>
                <w:color w:val="auto"/>
              </w:rPr>
            </w:pPr>
            <w:r>
              <w:rPr>
                <w:rFonts w:ascii="Arial" w:cs="Arial" w:eastAsia="Arial" w:hAnsi="Arial"/>
                <w:sz w:val="14"/>
                <w:szCs w:val="14"/>
                <w:color w:val="auto"/>
              </w:rPr>
              <w:t>Expiration Date 9/30/2020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60" w:type="dxa"/>
            <w:vAlign w:val="bottom"/>
            <w:gridSpan w:val="10"/>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$1.00 Strike Price,</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740" w:type="dxa"/>
            <w:vAlign w:val="bottom"/>
            <w:gridSpan w:val="9"/>
            <w:shd w:val="clear" w:color="auto" w:fill="CCEEFF"/>
          </w:tcPr>
          <w:p>
            <w:pPr>
              <w:ind w:left="180"/>
              <w:spacing w:after="0"/>
              <w:rPr>
                <w:sz w:val="20"/>
                <w:szCs w:val="20"/>
                <w:color w:val="auto"/>
              </w:rPr>
            </w:pPr>
            <w:r>
              <w:rPr>
                <w:rFonts w:ascii="Arial" w:cs="Arial" w:eastAsia="Arial" w:hAnsi="Arial"/>
                <w:sz w:val="14"/>
                <w:szCs w:val="14"/>
                <w:color w:val="auto"/>
              </w:rPr>
              <w:t>Expiration Date 11/21/2017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760" w:type="dxa"/>
            <w:vAlign w:val="bottom"/>
            <w:gridSpan w:val="10"/>
          </w:tcPr>
          <w:p>
            <w:pPr>
              <w:ind w:left="20"/>
              <w:spacing w:after="0" w:line="135" w:lineRule="exact"/>
              <w:rPr>
                <w:sz w:val="20"/>
                <w:szCs w:val="20"/>
                <w:color w:val="auto"/>
              </w:rPr>
            </w:pPr>
            <w:r>
              <w:rPr>
                <w:rFonts w:ascii="Arial" w:cs="Arial" w:eastAsia="Arial" w:hAnsi="Arial"/>
                <w:sz w:val="14"/>
                <w:szCs w:val="14"/>
                <w:b w:val="1"/>
                <w:bCs w:val="1"/>
                <w:color w:val="auto"/>
              </w:rPr>
              <w:t>CUX, Inc. (d/b/a CorpU)</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760" w:type="dxa"/>
            <w:vAlign w:val="bottom"/>
            <w:gridSpan w:val="10"/>
            <w:shd w:val="clear" w:color="auto" w:fill="CCEEFF"/>
          </w:tcPr>
          <w:p>
            <w:pPr>
              <w:ind w:left="20"/>
              <w:spacing w:after="0" w:line="123" w:lineRule="exact"/>
              <w:rPr>
                <w:sz w:val="20"/>
                <w:szCs w:val="20"/>
                <w:color w:val="auto"/>
              </w:rPr>
            </w:pPr>
            <w:r>
              <w:rPr>
                <w:rFonts w:ascii="Arial" w:cs="Arial" w:eastAsia="Arial" w:hAnsi="Arial"/>
                <w:sz w:val="14"/>
                <w:szCs w:val="14"/>
                <w:color w:val="auto"/>
                <w:w w:val="98"/>
              </w:rPr>
              <w:t>Senior Subordinated Convertible Promissory</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2740" w:type="dxa"/>
            <w:vAlign w:val="bottom"/>
            <w:gridSpan w:val="9"/>
            <w:shd w:val="clear" w:color="auto" w:fill="CCEEFF"/>
          </w:tcPr>
          <w:p>
            <w:pPr>
              <w:ind w:left="180"/>
              <w:spacing w:after="0" w:line="159" w:lineRule="exact"/>
              <w:rPr>
                <w:sz w:val="20"/>
                <w:szCs w:val="20"/>
                <w:color w:val="auto"/>
              </w:rPr>
            </w:pPr>
            <w:r>
              <w:rPr>
                <w:rFonts w:ascii="Arial" w:cs="Arial" w:eastAsia="Arial" w:hAnsi="Arial"/>
                <w:sz w:val="14"/>
                <w:szCs w:val="14"/>
                <w:color w:val="auto"/>
              </w:rPr>
              <w:t>Note 8%</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740" w:type="dxa"/>
            <w:vAlign w:val="bottom"/>
            <w:gridSpan w:val="9"/>
            <w:shd w:val="clear" w:color="auto" w:fill="CCEEFF"/>
          </w:tcPr>
          <w:p>
            <w:pPr>
              <w:ind w:left="180"/>
              <w:spacing w:after="0" w:line="198" w:lineRule="exact"/>
              <w:rPr>
                <w:sz w:val="20"/>
                <w:szCs w:val="20"/>
                <w:color w:val="auto"/>
              </w:rPr>
            </w:pPr>
            <w:r>
              <w:rPr>
                <w:rFonts w:ascii="Arial" w:cs="Arial" w:eastAsia="Arial" w:hAnsi="Arial"/>
                <w:sz w:val="14"/>
                <w:szCs w:val="14"/>
                <w:color w:val="auto"/>
              </w:rPr>
              <w:t>Due 11/26/2018***</w:t>
            </w:r>
            <w:r>
              <w:rPr>
                <w:rFonts w:ascii="Arial" w:cs="Arial" w:eastAsia="Arial" w:hAnsi="Arial"/>
                <w:sz w:val="22"/>
                <w:szCs w:val="22"/>
                <w:color w:val="auto"/>
                <w:vertAlign w:val="superscript"/>
              </w:rPr>
              <w:t>(3)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1,166,400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1,166,400</w:t>
            </w:r>
          </w:p>
        </w:tc>
        <w:tc>
          <w:tcPr>
            <w:tcW w:w="0" w:type="dxa"/>
            <w:vAlign w:val="bottom"/>
          </w:tcPr>
          <w:p>
            <w:pPr>
              <w:spacing w:after="0"/>
              <w:rPr>
                <w:sz w:val="1"/>
                <w:szCs w:val="1"/>
                <w:color w:val="auto"/>
              </w:rPr>
            </w:pPr>
          </w:p>
        </w:tc>
      </w:tr>
      <w:tr>
        <w:trPr>
          <w:trHeight w:val="149"/>
        </w:trPr>
        <w:tc>
          <w:tcPr>
            <w:tcW w:w="2760" w:type="dxa"/>
            <w:vAlign w:val="bottom"/>
            <w:gridSpan w:val="10"/>
          </w:tcPr>
          <w:p>
            <w:pPr>
              <w:ind w:left="20"/>
              <w:spacing w:after="0" w:line="149" w:lineRule="exact"/>
              <w:rPr>
                <w:sz w:val="20"/>
                <w:szCs w:val="20"/>
                <w:color w:val="auto"/>
              </w:rPr>
            </w:pPr>
            <w:r>
              <w:rPr>
                <w:rFonts w:ascii="Arial" w:cs="Arial" w:eastAsia="Arial" w:hAnsi="Arial"/>
                <w:sz w:val="14"/>
                <w:szCs w:val="14"/>
                <w:color w:val="auto"/>
              </w:rPr>
              <w:t>Convertible preferred shares, Series 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775,861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775,861</w:t>
            </w:r>
          </w:p>
        </w:tc>
        <w:tc>
          <w:tcPr>
            <w:tcW w:w="0" w:type="dxa"/>
            <w:vAlign w:val="bottom"/>
          </w:tcPr>
          <w:p>
            <w:pPr>
              <w:spacing w:after="0"/>
              <w:rPr>
                <w:sz w:val="1"/>
                <w:szCs w:val="1"/>
                <w:color w:val="auto"/>
              </w:rPr>
            </w:pPr>
          </w:p>
        </w:tc>
      </w:tr>
      <w:tr>
        <w:trPr>
          <w:trHeight w:val="149"/>
        </w:trPr>
        <w:tc>
          <w:tcPr>
            <w:tcW w:w="276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Convertible preferred shares, Series C</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1,913,484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(743,534)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1,169,950</w:t>
            </w:r>
          </w:p>
        </w:tc>
        <w:tc>
          <w:tcPr>
            <w:tcW w:w="0" w:type="dxa"/>
            <w:vAlign w:val="bottom"/>
          </w:tcPr>
          <w:p>
            <w:pPr>
              <w:spacing w:after="0"/>
              <w:rPr>
                <w:sz w:val="1"/>
                <w:szCs w:val="1"/>
                <w:color w:val="auto"/>
              </w:rPr>
            </w:pPr>
          </w:p>
        </w:tc>
      </w:tr>
      <w:tr>
        <w:trPr>
          <w:trHeight w:val="130"/>
        </w:trPr>
        <w:tc>
          <w:tcPr>
            <w:tcW w:w="2760" w:type="dxa"/>
            <w:vAlign w:val="bottom"/>
            <w:gridSpan w:val="10"/>
          </w:tcPr>
          <w:p>
            <w:pPr>
              <w:ind w:left="20"/>
              <w:spacing w:after="0" w:line="130" w:lineRule="exact"/>
              <w:rPr>
                <w:sz w:val="20"/>
                <w:szCs w:val="20"/>
                <w:color w:val="auto"/>
              </w:rPr>
            </w:pPr>
            <w:r>
              <w:rPr>
                <w:rFonts w:ascii="Arial" w:cs="Arial" w:eastAsia="Arial" w:hAnsi="Arial"/>
                <w:sz w:val="14"/>
                <w:szCs w:val="14"/>
                <w:color w:val="auto"/>
              </w:rPr>
              <w:t>Preferred warrants, Series D, Strike 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9"/>
          </w:tcPr>
          <w:p>
            <w:pPr>
              <w:ind w:left="180"/>
              <w:spacing w:after="0"/>
              <w:rPr>
                <w:sz w:val="20"/>
                <w:szCs w:val="20"/>
                <w:color w:val="auto"/>
              </w:rPr>
            </w:pPr>
            <w:r>
              <w:rPr>
                <w:rFonts w:ascii="Arial" w:cs="Arial" w:eastAsia="Arial" w:hAnsi="Arial"/>
                <w:sz w:val="14"/>
                <w:szCs w:val="14"/>
                <w:color w:val="auto"/>
              </w:rPr>
              <w:t>$4.59, Expiration Date 2/25/2018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4,395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4,395</w:t>
            </w:r>
          </w:p>
        </w:tc>
        <w:tc>
          <w:tcPr>
            <w:tcW w:w="0" w:type="dxa"/>
            <w:vAlign w:val="bottom"/>
          </w:tcPr>
          <w:p>
            <w:pPr>
              <w:spacing w:after="0"/>
              <w:rPr>
                <w:sz w:val="1"/>
                <w:szCs w:val="1"/>
                <w:color w:val="auto"/>
              </w:rPr>
            </w:pPr>
          </w:p>
        </w:tc>
      </w:tr>
      <w:tr>
        <w:trPr>
          <w:trHeight w:val="135"/>
        </w:trPr>
        <w:tc>
          <w:tcPr>
            <w:tcW w:w="2760" w:type="dxa"/>
            <w:vAlign w:val="bottom"/>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Curious.com Inc.</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6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9,984,954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8"/>
              <w:spacing w:after="0" w:line="142" w:lineRule="exact"/>
              <w:rPr>
                <w:sz w:val="20"/>
                <w:szCs w:val="20"/>
                <w:color w:val="auto"/>
              </w:rPr>
            </w:pPr>
            <w:r>
              <w:rPr>
                <w:rFonts w:ascii="Arial" w:cs="Arial" w:eastAsia="Arial" w:hAnsi="Arial"/>
                <w:sz w:val="14"/>
                <w:szCs w:val="14"/>
                <w:color w:val="auto"/>
              </w:rPr>
              <w:t>280</w:t>
            </w:r>
          </w:p>
        </w:tc>
        <w:tc>
          <w:tcPr>
            <w:tcW w:w="80" w:type="dxa"/>
            <w:vAlign w:val="bottom"/>
          </w:tcPr>
          <w:p>
            <w:pPr>
              <w:spacing w:after="0"/>
              <w:rPr>
                <w:sz w:val="12"/>
                <w:szCs w:val="12"/>
                <w:color w:val="auto"/>
              </w:rPr>
            </w:pPr>
          </w:p>
        </w:tc>
        <w:tc>
          <w:tcPr>
            <w:tcW w:w="5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(1,051,905)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8,933,329</w:t>
            </w:r>
          </w:p>
        </w:tc>
        <w:tc>
          <w:tcPr>
            <w:tcW w:w="0" w:type="dxa"/>
            <w:vAlign w:val="bottom"/>
          </w:tcPr>
          <w:p>
            <w:pPr>
              <w:spacing w:after="0"/>
              <w:rPr>
                <w:sz w:val="1"/>
                <w:szCs w:val="1"/>
                <w:color w:val="auto"/>
              </w:rPr>
            </w:pPr>
          </w:p>
        </w:tc>
      </w:tr>
      <w:tr>
        <w:trPr>
          <w:trHeight w:val="135"/>
        </w:trPr>
        <w:tc>
          <w:tcPr>
            <w:tcW w:w="2760" w:type="dxa"/>
            <w:vAlign w:val="bottom"/>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Declara, Inc.</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760" w:type="dxa"/>
            <w:vAlign w:val="bottom"/>
            <w:gridSpan w:val="10"/>
          </w:tcPr>
          <w:p>
            <w:pPr>
              <w:ind w:left="20"/>
              <w:spacing w:after="0" w:line="133" w:lineRule="exact"/>
              <w:rPr>
                <w:sz w:val="20"/>
                <w:szCs w:val="20"/>
                <w:color w:val="auto"/>
              </w:rPr>
            </w:pPr>
            <w:r>
              <w:rPr>
                <w:rFonts w:ascii="Arial" w:cs="Arial" w:eastAsia="Arial" w:hAnsi="Arial"/>
                <w:sz w:val="14"/>
                <w:szCs w:val="14"/>
                <w:color w:val="auto"/>
              </w:rPr>
              <w:t>Convertible Promissory Note 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40" w:type="dxa"/>
            <w:vAlign w:val="bottom"/>
            <w:gridSpan w:val="9"/>
          </w:tcPr>
          <w:p>
            <w:pPr>
              <w:ind w:left="180"/>
              <w:spacing w:after="0" w:line="198" w:lineRule="exact"/>
              <w:rPr>
                <w:sz w:val="20"/>
                <w:szCs w:val="20"/>
                <w:color w:val="auto"/>
              </w:rPr>
            </w:pPr>
            <w:r>
              <w:rPr>
                <w:rFonts w:ascii="Arial" w:cs="Arial" w:eastAsia="Arial" w:hAnsi="Arial"/>
                <w:sz w:val="14"/>
                <w:szCs w:val="14"/>
                <w:color w:val="auto"/>
              </w:rPr>
              <w:t>Due 12/31/2017***</w:t>
            </w:r>
            <w:r>
              <w:rPr>
                <w:rFonts w:ascii="Arial" w:cs="Arial" w:eastAsia="Arial" w:hAnsi="Arial"/>
                <w:sz w:val="22"/>
                <w:szCs w:val="22"/>
                <w:color w:val="auto"/>
                <w:vertAlign w:val="superscript"/>
              </w:rPr>
              <w:t>(6)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94,645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2,827,020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2,827,020</w:t>
            </w:r>
          </w:p>
        </w:tc>
        <w:tc>
          <w:tcPr>
            <w:tcW w:w="0" w:type="dxa"/>
            <w:vAlign w:val="bottom"/>
          </w:tcPr>
          <w:p>
            <w:pPr>
              <w:spacing w:after="0"/>
              <w:rPr>
                <w:sz w:val="1"/>
                <w:szCs w:val="1"/>
                <w:color w:val="auto"/>
              </w:rPr>
            </w:pPr>
          </w:p>
        </w:tc>
      </w:tr>
      <w:tr>
        <w:trPr>
          <w:trHeight w:val="149"/>
        </w:trPr>
        <w:tc>
          <w:tcPr>
            <w:tcW w:w="276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4,786,654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(392,934)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4,393,720</w:t>
            </w:r>
          </w:p>
        </w:tc>
        <w:tc>
          <w:tcPr>
            <w:tcW w:w="0" w:type="dxa"/>
            <w:vAlign w:val="bottom"/>
          </w:tcPr>
          <w:p>
            <w:pPr>
              <w:spacing w:after="0"/>
              <w:rPr>
                <w:sz w:val="1"/>
                <w:szCs w:val="1"/>
                <w:color w:val="auto"/>
              </w:rPr>
            </w:pPr>
          </w:p>
        </w:tc>
      </w:tr>
      <w:tr>
        <w:trPr>
          <w:trHeight w:val="135"/>
        </w:trPr>
        <w:tc>
          <w:tcPr>
            <w:tcW w:w="2760" w:type="dxa"/>
            <w:vAlign w:val="bottom"/>
            <w:gridSpan w:val="10"/>
          </w:tcPr>
          <w:p>
            <w:pPr>
              <w:ind w:left="20"/>
              <w:spacing w:after="0" w:line="135" w:lineRule="exact"/>
              <w:rPr>
                <w:sz w:val="20"/>
                <w:szCs w:val="20"/>
                <w:color w:val="auto"/>
              </w:rPr>
            </w:pPr>
            <w:r>
              <w:rPr>
                <w:rFonts w:ascii="Arial" w:cs="Arial" w:eastAsia="Arial" w:hAnsi="Arial"/>
                <w:sz w:val="14"/>
                <w:szCs w:val="14"/>
                <w:b w:val="1"/>
                <w:bCs w:val="1"/>
                <w:color w:val="auto"/>
              </w:rPr>
              <w:t>EdSurge, Inc.</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60" w:type="dxa"/>
            <w:vAlign w:val="bottom"/>
            <w:gridSpan w:val="10"/>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49"/>
        </w:trPr>
        <w:tc>
          <w:tcPr>
            <w:tcW w:w="2760" w:type="dxa"/>
            <w:vAlign w:val="bottom"/>
            <w:gridSpan w:val="10"/>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588,294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(88,985)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499,309</w:t>
            </w:r>
          </w:p>
        </w:tc>
        <w:tc>
          <w:tcPr>
            <w:tcW w:w="0" w:type="dxa"/>
            <w:vAlign w:val="bottom"/>
          </w:tcPr>
          <w:p>
            <w:pPr>
              <w:spacing w:after="0"/>
              <w:rPr>
                <w:sz w:val="1"/>
                <w:szCs w:val="1"/>
                <w:color w:val="auto"/>
              </w:rPr>
            </w:pPr>
          </w:p>
        </w:tc>
      </w:tr>
      <w:tr>
        <w:trPr>
          <w:trHeight w:val="176"/>
        </w:trPr>
        <w:tc>
          <w:tcPr>
            <w:tcW w:w="3660" w:type="dxa"/>
            <w:vAlign w:val="bottom"/>
            <w:gridSpan w:val="13"/>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Global Education Learning (Holdings) Ltd.</w:t>
            </w:r>
            <w:r>
              <w:rPr>
                <w:rFonts w:ascii="Arial" w:cs="Arial" w:eastAsia="Arial" w:hAnsi="Arial"/>
                <w:sz w:val="13"/>
                <w:szCs w:val="13"/>
                <w:color w:val="auto"/>
              </w:rPr>
              <w:t>**</w:t>
            </w:r>
            <w:r>
              <w:rPr>
                <w:rFonts w:ascii="Arial" w:cs="Arial" w:eastAsia="Arial" w:hAnsi="Arial"/>
                <w:sz w:val="20"/>
                <w:szCs w:val="20"/>
                <w:color w:val="auto"/>
                <w:vertAlign w:val="superscript"/>
              </w:rPr>
              <w:t>(8)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6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760" w:type="dxa"/>
            <w:vAlign w:val="bottom"/>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Maven Research, Inc.</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6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1,999,998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(44,657)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1,955,341</w:t>
            </w:r>
          </w:p>
        </w:tc>
        <w:tc>
          <w:tcPr>
            <w:tcW w:w="0" w:type="dxa"/>
            <w:vAlign w:val="bottom"/>
          </w:tcPr>
          <w:p>
            <w:pPr>
              <w:spacing w:after="0"/>
              <w:rPr>
                <w:sz w:val="1"/>
                <w:szCs w:val="1"/>
                <w:color w:val="auto"/>
              </w:rPr>
            </w:pPr>
          </w:p>
        </w:tc>
      </w:tr>
      <w:tr>
        <w:trPr>
          <w:trHeight w:val="149"/>
        </w:trPr>
        <w:tc>
          <w:tcPr>
            <w:tcW w:w="276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223,763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(28,713)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195,050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6" w:name="page67"/>
    <w:bookmarkEnd w:id="6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Schedule 12-14 — Schedule of Investments in and Advances to Affiliates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as of June 30, 2017 (unaudited)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
              <w:spacing w:after="0"/>
              <w:rPr>
                <w:sz w:val="20"/>
                <w:szCs w:val="20"/>
                <w:color w:val="auto"/>
              </w:rPr>
            </w:pPr>
            <w:r>
              <w:rPr>
                <w:rFonts w:ascii="Arial" w:cs="Arial" w:eastAsia="Arial" w:hAnsi="Arial"/>
                <w:sz w:val="14"/>
                <w:szCs w:val="14"/>
                <w:b w:val="1"/>
                <w:bCs w:val="1"/>
                <w:color w:val="auto"/>
                <w:w w:val="94"/>
              </w:rPr>
              <w:t>Amount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Purchases,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Interest, Fees</w:t>
            </w:r>
          </w:p>
        </w:tc>
        <w:tc>
          <w:tcPr>
            <w:tcW w:w="8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Fair Value at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8"/>
              </w:rPr>
              <w:t>Realized and</w:t>
            </w:r>
          </w:p>
        </w:tc>
        <w:tc>
          <w:tcPr>
            <w:tcW w:w="80" w:type="dxa"/>
            <w:vAlign w:val="bottom"/>
          </w:tcPr>
          <w:p>
            <w:pPr>
              <w:spacing w:after="0"/>
              <w:rPr>
                <w:sz w:val="12"/>
                <w:szCs w:val="12"/>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29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Affiliate Investments</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or Dividends</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Capitalized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5"/>
            <w:vMerge w:val="continue"/>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Credited in</w:t>
            </w:r>
          </w:p>
        </w:tc>
        <w:tc>
          <w:tcPr>
            <w:tcW w:w="8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Fees 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9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Portfolio Company/Type of Investment*</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5"/>
              </w:rPr>
              <w:t>Gains/(Losses)</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56"/>
        </w:trPr>
        <w:tc>
          <w:tcPr>
            <w:tcW w:w="2960" w:type="dxa"/>
            <w:vAlign w:val="bottom"/>
            <w:tcBorders>
              <w:right w:val="single" w:sz="8" w:color="CCEEFF"/>
            </w:tcBorders>
            <w:gridSpan w:val="5"/>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Ozy Media, Inc.</w:t>
            </w:r>
          </w:p>
        </w:tc>
        <w:tc>
          <w:tcPr>
            <w:tcW w:w="10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60" w:type="dxa"/>
            <w:vAlign w:val="bottom"/>
            <w:gridSpan w:val="5"/>
          </w:tcPr>
          <w:p>
            <w:pPr>
              <w:ind w:left="20"/>
              <w:spacing w:after="0"/>
              <w:rPr>
                <w:sz w:val="20"/>
                <w:szCs w:val="20"/>
                <w:color w:val="auto"/>
              </w:rPr>
            </w:pPr>
            <w:r>
              <w:rPr>
                <w:rFonts w:ascii="Arial" w:cs="Arial" w:eastAsia="Arial" w:hAnsi="Arial"/>
                <w:sz w:val="16"/>
                <w:szCs w:val="16"/>
                <w:color w:val="auto"/>
              </w:rPr>
              <w:t>Convertible Promissory Note 5%,</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gridSpan w:val="4"/>
          </w:tcPr>
          <w:p>
            <w:pPr>
              <w:ind w:left="180"/>
              <w:spacing w:after="0"/>
              <w:rPr>
                <w:sz w:val="20"/>
                <w:szCs w:val="20"/>
                <w:color w:val="auto"/>
              </w:rPr>
            </w:pPr>
            <w:r>
              <w:rPr>
                <w:rFonts w:ascii="Arial" w:cs="Arial" w:eastAsia="Arial" w:hAnsi="Arial"/>
                <w:sz w:val="16"/>
                <w:szCs w:val="16"/>
                <w:color w:val="auto"/>
              </w:rPr>
              <w:t>Due 02/28/2018***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49,589</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2,000,000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2,000,000</w:t>
            </w:r>
          </w:p>
        </w:tc>
        <w:tc>
          <w:tcPr>
            <w:tcW w:w="0" w:type="dxa"/>
            <w:vAlign w:val="bottom"/>
          </w:tcPr>
          <w:p>
            <w:pPr>
              <w:spacing w:after="0"/>
              <w:rPr>
                <w:sz w:val="1"/>
                <w:szCs w:val="1"/>
                <w:color w:val="auto"/>
              </w:rPr>
            </w:pPr>
          </w:p>
        </w:tc>
      </w:tr>
      <w:tr>
        <w:trPr>
          <w:trHeight w:val="206"/>
        </w:trPr>
        <w:tc>
          <w:tcPr>
            <w:tcW w:w="2960" w:type="dxa"/>
            <w:vAlign w:val="bottom"/>
            <w:tcBorders>
              <w:right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4,999,999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4,999,999</w:t>
            </w:r>
          </w:p>
        </w:tc>
        <w:tc>
          <w:tcPr>
            <w:tcW w:w="0" w:type="dxa"/>
            <w:vAlign w:val="bottom"/>
          </w:tcPr>
          <w:p>
            <w:pPr>
              <w:spacing w:after="0"/>
              <w:rPr>
                <w:sz w:val="1"/>
                <w:szCs w:val="1"/>
                <w:color w:val="auto"/>
              </w:rPr>
            </w:pPr>
          </w:p>
        </w:tc>
      </w:tr>
      <w:tr>
        <w:trPr>
          <w:trHeight w:val="203"/>
        </w:trPr>
        <w:tc>
          <w:tcPr>
            <w:tcW w:w="2960" w:type="dxa"/>
            <w:vAlign w:val="bottom"/>
            <w:gridSpan w:val="5"/>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3,000,000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3,000,000</w:t>
            </w:r>
          </w:p>
        </w:tc>
        <w:tc>
          <w:tcPr>
            <w:tcW w:w="0" w:type="dxa"/>
            <w:vAlign w:val="bottom"/>
          </w:tcPr>
          <w:p>
            <w:pPr>
              <w:spacing w:after="0"/>
              <w:rPr>
                <w:sz w:val="1"/>
                <w:szCs w:val="1"/>
                <w:color w:val="auto"/>
              </w:rPr>
            </w:pPr>
          </w:p>
        </w:tc>
      </w:tr>
      <w:tr>
        <w:trPr>
          <w:trHeight w:val="203"/>
        </w:trPr>
        <w:tc>
          <w:tcPr>
            <w:tcW w:w="2960" w:type="dxa"/>
            <w:vAlign w:val="bottom"/>
            <w:tcBorders>
              <w:right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Preferred shares, Series Seed</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(110,000)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03"/>
        </w:trPr>
        <w:tc>
          <w:tcPr>
            <w:tcW w:w="2960" w:type="dxa"/>
            <w:vAlign w:val="bottom"/>
            <w:gridSpan w:val="5"/>
          </w:tcPr>
          <w:p>
            <w:pPr>
              <w:ind w:left="20"/>
              <w:spacing w:after="0" w:line="202" w:lineRule="exact"/>
              <w:rPr>
                <w:sz w:val="20"/>
                <w:szCs w:val="20"/>
                <w:color w:val="auto"/>
              </w:rPr>
            </w:pPr>
            <w:r>
              <w:rPr>
                <w:rFonts w:ascii="Arial" w:cs="Arial" w:eastAsia="Arial" w:hAnsi="Arial"/>
                <w:sz w:val="14"/>
                <w:szCs w:val="14"/>
                <w:b w:val="1"/>
                <w:bCs w:val="1"/>
                <w:color w:val="auto"/>
              </w:rPr>
              <w:t>Strategic Data Command, LLC</w:t>
            </w:r>
            <w:r>
              <w:rPr>
                <w:rFonts w:ascii="Arial" w:cs="Arial" w:eastAsia="Arial" w:hAnsi="Arial"/>
                <w:sz w:val="23"/>
                <w:szCs w:val="23"/>
                <w:color w:val="auto"/>
                <w:vertAlign w:val="superscript"/>
              </w:rPr>
              <w:t>(4)</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tcBorders>
              <w:right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2,052,555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107,445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2,160,000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gridSpan w:val="5"/>
          </w:tcPr>
          <w:p>
            <w:pPr>
              <w:ind w:left="20"/>
              <w:spacing w:after="0"/>
              <w:rPr>
                <w:sz w:val="20"/>
                <w:szCs w:val="20"/>
                <w:color w:val="auto"/>
              </w:rPr>
            </w:pPr>
            <w:r>
              <w:rPr>
                <w:rFonts w:ascii="Arial" w:cs="Arial" w:eastAsia="Arial" w:hAnsi="Arial"/>
                <w:sz w:val="16"/>
                <w:szCs w:val="16"/>
                <w:b w:val="1"/>
                <w:bCs w:val="1"/>
                <w:color w:val="auto"/>
              </w:rPr>
              <w:t>Total Affiliate Investments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192,372</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87"/>
              </w:rPr>
              <w:t>42,444,690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3,444</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80"/>
              <w:spacing w:after="0"/>
              <w:rPr>
                <w:sz w:val="20"/>
                <w:szCs w:val="20"/>
                <w:color w:val="auto"/>
              </w:rPr>
            </w:pPr>
            <w:r>
              <w:rPr>
                <w:rFonts w:ascii="Arial" w:cs="Arial" w:eastAsia="Arial" w:hAnsi="Arial"/>
                <w:sz w:val="16"/>
                <w:szCs w:val="16"/>
                <w:u w:val="single" w:color="auto"/>
                <w:color w:val="auto"/>
                <w:w w:val="89"/>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(2,839,752)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4"/>
              </w:rPr>
              <w:t>39,608,382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-351155</wp:posOffset>
            </wp:positionV>
            <wp:extent cx="5213985"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36" w:lineRule="exact"/>
        <w:rPr>
          <w:sz w:val="20"/>
          <w:szCs w:val="20"/>
          <w:color w:val="auto"/>
        </w:rPr>
      </w:pPr>
    </w:p>
    <w:p>
      <w:pPr>
        <w:ind w:left="300" w:right="599" w:hanging="272"/>
        <w:spacing w:after="0" w:line="259"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non-income-producing, unless identified. Equity investments are subject to lock-up restrictions upon their IPO. Unless otherwise noted, all investments were pledged as collateral under the Credit Facility. The Company’s and GSV Asset Management, LLC’s officers and staff, as applicable, may serve on the board of directors of the Company’s portfolio investments.</w:t>
      </w:r>
    </w:p>
    <w:p>
      <w:pPr>
        <w:spacing w:after="0" w:line="79" w:lineRule="exact"/>
        <w:rPr>
          <w:sz w:val="20"/>
          <w:szCs w:val="20"/>
          <w:color w:val="auto"/>
        </w:rPr>
      </w:pPr>
    </w:p>
    <w:p>
      <w:pPr>
        <w:ind w:left="300" w:right="939" w:hanging="272"/>
        <w:spacing w:after="0" w:line="277" w:lineRule="auto"/>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rFonts w:ascii="Arial" w:cs="Arial" w:eastAsia="Arial" w:hAnsi="Arial"/>
          <w:sz w:val="18"/>
          <w:szCs w:val="18"/>
          <w:color w:val="auto"/>
        </w:rPr>
      </w:pPr>
    </w:p>
    <w:p>
      <w:pPr>
        <w:ind w:left="360" w:hanging="332"/>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 is income-producing.</w:t>
      </w:r>
    </w:p>
    <w:p>
      <w:pPr>
        <w:spacing w:after="0" w:line="117" w:lineRule="exact"/>
        <w:rPr>
          <w:sz w:val="20"/>
          <w:szCs w:val="20"/>
          <w:color w:val="auto"/>
        </w:rPr>
      </w:pPr>
    </w:p>
    <w:p>
      <w:pPr>
        <w:ind w:left="300" w:hanging="272"/>
        <w:spacing w:after="0"/>
        <w:tabs>
          <w:tab w:leader="none" w:pos="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 owned subsidiary, GSVC SW Holdings, Inc.</w:t>
      </w:r>
    </w:p>
    <w:p>
      <w:pPr>
        <w:spacing w:after="0" w:line="128" w:lineRule="exact"/>
        <w:rPr>
          <w:rFonts w:ascii="Arial" w:cs="Arial" w:eastAsia="Arial" w:hAnsi="Arial"/>
          <w:sz w:val="17"/>
          <w:szCs w:val="17"/>
          <w:color w:val="auto"/>
        </w:rPr>
      </w:pPr>
    </w:p>
    <w:p>
      <w:pPr>
        <w:ind w:left="300" w:right="839" w:hanging="272"/>
        <w:spacing w:after="0" w:line="264" w:lineRule="auto"/>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300" w:right="799" w:hanging="272"/>
        <w:spacing w:after="0" w:line="264" w:lineRule="auto"/>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73" w:lineRule="exact"/>
        <w:rPr>
          <w:rFonts w:ascii="Arial" w:cs="Arial" w:eastAsia="Arial" w:hAnsi="Arial"/>
          <w:sz w:val="18"/>
          <w:szCs w:val="18"/>
          <w:color w:val="auto"/>
        </w:rPr>
      </w:pPr>
    </w:p>
    <w:p>
      <w:pPr>
        <w:ind w:left="300" w:right="739" w:hanging="272"/>
        <w:spacing w:after="0" w:line="277" w:lineRule="auto"/>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62" w:lineRule="exact"/>
        <w:rPr>
          <w:rFonts w:ascii="Arial" w:cs="Arial" w:eastAsia="Arial" w:hAnsi="Arial"/>
          <w:sz w:val="18"/>
          <w:szCs w:val="18"/>
          <w:color w:val="auto"/>
        </w:rPr>
      </w:pPr>
    </w:p>
    <w:p>
      <w:pPr>
        <w:jc w:val="both"/>
        <w:ind w:left="300" w:right="559" w:hanging="272"/>
        <w:spacing w:after="0" w:line="312" w:lineRule="auto"/>
        <w:tabs>
          <w:tab w:leader="none" w:pos="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May 29, 2017, the maturity date of the unsecured promissory note to NestGSV, Inc. (d/b/a GSV Labs, Inc.) was extended to November 29, 2017 in exchange for 125,000 Series B warrants. For accounting purposes, the extension of the maturity date was treated as an extinguishment of the existing note and creation of a new note. Refer to “Note 3 — Investments at Fair Value.”</w:t>
      </w:r>
    </w:p>
    <w:p>
      <w:pPr>
        <w:spacing w:after="0" w:line="38" w:lineRule="exact"/>
        <w:rPr>
          <w:rFonts w:ascii="Arial" w:cs="Arial" w:eastAsia="Arial" w:hAnsi="Arial"/>
          <w:sz w:val="16"/>
          <w:szCs w:val="16"/>
          <w:color w:val="auto"/>
        </w:rPr>
      </w:pPr>
    </w:p>
    <w:p>
      <w:pPr>
        <w:ind w:left="300" w:hanging="272"/>
        <w:spacing w:after="0"/>
        <w:tabs>
          <w:tab w:leader="none" w:pos="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 July 1, 2017, the maturity date of the convertible promissory note to Declara, Inc. was extended to December 31, 2017.</w:t>
      </w:r>
    </w:p>
    <w:p>
      <w:pPr>
        <w:spacing w:after="0" w:line="128" w:lineRule="exact"/>
        <w:rPr>
          <w:rFonts w:ascii="Arial" w:cs="Arial" w:eastAsia="Arial" w:hAnsi="Arial"/>
          <w:sz w:val="17"/>
          <w:szCs w:val="17"/>
          <w:color w:val="auto"/>
        </w:rPr>
      </w:pPr>
    </w:p>
    <w:p>
      <w:pPr>
        <w:ind w:left="300" w:hanging="272"/>
        <w:spacing w:after="0"/>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wrote-off its investment in AlwaysOn, Inc. during the three months ended March 31, 2017.</w:t>
      </w:r>
    </w:p>
    <w:p>
      <w:pPr>
        <w:spacing w:after="0" w:line="117" w:lineRule="exact"/>
        <w:rPr>
          <w:rFonts w:ascii="Arial" w:cs="Arial" w:eastAsia="Arial" w:hAnsi="Arial"/>
          <w:sz w:val="18"/>
          <w:szCs w:val="18"/>
          <w:color w:val="auto"/>
        </w:rPr>
      </w:pPr>
    </w:p>
    <w:p>
      <w:pPr>
        <w:ind w:left="300" w:right="779" w:hanging="272"/>
        <w:spacing w:after="0" w:line="277" w:lineRule="auto"/>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wrote-off its investment in Global Education Learning (Holdings) Ltd. during the three months ended June 30, 2017.</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7" w:name="page68"/>
    <w:bookmarkEnd w:id="6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 — Schedule of Investments in and Advances to Affiliates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608901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8901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160020</wp:posOffset>
            </wp:positionV>
            <wp:extent cx="608901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Transfer</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from Control</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Control Investments</w:t>
            </w: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Interest, Fees</w:t>
            </w: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100" w:type="dxa"/>
            <w:vAlign w:val="bottom"/>
          </w:tcPr>
          <w:p>
            <w:pPr>
              <w:spacing w:after="0"/>
              <w:rPr>
                <w:sz w:val="12"/>
                <w:szCs w:val="12"/>
                <w:color w:val="auto"/>
              </w:rPr>
            </w:pPr>
          </w:p>
        </w:tc>
        <w:tc>
          <w:tcPr>
            <w:tcW w:w="9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Investment To</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Realized and</w:t>
            </w:r>
          </w:p>
        </w:tc>
        <w:tc>
          <w:tcPr>
            <w:tcW w:w="9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8"/>
              </w:rPr>
              <w:t>Fair Value at</w:t>
            </w:r>
          </w:p>
        </w:tc>
        <w:tc>
          <w:tcPr>
            <w:tcW w:w="0" w:type="dxa"/>
            <w:vAlign w:val="bottom"/>
          </w:tcPr>
          <w:p>
            <w:pPr>
              <w:spacing w:after="0"/>
              <w:rPr>
                <w:sz w:val="1"/>
                <w:szCs w:val="1"/>
                <w:color w:val="auto"/>
              </w:rPr>
            </w:pPr>
          </w:p>
        </w:tc>
      </w:tr>
      <w:tr>
        <w:trPr>
          <w:trHeight w:val="149"/>
        </w:trPr>
        <w:tc>
          <w:tcPr>
            <w:tcW w:w="2380" w:type="dxa"/>
            <w:vAlign w:val="bottom"/>
            <w:gridSpan w:val="8"/>
            <w:vMerge w:val="continue"/>
          </w:tcPr>
          <w:p>
            <w:pPr>
              <w:spacing w:after="0"/>
              <w:rPr>
                <w:sz w:val="12"/>
                <w:szCs w:val="12"/>
                <w:color w:val="auto"/>
              </w:rPr>
            </w:pPr>
          </w:p>
        </w:tc>
        <w:tc>
          <w:tcPr>
            <w:tcW w:w="9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or Dividends</w:t>
            </w: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Non-Control/</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8"/>
              </w:rPr>
              <w:t>Corporate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8"/>
          </w:tcPr>
          <w:p>
            <w:pPr>
              <w:ind w:left="20"/>
              <w:spacing w:after="0" w:line="149" w:lineRule="exact"/>
              <w:rPr>
                <w:sz w:val="20"/>
                <w:szCs w:val="20"/>
                <w:color w:val="auto"/>
              </w:rPr>
            </w:pPr>
            <w:r>
              <w:rPr>
                <w:rFonts w:ascii="Arial" w:cs="Arial" w:eastAsia="Arial" w:hAnsi="Arial"/>
                <w:sz w:val="14"/>
                <w:szCs w:val="14"/>
                <w:b w:val="1"/>
                <w:bCs w:val="1"/>
                <w:color w:val="auto"/>
              </w:rPr>
              <w:t>Portfolio Company/Type of</w:t>
            </w: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Credited in</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Non-Affiliate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84"/>
              </w:rPr>
              <w:t>Purchases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3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Investment*</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Action</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9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7"/>
              </w:rPr>
              <w:t>Gains/(Losses)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80" w:type="dxa"/>
            <w:vAlign w:val="bottom"/>
            <w:tcBorders>
              <w:right w:val="single" w:sz="8" w:color="CCEEFF"/>
            </w:tcBorders>
            <w:gridSpan w:val="8"/>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gridSpan w:val="8"/>
          </w:tcPr>
          <w:p>
            <w:pPr>
              <w:ind w:left="20"/>
              <w:spacing w:after="0"/>
              <w:rPr>
                <w:sz w:val="20"/>
                <w:szCs w:val="20"/>
                <w:color w:val="auto"/>
              </w:rPr>
            </w:pPr>
            <w:r>
              <w:rPr>
                <w:rFonts w:ascii="Arial" w:cs="Arial" w:eastAsia="Arial" w:hAnsi="Arial"/>
                <w:sz w:val="16"/>
                <w:szCs w:val="16"/>
                <w:color w:val="auto"/>
              </w:rPr>
              <w:t>Preferred shares, Series C</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4,599,718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51,120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4,650,838</w:t>
            </w:r>
          </w:p>
        </w:tc>
        <w:tc>
          <w:tcPr>
            <w:tcW w:w="0" w:type="dxa"/>
            <w:vAlign w:val="bottom"/>
          </w:tcPr>
          <w:p>
            <w:pPr>
              <w:spacing w:after="0"/>
              <w:rPr>
                <w:sz w:val="1"/>
                <w:szCs w:val="1"/>
                <w:color w:val="auto"/>
              </w:rPr>
            </w:pPr>
          </w:p>
        </w:tc>
      </w:tr>
      <w:tr>
        <w:trPr>
          <w:trHeight w:val="203"/>
        </w:trPr>
        <w:tc>
          <w:tcPr>
            <w:tcW w:w="238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4,633,228</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(162,825)</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4,470,403</w:t>
            </w:r>
          </w:p>
        </w:tc>
        <w:tc>
          <w:tcPr>
            <w:tcW w:w="0" w:type="dxa"/>
            <w:vAlign w:val="bottom"/>
          </w:tcPr>
          <w:p>
            <w:pPr>
              <w:spacing w:after="0"/>
              <w:rPr>
                <w:sz w:val="1"/>
                <w:szCs w:val="1"/>
                <w:color w:val="auto"/>
              </w:rPr>
            </w:pPr>
          </w:p>
        </w:tc>
      </w:tr>
      <w:tr>
        <w:trPr>
          <w:trHeight w:val="203"/>
        </w:trPr>
        <w:tc>
          <w:tcPr>
            <w:tcW w:w="2380" w:type="dxa"/>
            <w:vAlign w:val="bottom"/>
            <w:gridSpan w:val="8"/>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518,000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(18,204)</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499,796</w:t>
            </w:r>
          </w:p>
        </w:tc>
        <w:tc>
          <w:tcPr>
            <w:tcW w:w="0" w:type="dxa"/>
            <w:vAlign w:val="bottom"/>
          </w:tcPr>
          <w:p>
            <w:pPr>
              <w:spacing w:after="0"/>
              <w:rPr>
                <w:sz w:val="1"/>
                <w:szCs w:val="1"/>
                <w:color w:val="auto"/>
              </w:rPr>
            </w:pPr>
          </w:p>
        </w:tc>
      </w:tr>
      <w:tr>
        <w:trPr>
          <w:trHeight w:val="162"/>
        </w:trPr>
        <w:tc>
          <w:tcPr>
            <w:tcW w:w="2380" w:type="dxa"/>
            <w:vAlign w:val="bottom"/>
            <w:tcBorders>
              <w:right w:val="single" w:sz="8" w:color="CCEEFF"/>
            </w:tcBorders>
            <w:gridSpan w:val="8"/>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w w:val="98"/>
              </w:rPr>
              <w:t>NestGSV, Inc. (d/b/a GSV Labs,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auto"/>
            </w:tcBorders>
            <w:gridSpan w:val="6"/>
            <w:shd w:val="clear" w:color="auto" w:fill="CCEEFF"/>
          </w:tcPr>
          <w:p>
            <w:pPr>
              <w:ind w:left="180"/>
              <w:spacing w:after="0" w:line="183" w:lineRule="exact"/>
              <w:rPr>
                <w:sz w:val="20"/>
                <w:szCs w:val="20"/>
                <w:color w:val="auto"/>
              </w:rPr>
            </w:pPr>
            <w:r>
              <w:rPr>
                <w:rFonts w:ascii="Arial" w:cs="Arial" w:eastAsia="Arial" w:hAnsi="Arial"/>
                <w:sz w:val="16"/>
                <w:szCs w:val="16"/>
                <w:b w:val="1"/>
                <w:bCs w:val="1"/>
                <w:color w:val="auto"/>
              </w:rPr>
              <w:t>Inc.)</w:t>
            </w: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380" w:type="dxa"/>
            <w:vAlign w:val="bottom"/>
            <w:gridSpan w:val="8"/>
          </w:tcPr>
          <w:p>
            <w:pPr>
              <w:ind w:left="20"/>
              <w:spacing w:after="0"/>
              <w:rPr>
                <w:sz w:val="20"/>
                <w:szCs w:val="20"/>
                <w:color w:val="auto"/>
              </w:rPr>
            </w:pPr>
            <w:r>
              <w:rPr>
                <w:rFonts w:ascii="Arial" w:cs="Arial" w:eastAsia="Arial" w:hAnsi="Arial"/>
                <w:sz w:val="16"/>
                <w:szCs w:val="16"/>
                <w:color w:val="auto"/>
              </w:rPr>
              <w:t>Convertible Promissory Note 8%</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gridSpan w:val="7"/>
          </w:tcPr>
          <w:p>
            <w:pPr>
              <w:ind w:left="180"/>
              <w:spacing w:after="0"/>
              <w:rPr>
                <w:sz w:val="20"/>
                <w:szCs w:val="20"/>
                <w:color w:val="auto"/>
              </w:rPr>
            </w:pPr>
            <w:r>
              <w:rPr>
                <w:rFonts w:ascii="Arial" w:cs="Arial" w:eastAsia="Arial" w:hAnsi="Arial"/>
                <w:sz w:val="16"/>
                <w:szCs w:val="16"/>
                <w:color w:val="auto"/>
              </w:rPr>
              <w:t>Due 07/31/2017***</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16,889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425,620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31,972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(29,692)</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427,900</w:t>
            </w:r>
          </w:p>
        </w:tc>
        <w:tc>
          <w:tcPr>
            <w:tcW w:w="0" w:type="dxa"/>
            <w:vAlign w:val="bottom"/>
          </w:tcPr>
          <w:p>
            <w:pPr>
              <w:spacing w:after="0"/>
              <w:rPr>
                <w:sz w:val="1"/>
                <w:szCs w:val="1"/>
                <w:color w:val="auto"/>
              </w:rPr>
            </w:pPr>
          </w:p>
        </w:tc>
      </w:tr>
      <w:tr>
        <w:trPr>
          <w:trHeight w:val="196"/>
        </w:trPr>
        <w:tc>
          <w:tcPr>
            <w:tcW w:w="238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Convertible Promissory Note 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360" w:type="dxa"/>
            <w:vAlign w:val="bottom"/>
            <w:tcBorders>
              <w:right w:val="single" w:sz="8" w:color="CCEEFF"/>
            </w:tcBorders>
            <w:gridSpan w:val="7"/>
            <w:shd w:val="clear" w:color="auto" w:fill="CCEEFF"/>
          </w:tcPr>
          <w:p>
            <w:pPr>
              <w:ind w:left="180"/>
              <w:spacing w:after="0"/>
              <w:rPr>
                <w:sz w:val="20"/>
                <w:szCs w:val="20"/>
                <w:color w:val="auto"/>
              </w:rPr>
            </w:pPr>
            <w:r>
              <w:rPr>
                <w:rFonts w:ascii="Arial" w:cs="Arial" w:eastAsia="Arial" w:hAnsi="Arial"/>
                <w:sz w:val="16"/>
                <w:szCs w:val="16"/>
                <w:color w:val="auto"/>
              </w:rPr>
              <w:t>Due 06/30/16***</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48,248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380" w:type="dxa"/>
            <w:vAlign w:val="bottom"/>
            <w:gridSpan w:val="8"/>
          </w:tcPr>
          <w:p>
            <w:pPr>
              <w:ind w:left="20"/>
              <w:spacing w:after="0"/>
              <w:rPr>
                <w:sz w:val="20"/>
                <w:szCs w:val="20"/>
                <w:color w:val="auto"/>
              </w:rPr>
            </w:pPr>
            <w:r>
              <w:rPr>
                <w:rFonts w:ascii="Arial" w:cs="Arial" w:eastAsia="Arial" w:hAnsi="Arial"/>
                <w:sz w:val="16"/>
                <w:szCs w:val="16"/>
                <w:color w:val="auto"/>
              </w:rPr>
              <w:t>Promissory Note 10%</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gridSpan w:val="7"/>
          </w:tcPr>
          <w:p>
            <w:pPr>
              <w:ind w:left="180"/>
              <w:spacing w:after="0"/>
              <w:rPr>
                <w:sz w:val="20"/>
                <w:szCs w:val="20"/>
                <w:color w:val="auto"/>
              </w:rPr>
            </w:pPr>
            <w:r>
              <w:rPr>
                <w:rFonts w:ascii="Arial" w:cs="Arial" w:eastAsia="Arial" w:hAnsi="Arial"/>
                <w:sz w:val="16"/>
                <w:szCs w:val="16"/>
                <w:color w:val="auto"/>
              </w:rPr>
              <w:t>Due 11/23/2016</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26,000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w w:val="90"/>
              </w:rPr>
              <w:t>(500,000)</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38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w w:val="98"/>
              </w:rPr>
              <w:t>Unsecured Promissory Note 12%</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360" w:type="dxa"/>
            <w:vAlign w:val="bottom"/>
            <w:tcBorders>
              <w:right w:val="single" w:sz="8" w:color="CCEEFF"/>
            </w:tcBorders>
            <w:gridSpan w:val="7"/>
            <w:shd w:val="clear" w:color="auto" w:fill="CCEEFF"/>
          </w:tcPr>
          <w:p>
            <w:pPr>
              <w:ind w:left="180"/>
              <w:spacing w:after="0"/>
              <w:rPr>
                <w:sz w:val="20"/>
                <w:szCs w:val="20"/>
                <w:color w:val="auto"/>
              </w:rPr>
            </w:pPr>
            <w:r>
              <w:rPr>
                <w:rFonts w:ascii="Arial" w:cs="Arial" w:eastAsia="Arial" w:hAnsi="Arial"/>
                <w:sz w:val="16"/>
                <w:szCs w:val="16"/>
                <w:color w:val="auto"/>
              </w:rPr>
              <w:t>Due 05/29/2017</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10,862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501,802</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(5,077)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496,725</w:t>
            </w:r>
          </w:p>
        </w:tc>
        <w:tc>
          <w:tcPr>
            <w:tcW w:w="0" w:type="dxa"/>
            <w:vAlign w:val="bottom"/>
          </w:tcPr>
          <w:p>
            <w:pPr>
              <w:spacing w:after="0"/>
              <w:rPr>
                <w:sz w:val="1"/>
                <w:szCs w:val="1"/>
                <w:color w:val="auto"/>
              </w:rPr>
            </w:pPr>
          </w:p>
        </w:tc>
      </w:tr>
      <w:tr>
        <w:trPr>
          <w:trHeight w:val="203"/>
        </w:trPr>
        <w:tc>
          <w:tcPr>
            <w:tcW w:w="2380" w:type="dxa"/>
            <w:vAlign w:val="bottom"/>
            <w:gridSpan w:val="8"/>
          </w:tcPr>
          <w:p>
            <w:pPr>
              <w:ind w:left="20"/>
              <w:spacing w:after="0"/>
              <w:rPr>
                <w:sz w:val="20"/>
                <w:szCs w:val="20"/>
                <w:color w:val="auto"/>
              </w:rPr>
            </w:pPr>
            <w:r>
              <w:rPr>
                <w:rFonts w:ascii="Arial" w:cs="Arial" w:eastAsia="Arial" w:hAnsi="Arial"/>
                <w:sz w:val="16"/>
                <w:szCs w:val="16"/>
                <w:color w:val="auto"/>
              </w:rPr>
              <w:t>Preferred shares, Series D</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4,960,565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(4,904,498)</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(56,067)</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38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1,733,404</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(2,005,730)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272,326</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380" w:type="dxa"/>
            <w:vAlign w:val="bottom"/>
            <w:gridSpan w:val="8"/>
          </w:tcPr>
          <w:p>
            <w:pPr>
              <w:ind w:left="20"/>
              <w:spacing w:after="0"/>
              <w:rPr>
                <w:sz w:val="20"/>
                <w:szCs w:val="20"/>
                <w:color w:val="auto"/>
              </w:rPr>
            </w:pPr>
            <w:r>
              <w:rPr>
                <w:rFonts w:ascii="Arial" w:cs="Arial" w:eastAsia="Arial" w:hAnsi="Arial"/>
                <w:sz w:val="16"/>
                <w:szCs w:val="16"/>
                <w:color w:val="auto"/>
              </w:rPr>
              <w:t>Preferred shares, Series B</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(605,500)</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605,500</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38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(1,021,778)</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1,021,778</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380" w:type="dxa"/>
            <w:vAlign w:val="bottom"/>
            <w:gridSpan w:val="8"/>
          </w:tcPr>
          <w:p>
            <w:pPr>
              <w:ind w:left="20"/>
              <w:spacing w:after="0"/>
              <w:rPr>
                <w:sz w:val="20"/>
                <w:szCs w:val="20"/>
                <w:color w:val="auto"/>
              </w:rPr>
            </w:pPr>
            <w:r>
              <w:rPr>
                <w:rFonts w:ascii="Arial" w:cs="Arial" w:eastAsia="Arial" w:hAnsi="Arial"/>
                <w:sz w:val="16"/>
                <w:szCs w:val="16"/>
                <w:color w:val="auto"/>
              </w:rPr>
              <w:t>Preferred stock Series A-4</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w w:val="95"/>
              </w:rPr>
              <w:t>4,904,498</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(2,188,588)</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2,715,910</w:t>
            </w:r>
          </w:p>
        </w:tc>
        <w:tc>
          <w:tcPr>
            <w:tcW w:w="0" w:type="dxa"/>
            <w:vAlign w:val="bottom"/>
          </w:tcPr>
          <w:p>
            <w:pPr>
              <w:spacing w:after="0"/>
              <w:rPr>
                <w:sz w:val="1"/>
                <w:szCs w:val="1"/>
                <w:color w:val="auto"/>
              </w:rPr>
            </w:pPr>
          </w:p>
        </w:tc>
      </w:tr>
      <w:tr>
        <w:trPr>
          <w:trHeight w:val="203"/>
        </w:trPr>
        <w:tc>
          <w:tcPr>
            <w:tcW w:w="238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Preferred stock Series A-3</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5"/>
              </w:rPr>
              <w:t>2,005,730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0"/>
              </w:rPr>
              <w:t>(1,053,139)</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952,591</w:t>
            </w:r>
          </w:p>
        </w:tc>
        <w:tc>
          <w:tcPr>
            <w:tcW w:w="0" w:type="dxa"/>
            <w:vAlign w:val="bottom"/>
          </w:tcPr>
          <w:p>
            <w:pPr>
              <w:spacing w:after="0"/>
              <w:rPr>
                <w:sz w:val="1"/>
                <w:szCs w:val="1"/>
                <w:color w:val="auto"/>
              </w:rPr>
            </w:pPr>
          </w:p>
        </w:tc>
      </w:tr>
      <w:tr>
        <w:trPr>
          <w:trHeight w:val="203"/>
        </w:trPr>
        <w:tc>
          <w:tcPr>
            <w:tcW w:w="2380" w:type="dxa"/>
            <w:vAlign w:val="bottom"/>
            <w:gridSpan w:val="8"/>
          </w:tcPr>
          <w:p>
            <w:pPr>
              <w:ind w:left="20"/>
              <w:spacing w:after="0"/>
              <w:rPr>
                <w:sz w:val="20"/>
                <w:szCs w:val="20"/>
                <w:color w:val="auto"/>
              </w:rPr>
            </w:pPr>
            <w:r>
              <w:rPr>
                <w:rFonts w:ascii="Arial" w:cs="Arial" w:eastAsia="Arial" w:hAnsi="Arial"/>
                <w:sz w:val="16"/>
                <w:szCs w:val="16"/>
                <w:color w:val="auto"/>
              </w:rPr>
              <w:t>Preferred stock Series A-2</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605,500</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(439,000)</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166,500</w:t>
            </w:r>
          </w:p>
        </w:tc>
        <w:tc>
          <w:tcPr>
            <w:tcW w:w="0" w:type="dxa"/>
            <w:vAlign w:val="bottom"/>
          </w:tcPr>
          <w:p>
            <w:pPr>
              <w:spacing w:after="0"/>
              <w:rPr>
                <w:sz w:val="1"/>
                <w:szCs w:val="1"/>
                <w:color w:val="auto"/>
              </w:rPr>
            </w:pPr>
          </w:p>
        </w:tc>
      </w:tr>
      <w:tr>
        <w:trPr>
          <w:trHeight w:val="203"/>
        </w:trPr>
        <w:tc>
          <w:tcPr>
            <w:tcW w:w="238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Preferred stock Series A-1</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5"/>
              </w:rPr>
              <w:t>1,021,778</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(751,778)</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270,000</w:t>
            </w:r>
          </w:p>
        </w:tc>
        <w:tc>
          <w:tcPr>
            <w:tcW w:w="0" w:type="dxa"/>
            <w:vAlign w:val="bottom"/>
          </w:tcPr>
          <w:p>
            <w:pPr>
              <w:spacing w:after="0"/>
              <w:rPr>
                <w:sz w:val="1"/>
                <w:szCs w:val="1"/>
                <w:color w:val="auto"/>
              </w:rPr>
            </w:pPr>
          </w:p>
        </w:tc>
      </w:tr>
      <w:tr>
        <w:trPr>
          <w:trHeight w:val="203"/>
        </w:trPr>
        <w:tc>
          <w:tcPr>
            <w:tcW w:w="2380" w:type="dxa"/>
            <w:vAlign w:val="bottom"/>
            <w:gridSpan w:val="8"/>
          </w:tcPr>
          <w:p>
            <w:pPr>
              <w:ind w:left="20"/>
              <w:spacing w:after="0"/>
              <w:rPr>
                <w:sz w:val="20"/>
                <w:szCs w:val="20"/>
                <w:color w:val="auto"/>
              </w:rPr>
            </w:pPr>
            <w:r>
              <w:rPr>
                <w:rFonts w:ascii="Arial" w:cs="Arial" w:eastAsia="Arial" w:hAnsi="Arial"/>
                <w:sz w:val="16"/>
                <w:szCs w:val="16"/>
                <w:color w:val="auto"/>
              </w:rPr>
              <w:t>Common shares</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38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Preferred Warrant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360" w:type="dxa"/>
            <w:vAlign w:val="bottom"/>
            <w:tcBorders>
              <w:right w:val="single" w:sz="8" w:color="CCEEFF"/>
            </w:tcBorders>
            <w:gridSpan w:val="7"/>
            <w:shd w:val="clear" w:color="auto" w:fill="CCEEFF"/>
          </w:tcPr>
          <w:p>
            <w:pPr>
              <w:ind w:left="180"/>
              <w:spacing w:after="0"/>
              <w:rPr>
                <w:sz w:val="20"/>
                <w:szCs w:val="20"/>
                <w:color w:val="auto"/>
              </w:rPr>
            </w:pPr>
            <w:r>
              <w:rPr>
                <w:rFonts w:ascii="Arial" w:cs="Arial" w:eastAsia="Arial" w:hAnsi="Arial"/>
                <w:sz w:val="16"/>
                <w:szCs w:val="16"/>
                <w:color w:val="auto"/>
              </w:rPr>
              <w:t>Series A-4 – Strike Price</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360" w:type="dxa"/>
            <w:vAlign w:val="bottom"/>
            <w:tcBorders>
              <w:right w:val="single" w:sz="8" w:color="CCEEFF"/>
            </w:tcBorders>
            <w:gridSpan w:val="7"/>
            <w:shd w:val="clear" w:color="auto" w:fill="CCEEFF"/>
          </w:tcPr>
          <w:p>
            <w:pPr>
              <w:ind w:left="180"/>
              <w:spacing w:after="0"/>
              <w:rPr>
                <w:sz w:val="20"/>
                <w:szCs w:val="20"/>
                <w:color w:val="auto"/>
              </w:rPr>
            </w:pPr>
            <w:r>
              <w:rPr>
                <w:rFonts w:ascii="Arial" w:cs="Arial" w:eastAsia="Arial" w:hAnsi="Arial"/>
                <w:sz w:val="16"/>
                <w:szCs w:val="16"/>
                <w:color w:val="auto"/>
              </w:rPr>
              <w:t>$1.33333, Expiration Date</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4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10/6/2019</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40,000</w:t>
            </w:r>
          </w:p>
        </w:tc>
        <w:tc>
          <w:tcPr>
            <w:tcW w:w="0" w:type="dxa"/>
            <w:vAlign w:val="bottom"/>
          </w:tcPr>
          <w:p>
            <w:pPr>
              <w:spacing w:after="0"/>
              <w:rPr>
                <w:sz w:val="1"/>
                <w:szCs w:val="1"/>
                <w:color w:val="auto"/>
              </w:rPr>
            </w:pPr>
          </w:p>
        </w:tc>
      </w:tr>
      <w:tr>
        <w:trPr>
          <w:trHeight w:val="193"/>
        </w:trPr>
        <w:tc>
          <w:tcPr>
            <w:tcW w:w="2380" w:type="dxa"/>
            <w:vAlign w:val="bottom"/>
            <w:gridSpan w:val="8"/>
          </w:tcPr>
          <w:p>
            <w:pPr>
              <w:ind w:left="20"/>
              <w:spacing w:after="0"/>
              <w:rPr>
                <w:sz w:val="20"/>
                <w:szCs w:val="20"/>
                <w:color w:val="auto"/>
              </w:rPr>
            </w:pPr>
            <w:r>
              <w:rPr>
                <w:rFonts w:ascii="Arial" w:cs="Arial" w:eastAsia="Arial" w:hAnsi="Arial"/>
                <w:sz w:val="16"/>
                <w:szCs w:val="16"/>
                <w:color w:val="auto"/>
              </w:rPr>
              <w:t>Preferred Warrant</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gridSpan w:val="7"/>
          </w:tcPr>
          <w:p>
            <w:pPr>
              <w:ind w:left="180"/>
              <w:spacing w:after="0"/>
              <w:rPr>
                <w:sz w:val="20"/>
                <w:szCs w:val="20"/>
                <w:color w:val="auto"/>
              </w:rPr>
            </w:pPr>
            <w:r>
              <w:rPr>
                <w:rFonts w:ascii="Arial" w:cs="Arial" w:eastAsia="Arial" w:hAnsi="Arial"/>
                <w:sz w:val="16"/>
                <w:szCs w:val="16"/>
                <w:color w:val="auto"/>
              </w:rPr>
              <w:t>Series A-4 – Strike Price</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gridSpan w:val="7"/>
          </w:tcPr>
          <w:p>
            <w:pPr>
              <w:ind w:left="180"/>
              <w:spacing w:after="0"/>
              <w:rPr>
                <w:sz w:val="20"/>
                <w:szCs w:val="20"/>
                <w:color w:val="auto"/>
              </w:rPr>
            </w:pPr>
            <w:r>
              <w:rPr>
                <w:rFonts w:ascii="Arial" w:cs="Arial" w:eastAsia="Arial" w:hAnsi="Arial"/>
                <w:sz w:val="16"/>
                <w:szCs w:val="16"/>
                <w:color w:val="auto"/>
              </w:rPr>
              <w:t>$1.33333, Expiration Date</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gridSpan w:val="4"/>
          </w:tcPr>
          <w:p>
            <w:pPr>
              <w:ind w:left="200"/>
              <w:spacing w:after="0"/>
              <w:rPr>
                <w:sz w:val="20"/>
                <w:szCs w:val="20"/>
                <w:color w:val="auto"/>
              </w:rPr>
            </w:pPr>
            <w:r>
              <w:rPr>
                <w:rFonts w:ascii="Arial" w:cs="Arial" w:eastAsia="Arial" w:hAnsi="Arial"/>
                <w:sz w:val="16"/>
                <w:szCs w:val="16"/>
                <w:color w:val="auto"/>
              </w:rPr>
              <w:t>7/18/2021</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74,380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(51,880)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22,500</w:t>
            </w:r>
          </w:p>
        </w:tc>
        <w:tc>
          <w:tcPr>
            <w:tcW w:w="0" w:type="dxa"/>
            <w:vAlign w:val="bottom"/>
          </w:tcPr>
          <w:p>
            <w:pPr>
              <w:spacing w:after="0"/>
              <w:rPr>
                <w:sz w:val="1"/>
                <w:szCs w:val="1"/>
                <w:color w:val="auto"/>
              </w:rPr>
            </w:pPr>
          </w:p>
        </w:tc>
      </w:tr>
      <w:tr>
        <w:trPr>
          <w:trHeight w:val="196"/>
        </w:trPr>
        <w:tc>
          <w:tcPr>
            <w:tcW w:w="238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Preferred Warrant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360" w:type="dxa"/>
            <w:vAlign w:val="bottom"/>
            <w:tcBorders>
              <w:right w:val="single" w:sz="8" w:color="CCEEFF"/>
            </w:tcBorders>
            <w:gridSpan w:val="7"/>
            <w:shd w:val="clear" w:color="auto" w:fill="CCEEFF"/>
          </w:tcPr>
          <w:p>
            <w:pPr>
              <w:ind w:left="180"/>
              <w:spacing w:after="0"/>
              <w:rPr>
                <w:sz w:val="20"/>
                <w:szCs w:val="20"/>
                <w:color w:val="auto"/>
              </w:rPr>
            </w:pPr>
            <w:r>
              <w:rPr>
                <w:rFonts w:ascii="Arial" w:cs="Arial" w:eastAsia="Arial" w:hAnsi="Arial"/>
                <w:sz w:val="16"/>
                <w:szCs w:val="16"/>
                <w:color w:val="auto"/>
              </w:rPr>
              <w:t>Series A-4 – Strike Price</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360" w:type="dxa"/>
            <w:vAlign w:val="bottom"/>
            <w:tcBorders>
              <w:right w:val="single" w:sz="8" w:color="CCEEFF"/>
            </w:tcBorders>
            <w:gridSpan w:val="7"/>
            <w:shd w:val="clear" w:color="auto" w:fill="CCEEFF"/>
          </w:tcPr>
          <w:p>
            <w:pPr>
              <w:ind w:left="180"/>
              <w:spacing w:after="0"/>
              <w:rPr>
                <w:sz w:val="20"/>
                <w:szCs w:val="20"/>
                <w:color w:val="auto"/>
              </w:rPr>
            </w:pPr>
            <w:r>
              <w:rPr>
                <w:rFonts w:ascii="Arial" w:cs="Arial" w:eastAsia="Arial" w:hAnsi="Arial"/>
                <w:sz w:val="16"/>
                <w:szCs w:val="16"/>
                <w:color w:val="auto"/>
              </w:rPr>
              <w:t>$1.33333, Expiration Date</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4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11/29/2021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29,275</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(20,275)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9,000</w:t>
            </w:r>
          </w:p>
        </w:tc>
        <w:tc>
          <w:tcPr>
            <w:tcW w:w="0" w:type="dxa"/>
            <w:vAlign w:val="bottom"/>
          </w:tcPr>
          <w:p>
            <w:pPr>
              <w:spacing w:after="0"/>
              <w:rPr>
                <w:sz w:val="1"/>
                <w:szCs w:val="1"/>
                <w:color w:val="auto"/>
              </w:rPr>
            </w:pPr>
          </w:p>
        </w:tc>
      </w:tr>
      <w:tr>
        <w:trPr>
          <w:trHeight w:val="193"/>
        </w:trPr>
        <w:tc>
          <w:tcPr>
            <w:tcW w:w="2380" w:type="dxa"/>
            <w:vAlign w:val="bottom"/>
            <w:gridSpan w:val="8"/>
          </w:tcPr>
          <w:p>
            <w:pPr>
              <w:ind w:left="20"/>
              <w:spacing w:after="0"/>
              <w:rPr>
                <w:sz w:val="20"/>
                <w:szCs w:val="20"/>
                <w:color w:val="auto"/>
              </w:rPr>
            </w:pPr>
            <w:r>
              <w:rPr>
                <w:rFonts w:ascii="Arial" w:cs="Arial" w:eastAsia="Arial" w:hAnsi="Arial"/>
                <w:sz w:val="16"/>
                <w:szCs w:val="16"/>
                <w:color w:val="auto"/>
              </w:rPr>
              <w:t>Preferred Warrant</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gridSpan w:val="7"/>
          </w:tcPr>
          <w:p>
            <w:pPr>
              <w:ind w:left="180"/>
              <w:spacing w:after="0"/>
              <w:rPr>
                <w:sz w:val="20"/>
                <w:szCs w:val="20"/>
                <w:color w:val="auto"/>
              </w:rPr>
            </w:pPr>
            <w:r>
              <w:rPr>
                <w:rFonts w:ascii="Arial" w:cs="Arial" w:eastAsia="Arial" w:hAnsi="Arial"/>
                <w:sz w:val="16"/>
                <w:szCs w:val="16"/>
                <w:color w:val="auto"/>
              </w:rPr>
              <w:t>Series A-3 – Strike Price</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gridSpan w:val="7"/>
          </w:tcPr>
          <w:p>
            <w:pPr>
              <w:ind w:left="180"/>
              <w:spacing w:after="0"/>
              <w:rPr>
                <w:sz w:val="20"/>
                <w:szCs w:val="20"/>
                <w:color w:val="auto"/>
              </w:rPr>
            </w:pPr>
            <w:r>
              <w:rPr>
                <w:rFonts w:ascii="Arial" w:cs="Arial" w:eastAsia="Arial" w:hAnsi="Arial"/>
                <w:sz w:val="16"/>
                <w:szCs w:val="16"/>
                <w:color w:val="auto"/>
              </w:rPr>
              <w:t>$1.33333, Expiration Date</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gridSpan w:val="4"/>
          </w:tcPr>
          <w:p>
            <w:pPr>
              <w:ind w:left="200"/>
              <w:spacing w:after="0"/>
              <w:rPr>
                <w:sz w:val="20"/>
                <w:szCs w:val="20"/>
                <w:color w:val="auto"/>
              </w:rPr>
            </w:pPr>
            <w:r>
              <w:rPr>
                <w:rFonts w:ascii="Arial" w:cs="Arial" w:eastAsia="Arial" w:hAnsi="Arial"/>
                <w:sz w:val="16"/>
                <w:szCs w:val="16"/>
                <w:color w:val="auto"/>
              </w:rPr>
              <w:t>4/4/2019</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5,625</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5,625</w:t>
            </w:r>
          </w:p>
        </w:tc>
        <w:tc>
          <w:tcPr>
            <w:tcW w:w="0" w:type="dxa"/>
            <w:vAlign w:val="bottom"/>
          </w:tcPr>
          <w:p>
            <w:pPr>
              <w:spacing w:after="0"/>
              <w:rPr>
                <w:sz w:val="1"/>
                <w:szCs w:val="1"/>
                <w:color w:val="auto"/>
              </w:rPr>
            </w:pPr>
          </w:p>
        </w:tc>
      </w:tr>
      <w:tr>
        <w:trPr>
          <w:trHeight w:val="196"/>
        </w:trPr>
        <w:tc>
          <w:tcPr>
            <w:tcW w:w="238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Preferred warrants, Series D –</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180" w:type="dxa"/>
            <w:vAlign w:val="bottom"/>
            <w:tcBorders>
              <w:right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$1.33 Strike Price, Expiration</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360" w:type="dxa"/>
            <w:vAlign w:val="bottom"/>
            <w:tcBorders>
              <w:right w:val="single" w:sz="8" w:color="CCEEFF"/>
            </w:tcBorders>
            <w:gridSpan w:val="7"/>
            <w:shd w:val="clear" w:color="auto" w:fill="CCEEFF"/>
          </w:tcPr>
          <w:p>
            <w:pPr>
              <w:ind w:left="180"/>
              <w:spacing w:after="0"/>
              <w:rPr>
                <w:sz w:val="20"/>
                <w:szCs w:val="20"/>
                <w:color w:val="auto"/>
              </w:rPr>
            </w:pPr>
            <w:r>
              <w:rPr>
                <w:rFonts w:ascii="Arial" w:cs="Arial" w:eastAsia="Arial" w:hAnsi="Arial"/>
                <w:sz w:val="16"/>
                <w:szCs w:val="16"/>
                <w:color w:val="auto"/>
              </w:rPr>
              <w:t>Date 10/6/2019</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145,000</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(145,000)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380" w:type="dxa"/>
            <w:vAlign w:val="bottom"/>
            <w:gridSpan w:val="8"/>
          </w:tcPr>
          <w:p>
            <w:pPr>
              <w:ind w:left="20"/>
              <w:spacing w:after="0"/>
              <w:rPr>
                <w:sz w:val="20"/>
                <w:szCs w:val="20"/>
                <w:color w:val="auto"/>
              </w:rPr>
            </w:pPr>
            <w:r>
              <w:rPr>
                <w:rFonts w:ascii="Arial" w:cs="Arial" w:eastAsia="Arial" w:hAnsi="Arial"/>
                <w:sz w:val="16"/>
                <w:szCs w:val="16"/>
                <w:color w:val="auto"/>
              </w:rPr>
              <w:t>Preferred warrants, Series C –</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gridSpan w:val="6"/>
          </w:tcPr>
          <w:p>
            <w:pPr>
              <w:ind w:left="40"/>
              <w:spacing w:after="0"/>
              <w:rPr>
                <w:sz w:val="20"/>
                <w:szCs w:val="20"/>
                <w:color w:val="auto"/>
              </w:rPr>
            </w:pPr>
            <w:r>
              <w:rPr>
                <w:rFonts w:ascii="Arial" w:cs="Arial" w:eastAsia="Arial" w:hAnsi="Arial"/>
                <w:sz w:val="16"/>
                <w:szCs w:val="16"/>
                <w:color w:val="auto"/>
              </w:rPr>
              <w:t>$1.33 Strike Price, Expiration</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gridSpan w:val="7"/>
          </w:tcPr>
          <w:p>
            <w:pPr>
              <w:ind w:left="180"/>
              <w:spacing w:after="0"/>
              <w:rPr>
                <w:sz w:val="20"/>
                <w:szCs w:val="20"/>
                <w:color w:val="auto"/>
              </w:rPr>
            </w:pPr>
            <w:r>
              <w:rPr>
                <w:rFonts w:ascii="Arial" w:cs="Arial" w:eastAsia="Arial" w:hAnsi="Arial"/>
                <w:sz w:val="16"/>
                <w:szCs w:val="16"/>
                <w:color w:val="auto"/>
              </w:rPr>
              <w:t>Date 4/4/2019</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31,875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(31,875)</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38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Preferred warrants Series D –</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180" w:type="dxa"/>
            <w:vAlign w:val="bottom"/>
            <w:tcBorders>
              <w:right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Strike Price $1.33, Expiration</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360" w:type="dxa"/>
            <w:vAlign w:val="bottom"/>
            <w:tcBorders>
              <w:right w:val="single" w:sz="8" w:color="CCEEFF"/>
            </w:tcBorders>
            <w:gridSpan w:val="7"/>
            <w:shd w:val="clear" w:color="auto" w:fill="CCEEFF"/>
          </w:tcPr>
          <w:p>
            <w:pPr>
              <w:ind w:left="180"/>
              <w:spacing w:after="0"/>
              <w:rPr>
                <w:sz w:val="20"/>
                <w:szCs w:val="20"/>
                <w:color w:val="auto"/>
              </w:rPr>
            </w:pPr>
            <w:r>
              <w:rPr>
                <w:rFonts w:ascii="Arial" w:cs="Arial" w:eastAsia="Arial" w:hAnsi="Arial"/>
                <w:sz w:val="16"/>
                <w:szCs w:val="16"/>
                <w:color w:val="auto"/>
              </w:rPr>
              <w:t>Date 7/18/2021</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380" w:type="dxa"/>
            <w:vAlign w:val="bottom"/>
            <w:gridSpan w:val="8"/>
          </w:tcPr>
          <w:p>
            <w:pPr>
              <w:ind w:left="20"/>
              <w:spacing w:after="0" w:line="162" w:lineRule="exact"/>
              <w:rPr>
                <w:sz w:val="20"/>
                <w:szCs w:val="20"/>
                <w:color w:val="auto"/>
              </w:rPr>
            </w:pPr>
            <w:r>
              <w:rPr>
                <w:rFonts w:ascii="Arial" w:cs="Arial" w:eastAsia="Arial" w:hAnsi="Arial"/>
                <w:sz w:val="16"/>
                <w:szCs w:val="16"/>
                <w:b w:val="1"/>
                <w:bCs w:val="1"/>
                <w:color w:val="auto"/>
              </w:rPr>
              <w:t>SPBRX, INC. (f/k/a GSV</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gridSpan w:val="4"/>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gridSpan w:val="7"/>
          </w:tcPr>
          <w:p>
            <w:pPr>
              <w:ind w:left="180"/>
              <w:spacing w:after="0" w:line="183" w:lineRule="exact"/>
              <w:rPr>
                <w:sz w:val="20"/>
                <w:szCs w:val="20"/>
                <w:color w:val="auto"/>
              </w:rPr>
            </w:pPr>
            <w:r>
              <w:rPr>
                <w:rFonts w:ascii="Arial" w:cs="Arial" w:eastAsia="Arial" w:hAnsi="Arial"/>
                <w:sz w:val="16"/>
                <w:szCs w:val="16"/>
                <w:b w:val="1"/>
                <w:bCs w:val="1"/>
                <w:color w:val="auto"/>
                <w:w w:val="99"/>
              </w:rPr>
              <w:t>Sustainability Partners, Inc.)</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Preferred shares, Class A</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6,250,000</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0"/>
              </w:rPr>
              <w:t>(1,940,222)</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4,309,778</w:t>
            </w:r>
          </w:p>
        </w:tc>
        <w:tc>
          <w:tcPr>
            <w:tcW w:w="0" w:type="dxa"/>
            <w:vAlign w:val="bottom"/>
          </w:tcPr>
          <w:p>
            <w:pPr>
              <w:spacing w:after="0"/>
              <w:rPr>
                <w:sz w:val="1"/>
                <w:szCs w:val="1"/>
                <w:color w:val="auto"/>
              </w:rPr>
            </w:pPr>
          </w:p>
        </w:tc>
      </w:tr>
      <w:tr>
        <w:trPr>
          <w:trHeight w:val="203"/>
        </w:trPr>
        <w:tc>
          <w:tcPr>
            <w:tcW w:w="2380" w:type="dxa"/>
            <w:vAlign w:val="bottom"/>
            <w:gridSpan w:val="8"/>
          </w:tcPr>
          <w:p>
            <w:pPr>
              <w:ind w:left="20"/>
              <w:spacing w:after="0"/>
              <w:rPr>
                <w:sz w:val="20"/>
                <w:szCs w:val="20"/>
                <w:color w:val="auto"/>
              </w:rPr>
            </w:pPr>
            <w:r>
              <w:rPr>
                <w:rFonts w:ascii="Arial" w:cs="Arial" w:eastAsia="Arial" w:hAnsi="Arial"/>
                <w:sz w:val="16"/>
                <w:szCs w:val="16"/>
                <w:color w:val="auto"/>
              </w:rPr>
              <w:t>Common shares</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8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b w:val="1"/>
                <w:bCs w:val="1"/>
                <w:color w:val="auto"/>
              </w:rPr>
              <w:t>Total Control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101,999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22,871,790</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1,563,049</w:t>
            </w:r>
          </w:p>
        </w:tc>
        <w:tc>
          <w:tcPr>
            <w:tcW w:w="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7"/>
              </w:rPr>
              <w:t xml:space="preserve">(500,000) </w:t>
            </w:r>
            <w:r>
              <w:rPr>
                <w:rFonts w:ascii="Arial" w:cs="Arial" w:eastAsia="Arial" w:hAnsi="Arial"/>
                <w:sz w:val="16"/>
                <w:szCs w:val="16"/>
                <w:u w:val="single" w:color="auto"/>
                <w:color w:val="auto"/>
                <w:w w:val="97"/>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4"/>
              </w:rPr>
              <w:t>(4,897,273)  $</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19,037,566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6089015"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89015" cy="342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8" w:name="page69"/>
    <w:bookmarkEnd w:id="6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 — Schedule of Investments in and Advances to Affiliates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2016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60972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9727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160020</wp:posOffset>
            </wp:positionV>
            <wp:extent cx="60972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97270" cy="889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Transfer from</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Interest, Fees</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Affiliate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11"/>
            <w:vMerge w:val="restart"/>
          </w:tcPr>
          <w:p>
            <w:pPr>
              <w:ind w:left="20"/>
              <w:spacing w:after="0"/>
              <w:rPr>
                <w:sz w:val="20"/>
                <w:szCs w:val="20"/>
                <w:color w:val="auto"/>
              </w:rPr>
            </w:pPr>
            <w:r>
              <w:rPr>
                <w:rFonts w:ascii="Arial" w:cs="Arial" w:eastAsia="Arial" w:hAnsi="Arial"/>
                <w:sz w:val="14"/>
                <w:szCs w:val="14"/>
                <w:b w:val="1"/>
                <w:bCs w:val="1"/>
                <w:color w:val="auto"/>
              </w:rPr>
              <w:t>Affiliate Investments</w:t>
            </w:r>
          </w:p>
        </w:tc>
        <w:tc>
          <w:tcPr>
            <w:tcW w:w="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Investment To</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Realized and</w:t>
            </w:r>
          </w:p>
        </w:tc>
        <w:tc>
          <w:tcPr>
            <w:tcW w:w="40" w:type="dxa"/>
            <w:vAlign w:val="bottom"/>
          </w:tcPr>
          <w:p>
            <w:pPr>
              <w:spacing w:after="0"/>
              <w:rPr>
                <w:sz w:val="12"/>
                <w:szCs w:val="12"/>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2800" w:type="dxa"/>
            <w:vAlign w:val="bottom"/>
            <w:gridSpan w:val="11"/>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or Dividends</w:t>
            </w:r>
          </w:p>
        </w:tc>
        <w:tc>
          <w:tcPr>
            <w:tcW w:w="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Non-Control/</w:t>
            </w:r>
          </w:p>
        </w:tc>
        <w:tc>
          <w:tcPr>
            <w:tcW w:w="40" w:type="dxa"/>
            <w:vAlign w:val="bottom"/>
          </w:tcPr>
          <w:p>
            <w:pPr>
              <w:spacing w:after="0"/>
              <w:rPr>
                <w:sz w:val="12"/>
                <w:szCs w:val="12"/>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Corporate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11"/>
          </w:tcPr>
          <w:p>
            <w:pPr>
              <w:ind w:left="20"/>
              <w:spacing w:after="0" w:line="149" w:lineRule="exact"/>
              <w:rPr>
                <w:sz w:val="20"/>
                <w:szCs w:val="20"/>
                <w:color w:val="auto"/>
              </w:rPr>
            </w:pPr>
            <w:r>
              <w:rPr>
                <w:rFonts w:ascii="Arial" w:cs="Arial" w:eastAsia="Arial" w:hAnsi="Arial"/>
                <w:sz w:val="14"/>
                <w:szCs w:val="14"/>
                <w:b w:val="1"/>
                <w:bCs w:val="1"/>
                <w:color w:val="auto"/>
              </w:rPr>
              <w:t>Portfolio Company/Type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Credited in</w:t>
            </w: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Non-Affiliate</w:t>
            </w:r>
          </w:p>
        </w:tc>
        <w:tc>
          <w:tcPr>
            <w:tcW w:w="4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4"/>
              </w:rPr>
              <w:t>Purchases</w:t>
            </w:r>
          </w:p>
        </w:tc>
        <w:tc>
          <w:tcPr>
            <w:tcW w:w="40" w:type="dxa"/>
            <w:vAlign w:val="bottom"/>
          </w:tcPr>
          <w:p>
            <w:pPr>
              <w:spacing w:after="0"/>
              <w:rPr>
                <w:sz w:val="12"/>
                <w:szCs w:val="12"/>
                <w:color w:val="auto"/>
              </w:rPr>
            </w:pPr>
          </w:p>
        </w:tc>
        <w:tc>
          <w:tcPr>
            <w:tcW w:w="4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Sales</w:t>
            </w: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800" w:type="dxa"/>
            <w:vAlign w:val="bottom"/>
            <w:gridSpan w:val="11"/>
          </w:tcPr>
          <w:p>
            <w:pPr>
              <w:ind w:left="20"/>
              <w:spacing w:after="0"/>
              <w:rPr>
                <w:sz w:val="20"/>
                <w:szCs w:val="20"/>
                <w:color w:val="auto"/>
              </w:rPr>
            </w:pPr>
            <w:r>
              <w:rPr>
                <w:rFonts w:ascii="Arial" w:cs="Arial" w:eastAsia="Arial" w:hAnsi="Arial"/>
                <w:sz w:val="14"/>
                <w:szCs w:val="14"/>
                <w:b w:val="1"/>
                <w:bCs w:val="1"/>
                <w:color w:val="auto"/>
              </w:rPr>
              <w:t>Investment*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Investment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Action</w:t>
            </w: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Gains/(Losses)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56"/>
        </w:trPr>
        <w:tc>
          <w:tcPr>
            <w:tcW w:w="2800" w:type="dxa"/>
            <w:vAlign w:val="bottom"/>
            <w:tcBorders>
              <w:top w:val="single" w:sz="8" w:color="auto"/>
            </w:tcBorders>
            <w:gridSpan w:val="11"/>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AlwaysOn, Inc.</w:t>
            </w: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A-1</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   133,978</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  $</w:t>
            </w:r>
          </w:p>
        </w:tc>
        <w:tc>
          <w:tcPr>
            <w:tcW w:w="2160" w:type="dxa"/>
            <w:vAlign w:val="bottom"/>
            <w:gridSpan w:val="5"/>
          </w:tcPr>
          <w:p>
            <w:pPr>
              <w:jc w:val="right"/>
              <w:spacing w:after="0"/>
              <w:rPr>
                <w:sz w:val="20"/>
                <w:szCs w:val="20"/>
                <w:color w:val="auto"/>
              </w:rPr>
            </w:pPr>
            <w:r>
              <w:rPr>
                <w:rFonts w:ascii="Arial" w:cs="Arial" w:eastAsia="Arial" w:hAnsi="Arial"/>
                <w:sz w:val="16"/>
                <w:szCs w:val="16"/>
                <w:color w:val="auto"/>
              </w:rPr>
              <w:t>— $  —  $  (133,978)</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80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191,993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(191,993)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800" w:type="dxa"/>
            <w:vAlign w:val="bottom"/>
            <w:gridSpan w:val="11"/>
          </w:tcPr>
          <w:p>
            <w:pPr>
              <w:ind w:left="20"/>
              <w:spacing w:after="0"/>
              <w:rPr>
                <w:sz w:val="20"/>
                <w:szCs w:val="20"/>
                <w:color w:val="auto"/>
              </w:rPr>
            </w:pPr>
            <w:r>
              <w:rPr>
                <w:rFonts w:ascii="Arial" w:cs="Arial" w:eastAsia="Arial" w:hAnsi="Arial"/>
                <w:sz w:val="16"/>
                <w:szCs w:val="16"/>
                <w:color w:val="auto"/>
                <w:w w:val="94"/>
              </w:rPr>
              <w:t>Preferred warrants Series A, $1.00 Strike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gridSpan w:val="10"/>
          </w:tcPr>
          <w:p>
            <w:pPr>
              <w:ind w:left="180"/>
              <w:spacing w:after="0"/>
              <w:rPr>
                <w:sz w:val="20"/>
                <w:szCs w:val="20"/>
                <w:color w:val="auto"/>
              </w:rPr>
            </w:pPr>
            <w:r>
              <w:rPr>
                <w:rFonts w:ascii="Arial" w:cs="Arial" w:eastAsia="Arial" w:hAnsi="Arial"/>
                <w:sz w:val="16"/>
                <w:szCs w:val="16"/>
                <w:color w:val="auto"/>
              </w:rPr>
              <w:t>Price, Expiration Date 1/9/2017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800" w:type="dxa"/>
            <w:vAlign w:val="bottom"/>
            <w:gridSpan w:val="11"/>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3"/>
                <w:szCs w:val="23"/>
                <w:b w:val="1"/>
                <w:bCs w:val="1"/>
                <w:color w:val="auto"/>
                <w:vertAlign w:val="superscript"/>
              </w:rPr>
              <w:t>(2)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B</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5"/>
              </w:rPr>
              <w:t>3,000,000</w:t>
            </w:r>
          </w:p>
        </w:tc>
        <w:tc>
          <w:tcPr>
            <w:tcW w:w="0" w:type="dxa"/>
            <w:vAlign w:val="bottom"/>
          </w:tcPr>
          <w:p>
            <w:pPr>
              <w:spacing w:after="0"/>
              <w:rPr>
                <w:sz w:val="1"/>
                <w:szCs w:val="1"/>
                <w:color w:val="auto"/>
              </w:rPr>
            </w:pPr>
          </w:p>
        </w:tc>
      </w:tr>
      <w:tr>
        <w:trPr>
          <w:trHeight w:val="203"/>
        </w:trPr>
        <w:tc>
          <w:tcPr>
            <w:tcW w:w="280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1,500,000</w:t>
            </w:r>
          </w:p>
        </w:tc>
        <w:tc>
          <w:tcPr>
            <w:tcW w:w="0" w:type="dxa"/>
            <w:vAlign w:val="bottom"/>
          </w:tcPr>
          <w:p>
            <w:pPr>
              <w:spacing w:after="0"/>
              <w:rPr>
                <w:sz w:val="1"/>
                <w:szCs w:val="1"/>
                <w:color w:val="auto"/>
              </w:rPr>
            </w:pPr>
          </w:p>
        </w:tc>
      </w:tr>
      <w:tr>
        <w:trPr>
          <w:trHeight w:val="162"/>
        </w:trPr>
        <w:tc>
          <w:tcPr>
            <w:tcW w:w="2800" w:type="dxa"/>
            <w:vAlign w:val="bottom"/>
            <w:gridSpan w:val="11"/>
          </w:tcPr>
          <w:p>
            <w:pPr>
              <w:ind w:left="20"/>
              <w:spacing w:after="0" w:line="162" w:lineRule="exact"/>
              <w:rPr>
                <w:sz w:val="20"/>
                <w:szCs w:val="20"/>
                <w:color w:val="auto"/>
              </w:rPr>
            </w:pPr>
            <w:r>
              <w:rPr>
                <w:rFonts w:ascii="Arial" w:cs="Arial" w:eastAsia="Arial" w:hAnsi="Arial"/>
                <w:sz w:val="16"/>
                <w:szCs w:val="16"/>
                <w:b w:val="1"/>
                <w:bCs w:val="1"/>
                <w:color w:val="auto"/>
              </w:rPr>
              <w:t>Circle Media (f/k/a S3 Digital Corp.</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Borders>
              <w:top w:val="single" w:sz="8" w:color="auto"/>
            </w:tcBorders>
            <w:gridSpan w:val="9"/>
          </w:tcPr>
          <w:p>
            <w:pPr>
              <w:ind w:left="180"/>
              <w:spacing w:after="0" w:line="183" w:lineRule="exact"/>
              <w:rPr>
                <w:sz w:val="20"/>
                <w:szCs w:val="20"/>
                <w:color w:val="auto"/>
              </w:rPr>
            </w:pPr>
            <w:r>
              <w:rPr>
                <w:rFonts w:ascii="Arial" w:cs="Arial" w:eastAsia="Arial" w:hAnsi="Arial"/>
                <w:sz w:val="16"/>
                <w:szCs w:val="16"/>
                <w:b w:val="1"/>
                <w:bCs w:val="1"/>
                <w:color w:val="auto"/>
              </w:rPr>
              <w:t>(d/b/a S3i))</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Promissory Note, 12%, 11/17/2017***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3,304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808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26,544</w:t>
            </w:r>
          </w:p>
        </w:tc>
        <w:tc>
          <w:tcPr>
            <w:tcW w:w="0" w:type="dxa"/>
            <w:vAlign w:val="bottom"/>
          </w:tcPr>
          <w:p>
            <w:pPr>
              <w:spacing w:after="0"/>
              <w:rPr>
                <w:sz w:val="1"/>
                <w:szCs w:val="1"/>
                <w:color w:val="auto"/>
              </w:rPr>
            </w:pPr>
          </w:p>
        </w:tc>
      </w:tr>
      <w:tr>
        <w:trPr>
          <w:trHeight w:val="203"/>
        </w:trPr>
        <w:tc>
          <w:tcPr>
            <w:tcW w:w="280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1,156,175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(671,406)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484,769</w:t>
            </w:r>
          </w:p>
        </w:tc>
        <w:tc>
          <w:tcPr>
            <w:tcW w:w="0" w:type="dxa"/>
            <w:vAlign w:val="bottom"/>
          </w:tcPr>
          <w:p>
            <w:pPr>
              <w:spacing w:after="0"/>
              <w:rPr>
                <w:sz w:val="1"/>
                <w:szCs w:val="1"/>
                <w:color w:val="auto"/>
              </w:rPr>
            </w:pPr>
          </w:p>
        </w:tc>
      </w:tr>
      <w:tr>
        <w:trPr>
          <w:trHeight w:val="193"/>
        </w:trPr>
        <w:tc>
          <w:tcPr>
            <w:tcW w:w="280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warrants, $1.17 Strike Price,</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78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Expiration Date 11/18/2022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800" w:type="dxa"/>
            <w:vAlign w:val="bottom"/>
            <w:gridSpan w:val="11"/>
          </w:tcPr>
          <w:p>
            <w:pPr>
              <w:ind w:left="20"/>
              <w:spacing w:after="0"/>
              <w:rPr>
                <w:sz w:val="20"/>
                <w:szCs w:val="20"/>
                <w:color w:val="auto"/>
              </w:rPr>
            </w:pPr>
            <w:r>
              <w:rPr>
                <w:rFonts w:ascii="Arial" w:cs="Arial" w:eastAsia="Arial" w:hAnsi="Arial"/>
                <w:sz w:val="16"/>
                <w:szCs w:val="16"/>
                <w:color w:val="auto"/>
              </w:rPr>
              <w:t>Preferred warrants, $1.17 Strike Price,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gridSpan w:val="10"/>
          </w:tcPr>
          <w:p>
            <w:pPr>
              <w:ind w:left="180"/>
              <w:spacing w:after="0"/>
              <w:rPr>
                <w:sz w:val="20"/>
                <w:szCs w:val="20"/>
                <w:color w:val="auto"/>
              </w:rPr>
            </w:pPr>
            <w:r>
              <w:rPr>
                <w:rFonts w:ascii="Arial" w:cs="Arial" w:eastAsia="Arial" w:hAnsi="Arial"/>
                <w:sz w:val="16"/>
                <w:szCs w:val="16"/>
                <w:color w:val="auto"/>
              </w:rPr>
              <w:t>Expiration Date 8/29/2021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14,065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(14,065)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0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warrants, $1.17 Strike Price,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78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Expiration Date 6/26/2021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3,088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(3,088)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800" w:type="dxa"/>
            <w:vAlign w:val="bottom"/>
            <w:gridSpan w:val="11"/>
          </w:tcPr>
          <w:p>
            <w:pPr>
              <w:ind w:left="20"/>
              <w:spacing w:after="0"/>
              <w:rPr>
                <w:sz w:val="20"/>
                <w:szCs w:val="20"/>
                <w:color w:val="auto"/>
              </w:rPr>
            </w:pPr>
            <w:r>
              <w:rPr>
                <w:rFonts w:ascii="Arial" w:cs="Arial" w:eastAsia="Arial" w:hAnsi="Arial"/>
                <w:sz w:val="16"/>
                <w:szCs w:val="16"/>
                <w:color w:val="auto"/>
              </w:rPr>
              <w:t>Preferred warrants, $1.17 Strike Price,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gridSpan w:val="10"/>
          </w:tcPr>
          <w:p>
            <w:pPr>
              <w:ind w:left="180"/>
              <w:spacing w:after="0"/>
              <w:rPr>
                <w:sz w:val="20"/>
                <w:szCs w:val="20"/>
                <w:color w:val="auto"/>
              </w:rPr>
            </w:pPr>
            <w:r>
              <w:rPr>
                <w:rFonts w:ascii="Arial" w:cs="Arial" w:eastAsia="Arial" w:hAnsi="Arial"/>
                <w:sz w:val="16"/>
                <w:szCs w:val="16"/>
                <w:color w:val="auto"/>
              </w:rPr>
              <w:t>Expiration Date 9/30/2020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12,864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(12,864)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0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warrants, $1.00 Strike Price,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78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Expiration Date 11/21/2017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800" w:type="dxa"/>
            <w:vAlign w:val="bottom"/>
            <w:gridSpan w:val="11"/>
          </w:tcPr>
          <w:p>
            <w:pPr>
              <w:ind w:left="20"/>
              <w:spacing w:after="0" w:line="162" w:lineRule="exact"/>
              <w:rPr>
                <w:sz w:val="20"/>
                <w:szCs w:val="20"/>
                <w:color w:val="auto"/>
              </w:rPr>
            </w:pPr>
            <w:r>
              <w:rPr>
                <w:rFonts w:ascii="Arial" w:cs="Arial" w:eastAsia="Arial" w:hAnsi="Arial"/>
                <w:sz w:val="16"/>
                <w:szCs w:val="16"/>
                <w:b w:val="1"/>
                <w:bCs w:val="1"/>
                <w:color w:val="auto"/>
              </w:rPr>
              <w:t>CUX, Inc. (d/b/a CorpU)</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0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Senior Subordinated Convertible</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78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Promissory Note 8% Due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520" w:type="dxa"/>
            <w:vAlign w:val="bottom"/>
            <w:gridSpan w:val="8"/>
            <w:shd w:val="clear" w:color="auto" w:fill="CCEEFF"/>
          </w:tcPr>
          <w:p>
            <w:pPr>
              <w:ind w:left="200"/>
              <w:spacing w:after="0" w:line="254" w:lineRule="exact"/>
              <w:rPr>
                <w:sz w:val="20"/>
                <w:szCs w:val="20"/>
                <w:color w:val="auto"/>
              </w:rPr>
            </w:pPr>
            <w:r>
              <w:rPr>
                <w:rFonts w:ascii="Arial" w:cs="Arial" w:eastAsia="Arial" w:hAnsi="Arial"/>
                <w:sz w:val="16"/>
                <w:szCs w:val="16"/>
                <w:color w:val="auto"/>
              </w:rPr>
              <w:t>11/26/2018***</w:t>
            </w:r>
            <w:r>
              <w:rPr>
                <w:rFonts w:ascii="Arial" w:cs="Arial" w:eastAsia="Arial" w:hAnsi="Arial"/>
                <w:sz w:val="27"/>
                <w:szCs w:val="27"/>
                <w:color w:val="auto"/>
                <w:vertAlign w:val="superscript"/>
              </w:rPr>
              <w:t>(3)</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87,318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1,080,000</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86,400</w:t>
            </w: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1,166,400</w:t>
            </w:r>
          </w:p>
        </w:tc>
        <w:tc>
          <w:tcPr>
            <w:tcW w:w="0" w:type="dxa"/>
            <w:vAlign w:val="bottom"/>
          </w:tcPr>
          <w:p>
            <w:pPr>
              <w:spacing w:after="0"/>
              <w:rPr>
                <w:sz w:val="1"/>
                <w:szCs w:val="1"/>
                <w:color w:val="auto"/>
              </w:rPr>
            </w:pPr>
          </w:p>
        </w:tc>
      </w:tr>
      <w:tr>
        <w:trPr>
          <w:trHeight w:val="203"/>
        </w:trPr>
        <w:tc>
          <w:tcPr>
            <w:tcW w:w="2800" w:type="dxa"/>
            <w:vAlign w:val="bottom"/>
            <w:gridSpan w:val="11"/>
          </w:tcPr>
          <w:p>
            <w:pPr>
              <w:ind w:left="20"/>
              <w:spacing w:after="0"/>
              <w:rPr>
                <w:sz w:val="20"/>
                <w:szCs w:val="20"/>
                <w:color w:val="auto"/>
              </w:rPr>
            </w:pPr>
            <w:r>
              <w:rPr>
                <w:rFonts w:ascii="Arial" w:cs="Arial" w:eastAsia="Arial" w:hAnsi="Arial"/>
                <w:sz w:val="16"/>
                <w:szCs w:val="16"/>
                <w:color w:val="auto"/>
              </w:rPr>
              <w:t>Convertible preferred shares, Series 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775,861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775,861</w:t>
            </w:r>
          </w:p>
        </w:tc>
        <w:tc>
          <w:tcPr>
            <w:tcW w:w="0" w:type="dxa"/>
            <w:vAlign w:val="bottom"/>
          </w:tcPr>
          <w:p>
            <w:pPr>
              <w:spacing w:after="0"/>
              <w:rPr>
                <w:sz w:val="1"/>
                <w:szCs w:val="1"/>
                <w:color w:val="auto"/>
              </w:rPr>
            </w:pPr>
          </w:p>
        </w:tc>
      </w:tr>
      <w:tr>
        <w:trPr>
          <w:trHeight w:val="203"/>
        </w:trPr>
        <w:tc>
          <w:tcPr>
            <w:tcW w:w="280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Convertible preferred shares, Series C</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1,959,127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(45,643)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1,913,484</w:t>
            </w:r>
          </w:p>
        </w:tc>
        <w:tc>
          <w:tcPr>
            <w:tcW w:w="0" w:type="dxa"/>
            <w:vAlign w:val="bottom"/>
          </w:tcPr>
          <w:p>
            <w:pPr>
              <w:spacing w:after="0"/>
              <w:rPr>
                <w:sz w:val="1"/>
                <w:szCs w:val="1"/>
                <w:color w:val="auto"/>
              </w:rPr>
            </w:pPr>
          </w:p>
        </w:tc>
      </w:tr>
      <w:tr>
        <w:trPr>
          <w:trHeight w:val="193"/>
        </w:trPr>
        <w:tc>
          <w:tcPr>
            <w:tcW w:w="2800" w:type="dxa"/>
            <w:vAlign w:val="bottom"/>
            <w:gridSpan w:val="11"/>
          </w:tcPr>
          <w:p>
            <w:pPr>
              <w:ind w:left="20"/>
              <w:spacing w:after="0"/>
              <w:rPr>
                <w:sz w:val="20"/>
                <w:szCs w:val="20"/>
                <w:color w:val="auto"/>
              </w:rPr>
            </w:pPr>
            <w:r>
              <w:rPr>
                <w:rFonts w:ascii="Arial" w:cs="Arial" w:eastAsia="Arial" w:hAnsi="Arial"/>
                <w:sz w:val="16"/>
                <w:szCs w:val="16"/>
                <w:color w:val="auto"/>
              </w:rPr>
              <w:t>Preferred warrants, $4.59 Strike Price,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gridSpan w:val="10"/>
          </w:tcPr>
          <w:p>
            <w:pPr>
              <w:ind w:left="180"/>
              <w:spacing w:after="0"/>
              <w:rPr>
                <w:sz w:val="20"/>
                <w:szCs w:val="20"/>
                <w:color w:val="auto"/>
              </w:rPr>
            </w:pPr>
            <w:r>
              <w:rPr>
                <w:rFonts w:ascii="Arial" w:cs="Arial" w:eastAsia="Arial" w:hAnsi="Arial"/>
                <w:sz w:val="16"/>
                <w:szCs w:val="16"/>
                <w:color w:val="auto"/>
              </w:rPr>
              <w:t>Expiration Date 2/25/2018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10,142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(5,747)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4,395</w:t>
            </w:r>
          </w:p>
        </w:tc>
        <w:tc>
          <w:tcPr>
            <w:tcW w:w="0" w:type="dxa"/>
            <w:vAlign w:val="bottom"/>
          </w:tcPr>
          <w:p>
            <w:pPr>
              <w:spacing w:after="0"/>
              <w:rPr>
                <w:sz w:val="1"/>
                <w:szCs w:val="1"/>
                <w:color w:val="auto"/>
              </w:rPr>
            </w:pPr>
          </w:p>
        </w:tc>
      </w:tr>
      <w:tr>
        <w:trPr>
          <w:trHeight w:val="165"/>
        </w:trPr>
        <w:tc>
          <w:tcPr>
            <w:tcW w:w="2800" w:type="dxa"/>
            <w:vAlign w:val="bottom"/>
            <w:gridSpan w:val="11"/>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Curious.com Inc.</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B</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9,996,311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87"/>
              </w:rPr>
              <w:t>2,000,003</w:t>
            </w:r>
          </w:p>
        </w:tc>
        <w:tc>
          <w:tcPr>
            <w:tcW w:w="4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(2,011,360)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5"/>
              </w:rPr>
              <w:t>9,984,954</w:t>
            </w:r>
          </w:p>
        </w:tc>
        <w:tc>
          <w:tcPr>
            <w:tcW w:w="0" w:type="dxa"/>
            <w:vAlign w:val="bottom"/>
          </w:tcPr>
          <w:p>
            <w:pPr>
              <w:spacing w:after="0"/>
              <w:rPr>
                <w:sz w:val="1"/>
                <w:szCs w:val="1"/>
                <w:color w:val="auto"/>
              </w:rPr>
            </w:pPr>
          </w:p>
        </w:tc>
      </w:tr>
      <w:tr>
        <w:trPr>
          <w:trHeight w:val="162"/>
        </w:trPr>
        <w:tc>
          <w:tcPr>
            <w:tcW w:w="2800" w:type="dxa"/>
            <w:vAlign w:val="bottom"/>
            <w:gridSpan w:val="11"/>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Declara, Inc.</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00" w:type="dxa"/>
            <w:vAlign w:val="bottom"/>
            <w:gridSpan w:val="11"/>
          </w:tcPr>
          <w:p>
            <w:pPr>
              <w:ind w:left="20"/>
              <w:spacing w:after="0"/>
              <w:rPr>
                <w:sz w:val="20"/>
                <w:szCs w:val="20"/>
                <w:color w:val="auto"/>
              </w:rPr>
            </w:pPr>
            <w:r>
              <w:rPr>
                <w:rFonts w:ascii="Arial" w:cs="Arial" w:eastAsia="Arial" w:hAnsi="Arial"/>
                <w:sz w:val="16"/>
                <w:szCs w:val="16"/>
                <w:color w:val="auto"/>
              </w:rPr>
              <w:t>Convertible Promissory Note 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gridSpan w:val="10"/>
          </w:tcPr>
          <w:p>
            <w:pPr>
              <w:ind w:left="180"/>
              <w:spacing w:after="0"/>
              <w:rPr>
                <w:sz w:val="20"/>
                <w:szCs w:val="20"/>
                <w:color w:val="auto"/>
              </w:rPr>
            </w:pPr>
            <w:r>
              <w:rPr>
                <w:rFonts w:ascii="Arial" w:cs="Arial" w:eastAsia="Arial" w:hAnsi="Arial"/>
                <w:sz w:val="16"/>
                <w:szCs w:val="16"/>
                <w:color w:val="auto"/>
              </w:rPr>
              <w:t>Due 6/30/2017***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120,523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2,000,000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120,658</w:t>
            </w:r>
          </w:p>
        </w:tc>
        <w:tc>
          <w:tcPr>
            <w:tcW w:w="4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
              <w:spacing w:after="0"/>
              <w:rPr>
                <w:sz w:val="20"/>
                <w:szCs w:val="20"/>
                <w:color w:val="auto"/>
              </w:rPr>
            </w:pPr>
            <w:r>
              <w:rPr>
                <w:rFonts w:ascii="Arial" w:cs="Arial" w:eastAsia="Arial" w:hAnsi="Arial"/>
                <w:sz w:val="16"/>
                <w:szCs w:val="16"/>
                <w:color w:val="auto"/>
              </w:rPr>
              <w:t>706,362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5"/>
              </w:rPr>
              <w:t>2,827,020</w:t>
            </w:r>
          </w:p>
        </w:tc>
        <w:tc>
          <w:tcPr>
            <w:tcW w:w="0" w:type="dxa"/>
            <w:vAlign w:val="bottom"/>
          </w:tcPr>
          <w:p>
            <w:pPr>
              <w:spacing w:after="0"/>
              <w:rPr>
                <w:sz w:val="1"/>
                <w:szCs w:val="1"/>
                <w:color w:val="auto"/>
              </w:rPr>
            </w:pPr>
          </w:p>
        </w:tc>
      </w:tr>
      <w:tr>
        <w:trPr>
          <w:trHeight w:val="206"/>
        </w:trPr>
        <w:tc>
          <w:tcPr>
            <w:tcW w:w="280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9,999,999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(5,213,345)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4,786,654</w:t>
            </w:r>
          </w:p>
        </w:tc>
        <w:tc>
          <w:tcPr>
            <w:tcW w:w="0" w:type="dxa"/>
            <w:vAlign w:val="bottom"/>
          </w:tcPr>
          <w:p>
            <w:pPr>
              <w:spacing w:after="0"/>
              <w:rPr>
                <w:sz w:val="1"/>
                <w:szCs w:val="1"/>
                <w:color w:val="auto"/>
              </w:rPr>
            </w:pPr>
          </w:p>
        </w:tc>
      </w:tr>
      <w:tr>
        <w:trPr>
          <w:trHeight w:val="162"/>
        </w:trPr>
        <w:tc>
          <w:tcPr>
            <w:tcW w:w="2800" w:type="dxa"/>
            <w:vAlign w:val="bottom"/>
            <w:gridSpan w:val="11"/>
          </w:tcPr>
          <w:p>
            <w:pPr>
              <w:ind w:left="20"/>
              <w:spacing w:after="0" w:line="162" w:lineRule="exact"/>
              <w:rPr>
                <w:sz w:val="20"/>
                <w:szCs w:val="20"/>
                <w:color w:val="auto"/>
              </w:rPr>
            </w:pPr>
            <w:r>
              <w:rPr>
                <w:rFonts w:ascii="Arial" w:cs="Arial" w:eastAsia="Arial" w:hAnsi="Arial"/>
                <w:sz w:val="16"/>
                <w:szCs w:val="16"/>
                <w:b w:val="1"/>
                <w:bCs w:val="1"/>
                <w:color w:val="auto"/>
              </w:rPr>
              <w:t>EdSurge, Inc.</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03"/>
        </w:trPr>
        <w:tc>
          <w:tcPr>
            <w:tcW w:w="280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524,867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
              <w:spacing w:after="0"/>
              <w:rPr>
                <w:sz w:val="20"/>
                <w:szCs w:val="20"/>
                <w:color w:val="auto"/>
              </w:rPr>
            </w:pPr>
            <w:r>
              <w:rPr>
                <w:rFonts w:ascii="Arial" w:cs="Arial" w:eastAsia="Arial" w:hAnsi="Arial"/>
                <w:sz w:val="16"/>
                <w:szCs w:val="16"/>
                <w:color w:val="auto"/>
              </w:rPr>
              <w:t>63,427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588,294</w:t>
            </w:r>
          </w:p>
        </w:tc>
        <w:tc>
          <w:tcPr>
            <w:tcW w:w="0" w:type="dxa"/>
            <w:vAlign w:val="bottom"/>
          </w:tcPr>
          <w:p>
            <w:pPr>
              <w:spacing w:after="0"/>
              <w:rPr>
                <w:sz w:val="1"/>
                <w:szCs w:val="1"/>
                <w:color w:val="auto"/>
              </w:rPr>
            </w:pPr>
          </w:p>
        </w:tc>
      </w:tr>
      <w:tr>
        <w:trPr>
          <w:trHeight w:val="203"/>
        </w:trPr>
        <w:tc>
          <w:tcPr>
            <w:tcW w:w="2800" w:type="dxa"/>
            <w:vAlign w:val="bottom"/>
            <w:gridSpan w:val="11"/>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Fullbridge, Inc.</w:t>
            </w:r>
            <w:r>
              <w:rPr>
                <w:rFonts w:ascii="Arial" w:cs="Arial" w:eastAsia="Arial" w:hAnsi="Arial"/>
                <w:sz w:val="23"/>
                <w:szCs w:val="23"/>
                <w:b w:val="1"/>
                <w:bCs w:val="1"/>
                <w:color w:val="auto"/>
                <w:vertAlign w:val="superscript"/>
              </w:rPr>
              <w:t>(6)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00" w:type="dxa"/>
            <w:vAlign w:val="bottom"/>
            <w:gridSpan w:val="11"/>
          </w:tcPr>
          <w:p>
            <w:pPr>
              <w:ind w:left="20"/>
              <w:spacing w:after="0"/>
              <w:rPr>
                <w:sz w:val="20"/>
                <w:szCs w:val="20"/>
                <w:color w:val="auto"/>
              </w:rPr>
            </w:pPr>
            <w:r>
              <w:rPr>
                <w:rFonts w:ascii="Arial" w:cs="Arial" w:eastAsia="Arial" w:hAnsi="Arial"/>
                <w:sz w:val="16"/>
                <w:szCs w:val="16"/>
                <w:color w:val="auto"/>
              </w:rPr>
              <w:t>Convertible Promissory Note, 10%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gridSpan w:val="10"/>
          </w:tcPr>
          <w:p>
            <w:pPr>
              <w:ind w:left="180"/>
              <w:spacing w:after="0"/>
              <w:rPr>
                <w:sz w:val="20"/>
                <w:szCs w:val="20"/>
                <w:color w:val="auto"/>
              </w:rPr>
            </w:pPr>
            <w:r>
              <w:rPr>
                <w:rFonts w:ascii="Arial" w:cs="Arial" w:eastAsia="Arial" w:hAnsi="Arial"/>
                <w:sz w:val="16"/>
                <w:szCs w:val="16"/>
                <w:color w:val="auto"/>
              </w:rPr>
              <w:t>Due 3/2/2016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(85,829)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1,020,859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(354,075)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400</w:t>
            </w:r>
          </w:p>
        </w:tc>
        <w:tc>
          <w:tcPr>
            <w:tcW w:w="4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(667,184)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0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Convertible Promissory Note, 10%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78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Due 3/14/2017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(935,849)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1,000,000</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(64,151)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80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3,111,714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1,040</w:t>
            </w:r>
          </w:p>
        </w:tc>
        <w:tc>
          <w:tcPr>
            <w:tcW w:w="4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(3,112,754)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80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1,625,001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(1,625,001)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800" w:type="dxa"/>
            <w:vAlign w:val="bottom"/>
            <w:gridSpan w:val="11"/>
          </w:tcPr>
          <w:p>
            <w:pPr>
              <w:ind w:left="20"/>
              <w:spacing w:after="0"/>
              <w:rPr>
                <w:sz w:val="20"/>
                <w:szCs w:val="20"/>
                <w:color w:val="auto"/>
              </w:rPr>
            </w:pPr>
            <w:r>
              <w:rPr>
                <w:rFonts w:ascii="Arial" w:cs="Arial" w:eastAsia="Arial" w:hAnsi="Arial"/>
                <w:sz w:val="16"/>
                <w:szCs w:val="16"/>
                <w:color w:val="auto"/>
              </w:rPr>
              <w:t>Common warrants, $0.91 Strike Price,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gridSpan w:val="10"/>
          </w:tcPr>
          <w:p>
            <w:pPr>
              <w:ind w:left="180"/>
              <w:spacing w:after="0"/>
              <w:rPr>
                <w:sz w:val="20"/>
                <w:szCs w:val="20"/>
                <w:color w:val="auto"/>
              </w:rPr>
            </w:pPr>
            <w:r>
              <w:rPr>
                <w:rFonts w:ascii="Arial" w:cs="Arial" w:eastAsia="Arial" w:hAnsi="Arial"/>
                <w:sz w:val="16"/>
                <w:szCs w:val="16"/>
                <w:color w:val="auto"/>
              </w:rPr>
              <w:t>Expiration Date 3/2/2020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2,831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(2,831)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0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Common warrants, $0.91 Strike Price,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78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Expiration Date 3/22/2020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(1,862)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9" w:name="page70"/>
    <w:bookmarkEnd w:id="6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 — Schedule of Investments in and Advances to Affiliates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2016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61575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15759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160020</wp:posOffset>
            </wp:positionV>
            <wp:extent cx="615759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Transfer from</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Interest, Fees</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Affiliate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10"/>
            <w:vMerge w:val="restart"/>
          </w:tcPr>
          <w:p>
            <w:pPr>
              <w:ind w:left="20"/>
              <w:spacing w:after="0"/>
              <w:rPr>
                <w:sz w:val="20"/>
                <w:szCs w:val="20"/>
                <w:color w:val="auto"/>
              </w:rPr>
            </w:pPr>
            <w:r>
              <w:rPr>
                <w:rFonts w:ascii="Arial" w:cs="Arial" w:eastAsia="Arial" w:hAnsi="Arial"/>
                <w:sz w:val="14"/>
                <w:szCs w:val="14"/>
                <w:b w:val="1"/>
                <w:bCs w:val="1"/>
                <w:color w:val="auto"/>
              </w:rPr>
              <w:t>Affiliate Investments</w:t>
            </w:r>
          </w:p>
        </w:tc>
        <w:tc>
          <w:tcPr>
            <w:tcW w:w="900" w:type="dxa"/>
            <w:vAlign w:val="bottom"/>
            <w:gridSpan w:val="3"/>
            <w:vMerge w:val="continue"/>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Fair Value at</w:t>
            </w: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Investment To</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Realized and</w:t>
            </w: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2880" w:type="dxa"/>
            <w:vAlign w:val="bottom"/>
            <w:gridSpan w:val="10"/>
            <w:vMerge w:val="continue"/>
          </w:tcPr>
          <w:p>
            <w:pPr>
              <w:spacing w:after="0"/>
              <w:rPr>
                <w:sz w:val="12"/>
                <w:szCs w:val="12"/>
                <w:color w:val="auto"/>
              </w:rPr>
            </w:pPr>
          </w:p>
        </w:tc>
        <w:tc>
          <w:tcPr>
            <w:tcW w:w="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6"/>
              </w:rPr>
              <w:t>or Dividends</w:t>
            </w:r>
          </w:p>
        </w:tc>
        <w:tc>
          <w:tcPr>
            <w:tcW w:w="900" w:type="dxa"/>
            <w:vAlign w:val="bottom"/>
            <w:gridSpan w:val="2"/>
            <w:vMerge w:val="continue"/>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Non-Control/</w:t>
            </w:r>
          </w:p>
        </w:tc>
        <w:tc>
          <w:tcPr>
            <w:tcW w:w="7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10"/>
          </w:tcPr>
          <w:p>
            <w:pPr>
              <w:ind w:left="20"/>
              <w:spacing w:after="0" w:line="149" w:lineRule="exact"/>
              <w:rPr>
                <w:sz w:val="20"/>
                <w:szCs w:val="20"/>
                <w:color w:val="auto"/>
              </w:rPr>
            </w:pPr>
            <w:r>
              <w:rPr>
                <w:rFonts w:ascii="Arial" w:cs="Arial" w:eastAsia="Arial" w:hAnsi="Arial"/>
                <w:sz w:val="14"/>
                <w:szCs w:val="14"/>
                <w:b w:val="1"/>
                <w:bCs w:val="1"/>
                <w:color w:val="auto"/>
              </w:rPr>
              <w:t>Portfolio Company/Type of</w:t>
            </w: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2"/>
              </w:rPr>
              <w:t>Credited in</w:t>
            </w: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Non-Affiliate</w:t>
            </w:r>
          </w:p>
        </w:tc>
        <w:tc>
          <w:tcPr>
            <w:tcW w:w="7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84"/>
              </w:rPr>
              <w:t>Purchases</w:t>
            </w:r>
          </w:p>
        </w:tc>
        <w:tc>
          <w:tcPr>
            <w:tcW w:w="80" w:type="dxa"/>
            <w:vAlign w:val="bottom"/>
          </w:tcPr>
          <w:p>
            <w:pPr>
              <w:spacing w:after="0"/>
              <w:rPr>
                <w:sz w:val="12"/>
                <w:szCs w:val="12"/>
                <w:color w:val="auto"/>
              </w:rPr>
            </w:pPr>
          </w:p>
        </w:tc>
        <w:tc>
          <w:tcPr>
            <w:tcW w:w="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88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rPr>
              <w:t>Investment*</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Income</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Investment</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Action</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vMerge w:val="continue"/>
          </w:tcPr>
          <w:p>
            <w:pPr>
              <w:spacing w:after="0"/>
              <w:rPr>
                <w:sz w:val="14"/>
                <w:szCs w:val="14"/>
                <w:color w:val="auto"/>
              </w:rPr>
            </w:pPr>
          </w:p>
        </w:tc>
        <w:tc>
          <w:tcPr>
            <w:tcW w:w="10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86"/>
        </w:trPr>
        <w:tc>
          <w:tcPr>
            <w:tcW w:w="2880" w:type="dxa"/>
            <w:vAlign w:val="bottom"/>
            <w:tcBorders>
              <w:right w:val="single" w:sz="8" w:color="CCEEFF"/>
            </w:tcBorders>
            <w:gridSpan w:val="10"/>
            <w:shd w:val="clear" w:color="auto" w:fill="CCEEFF"/>
          </w:tcPr>
          <w:p>
            <w:pPr>
              <w:ind w:left="20"/>
              <w:spacing w:after="0"/>
              <w:rPr>
                <w:sz w:val="20"/>
                <w:szCs w:val="20"/>
                <w:color w:val="auto"/>
              </w:rPr>
            </w:pPr>
            <w:r>
              <w:rPr>
                <w:rFonts w:ascii="Arial" w:cs="Arial" w:eastAsia="Arial" w:hAnsi="Arial"/>
                <w:sz w:val="16"/>
                <w:szCs w:val="16"/>
                <w:color w:val="auto"/>
              </w:rPr>
              <w:t>Common warrants, $0.91 Strike Price,</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860" w:type="dxa"/>
            <w:vAlign w:val="bottom"/>
            <w:tcBorders>
              <w:right w:val="single" w:sz="8" w:color="CCEEFF"/>
            </w:tcBorders>
            <w:gridSpan w:val="9"/>
            <w:shd w:val="clear" w:color="auto" w:fill="CCEEFF"/>
          </w:tcPr>
          <w:p>
            <w:pPr>
              <w:ind w:left="180"/>
              <w:spacing w:after="0"/>
              <w:rPr>
                <w:sz w:val="20"/>
                <w:szCs w:val="20"/>
                <w:color w:val="auto"/>
              </w:rPr>
            </w:pPr>
            <w:r>
              <w:rPr>
                <w:rFonts w:ascii="Arial" w:cs="Arial" w:eastAsia="Arial" w:hAnsi="Arial"/>
                <w:sz w:val="16"/>
                <w:szCs w:val="16"/>
                <w:color w:val="auto"/>
              </w:rPr>
              <w:t>Expiration Date 5/16/2019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Common warrants, $0.91 Strike Price,</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9"/>
          </w:tcPr>
          <w:p>
            <w:pPr>
              <w:ind w:left="180"/>
              <w:spacing w:after="0"/>
              <w:rPr>
                <w:sz w:val="20"/>
                <w:szCs w:val="20"/>
                <w:color w:val="auto"/>
              </w:rPr>
            </w:pPr>
            <w:r>
              <w:rPr>
                <w:rFonts w:ascii="Arial" w:cs="Arial" w:eastAsia="Arial" w:hAnsi="Arial"/>
                <w:sz w:val="16"/>
                <w:szCs w:val="16"/>
                <w:color w:val="auto"/>
              </w:rPr>
              <w:t>Expiration Date 4/3/2019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4,121</w:t>
            </w: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(4,121)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80" w:type="dxa"/>
            <w:vAlign w:val="bottom"/>
            <w:tcBorders>
              <w:right w:val="single" w:sz="8" w:color="CCEEFF"/>
            </w:tcBorders>
            <w:gridSpan w:val="10"/>
            <w:shd w:val="clear" w:color="auto" w:fill="CCEEFF"/>
          </w:tcPr>
          <w:p>
            <w:pPr>
              <w:ind w:left="20"/>
              <w:spacing w:after="0"/>
              <w:rPr>
                <w:sz w:val="20"/>
                <w:szCs w:val="20"/>
                <w:color w:val="auto"/>
              </w:rPr>
            </w:pPr>
            <w:r>
              <w:rPr>
                <w:rFonts w:ascii="Arial" w:cs="Arial" w:eastAsia="Arial" w:hAnsi="Arial"/>
                <w:sz w:val="16"/>
                <w:szCs w:val="16"/>
                <w:color w:val="auto"/>
              </w:rPr>
              <w:t>Common warrants, $0.91 Strike Price,</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860" w:type="dxa"/>
            <w:vAlign w:val="bottom"/>
            <w:tcBorders>
              <w:right w:val="single" w:sz="8" w:color="CCEEFF"/>
            </w:tcBorders>
            <w:gridSpan w:val="9"/>
            <w:shd w:val="clear" w:color="auto" w:fill="CCEEFF"/>
          </w:tcPr>
          <w:p>
            <w:pPr>
              <w:ind w:left="180"/>
              <w:spacing w:after="0"/>
              <w:rPr>
                <w:sz w:val="20"/>
                <w:szCs w:val="20"/>
                <w:color w:val="auto"/>
              </w:rPr>
            </w:pPr>
            <w:r>
              <w:rPr>
                <w:rFonts w:ascii="Arial" w:cs="Arial" w:eastAsia="Arial" w:hAnsi="Arial"/>
                <w:sz w:val="16"/>
                <w:szCs w:val="16"/>
                <w:color w:val="auto"/>
              </w:rPr>
              <w:t>Expiration Date 10/10/2018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(824)</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Common warrants, $0.91 Strike Price,</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9"/>
          </w:tcPr>
          <w:p>
            <w:pPr>
              <w:ind w:left="180"/>
              <w:spacing w:after="0"/>
              <w:rPr>
                <w:sz w:val="20"/>
                <w:szCs w:val="20"/>
                <w:color w:val="auto"/>
              </w:rPr>
            </w:pPr>
            <w:r>
              <w:rPr>
                <w:rFonts w:ascii="Arial" w:cs="Arial" w:eastAsia="Arial" w:hAnsi="Arial"/>
                <w:sz w:val="16"/>
                <w:szCs w:val="16"/>
                <w:color w:val="auto"/>
              </w:rPr>
              <w:t>Expiration Date 12/11/2018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824</w:t>
            </w: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880" w:type="dxa"/>
            <w:vAlign w:val="bottom"/>
            <w:tcBorders>
              <w:right w:val="single" w:sz="8" w:color="CCEEFF"/>
            </w:tcBorders>
            <w:gridSpan w:val="10"/>
            <w:shd w:val="clear" w:color="auto" w:fill="CCEEFF"/>
          </w:tcPr>
          <w:p>
            <w:pPr>
              <w:ind w:left="20"/>
              <w:spacing w:after="0"/>
              <w:rPr>
                <w:sz w:val="20"/>
                <w:szCs w:val="20"/>
                <w:color w:val="auto"/>
              </w:rPr>
            </w:pPr>
            <w:r>
              <w:rPr>
                <w:rFonts w:ascii="Arial" w:cs="Arial" w:eastAsia="Arial" w:hAnsi="Arial"/>
                <w:sz w:val="16"/>
                <w:szCs w:val="16"/>
                <w:color w:val="auto"/>
              </w:rPr>
              <w:t>Common warrants, $0.91 Strike Price,</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860" w:type="dxa"/>
            <w:vAlign w:val="bottom"/>
            <w:tcBorders>
              <w:right w:val="single" w:sz="8" w:color="CCEEFF"/>
            </w:tcBorders>
            <w:gridSpan w:val="9"/>
            <w:shd w:val="clear" w:color="auto" w:fill="CCEEFF"/>
          </w:tcPr>
          <w:p>
            <w:pPr>
              <w:ind w:left="180"/>
              <w:spacing w:after="0"/>
              <w:rPr>
                <w:sz w:val="20"/>
                <w:szCs w:val="20"/>
                <w:color w:val="auto"/>
              </w:rPr>
            </w:pPr>
            <w:r>
              <w:rPr>
                <w:rFonts w:ascii="Arial" w:cs="Arial" w:eastAsia="Arial" w:hAnsi="Arial"/>
                <w:sz w:val="16"/>
                <w:szCs w:val="16"/>
                <w:color w:val="auto"/>
              </w:rPr>
              <w:t>Expiration Date 2/18/2019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7,143</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(7,143)</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378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Global Education Learning (Holdings) Ltd.</w:t>
            </w: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tcBorders>
              <w:right w:val="single" w:sz="8" w:color="CCEEFF"/>
            </w:tcBorders>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w:t>
            </w:r>
          </w:p>
        </w:tc>
        <w:tc>
          <w:tcPr>
            <w:tcW w:w="80" w:type="dxa"/>
            <w:vAlign w:val="bottom"/>
            <w:shd w:val="clear" w:color="auto" w:fill="CCEEFF"/>
          </w:tcPr>
          <w:p>
            <w:pPr>
              <w:spacing w:after="0"/>
              <w:rPr>
                <w:sz w:val="17"/>
                <w:szCs w:val="17"/>
                <w:color w:val="auto"/>
              </w:rPr>
            </w:pPr>
          </w:p>
        </w:tc>
        <w:tc>
          <w:tcPr>
            <w:tcW w:w="4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880" w:type="dxa"/>
            <w:vAlign w:val="bottom"/>
            <w:gridSpan w:val="10"/>
          </w:tcPr>
          <w:p>
            <w:pPr>
              <w:ind w:left="20"/>
              <w:spacing w:after="0" w:line="162" w:lineRule="exact"/>
              <w:rPr>
                <w:sz w:val="20"/>
                <w:szCs w:val="20"/>
                <w:color w:val="auto"/>
              </w:rPr>
            </w:pPr>
            <w:r>
              <w:rPr>
                <w:rFonts w:ascii="Arial" w:cs="Arial" w:eastAsia="Arial" w:hAnsi="Arial"/>
                <w:sz w:val="16"/>
                <w:szCs w:val="16"/>
                <w:b w:val="1"/>
                <w:bCs w:val="1"/>
                <w:color w:val="auto"/>
              </w:rPr>
              <w:t>Maven Research, Inc.</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tcBorders>
              <w:right w:val="single" w:sz="8" w:color="CCEEFF"/>
            </w:tcBorders>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1,999,998</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1,999,998</w:t>
            </w:r>
          </w:p>
        </w:tc>
        <w:tc>
          <w:tcPr>
            <w:tcW w:w="0" w:type="dxa"/>
            <w:vAlign w:val="bottom"/>
          </w:tcPr>
          <w:p>
            <w:pPr>
              <w:spacing w:after="0"/>
              <w:rPr>
                <w:sz w:val="1"/>
                <w:szCs w:val="1"/>
                <w:color w:val="auto"/>
              </w:rPr>
            </w:pPr>
          </w:p>
        </w:tc>
      </w:tr>
      <w:tr>
        <w:trPr>
          <w:trHeight w:val="20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249,691</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(25,928)</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223,763</w:t>
            </w:r>
          </w:p>
        </w:tc>
        <w:tc>
          <w:tcPr>
            <w:tcW w:w="0" w:type="dxa"/>
            <w:vAlign w:val="bottom"/>
          </w:tcPr>
          <w:p>
            <w:pPr>
              <w:spacing w:after="0"/>
              <w:rPr>
                <w:sz w:val="1"/>
                <w:szCs w:val="1"/>
                <w:color w:val="auto"/>
              </w:rPr>
            </w:pPr>
          </w:p>
        </w:tc>
      </w:tr>
      <w:tr>
        <w:trPr>
          <w:trHeight w:val="162"/>
        </w:trPr>
        <w:tc>
          <w:tcPr>
            <w:tcW w:w="2880" w:type="dxa"/>
            <w:vAlign w:val="bottom"/>
            <w:tcBorders>
              <w:right w:val="single" w:sz="8" w:color="CCEEFF"/>
            </w:tcBorders>
            <w:gridSpan w:val="10"/>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w w:val="96"/>
              </w:rPr>
              <w:t>Orchestra One, Inc. (f/k/a Learnist Inc.)</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(4)</w:t>
            </w: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4,364</w:t>
            </w: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(4,364)</w:t>
            </w:r>
          </w:p>
        </w:tc>
        <w:tc>
          <w:tcPr>
            <w:tcW w:w="120" w:type="dxa"/>
            <w:vAlign w:val="bottom"/>
          </w:tcPr>
          <w:p>
            <w:pPr>
              <w:spacing w:after="0"/>
              <w:rPr>
                <w:sz w:val="17"/>
                <w:szCs w:val="17"/>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880" w:type="dxa"/>
            <w:vAlign w:val="bottom"/>
            <w:tcBorders>
              <w:right w:val="single" w:sz="8" w:color="CCEEFF"/>
            </w:tcBorders>
            <w:gridSpan w:val="10"/>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Ozy Media, Inc.</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Convertible Promissory Note 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860" w:type="dxa"/>
            <w:vAlign w:val="bottom"/>
            <w:gridSpan w:val="9"/>
          </w:tcPr>
          <w:p>
            <w:pPr>
              <w:ind w:left="180"/>
              <w:spacing w:after="0" w:line="254" w:lineRule="exact"/>
              <w:rPr>
                <w:sz w:val="20"/>
                <w:szCs w:val="20"/>
                <w:color w:val="auto"/>
              </w:rPr>
            </w:pPr>
            <w:r>
              <w:rPr>
                <w:rFonts w:ascii="Arial" w:cs="Arial" w:eastAsia="Arial" w:hAnsi="Arial"/>
                <w:sz w:val="16"/>
                <w:szCs w:val="16"/>
                <w:color w:val="auto"/>
              </w:rPr>
              <w:t>Due 02/28/2018</w:t>
            </w:r>
            <w:r>
              <w:rPr>
                <w:rFonts w:ascii="Arial" w:cs="Arial" w:eastAsia="Arial" w:hAnsi="Arial"/>
                <w:sz w:val="27"/>
                <w:szCs w:val="27"/>
                <w:color w:val="auto"/>
                <w:vertAlign w:val="superscript"/>
              </w:rPr>
              <w:t>***</w:t>
            </w:r>
          </w:p>
        </w:tc>
        <w:tc>
          <w:tcPr>
            <w:tcW w:w="8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33,700</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w w:val="87"/>
              </w:rPr>
              <w:t>2,000,000</w:t>
            </w:r>
          </w:p>
        </w:tc>
        <w:tc>
          <w:tcPr>
            <w:tcW w:w="80" w:type="dxa"/>
            <w:vAlign w:val="bottom"/>
          </w:tcPr>
          <w:p>
            <w:pPr>
              <w:spacing w:after="0"/>
              <w:rPr>
                <w:sz w:val="22"/>
                <w:szCs w:val="22"/>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2,000,000</w:t>
            </w:r>
          </w:p>
        </w:tc>
        <w:tc>
          <w:tcPr>
            <w:tcW w:w="0" w:type="dxa"/>
            <w:vAlign w:val="bottom"/>
          </w:tcPr>
          <w:p>
            <w:pPr>
              <w:spacing w:after="0"/>
              <w:rPr>
                <w:sz w:val="1"/>
                <w:szCs w:val="1"/>
                <w:color w:val="auto"/>
              </w:rPr>
            </w:pPr>
          </w:p>
        </w:tc>
      </w:tr>
      <w:tr>
        <w:trPr>
          <w:trHeight w:val="203"/>
        </w:trPr>
        <w:tc>
          <w:tcPr>
            <w:tcW w:w="2880" w:type="dxa"/>
            <w:vAlign w:val="bottom"/>
            <w:tcBorders>
              <w:right w:val="single" w:sz="8" w:color="CCEEFF"/>
            </w:tcBorders>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4,690,178</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309,821</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4,999,999</w:t>
            </w:r>
          </w:p>
        </w:tc>
        <w:tc>
          <w:tcPr>
            <w:tcW w:w="0" w:type="dxa"/>
            <w:vAlign w:val="bottom"/>
          </w:tcPr>
          <w:p>
            <w:pPr>
              <w:spacing w:after="0"/>
              <w:rPr>
                <w:sz w:val="1"/>
                <w:szCs w:val="1"/>
                <w:color w:val="auto"/>
              </w:rPr>
            </w:pPr>
          </w:p>
        </w:tc>
      </w:tr>
      <w:tr>
        <w:trPr>
          <w:trHeight w:val="20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3,907,004</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(907,004)</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3,000,000</w:t>
            </w:r>
          </w:p>
        </w:tc>
        <w:tc>
          <w:tcPr>
            <w:tcW w:w="0" w:type="dxa"/>
            <w:vAlign w:val="bottom"/>
          </w:tcPr>
          <w:p>
            <w:pPr>
              <w:spacing w:after="0"/>
              <w:rPr>
                <w:sz w:val="1"/>
                <w:szCs w:val="1"/>
                <w:color w:val="auto"/>
              </w:rPr>
            </w:pPr>
          </w:p>
        </w:tc>
      </w:tr>
      <w:tr>
        <w:trPr>
          <w:trHeight w:val="203"/>
        </w:trPr>
        <w:tc>
          <w:tcPr>
            <w:tcW w:w="2880" w:type="dxa"/>
            <w:vAlign w:val="bottom"/>
            <w:tcBorders>
              <w:right w:val="single" w:sz="8" w:color="CCEEFF"/>
            </w:tcBorders>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Seed</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1,531,812</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(921,812)</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610,000</w:t>
            </w:r>
          </w:p>
        </w:tc>
        <w:tc>
          <w:tcPr>
            <w:tcW w:w="0" w:type="dxa"/>
            <w:vAlign w:val="bottom"/>
          </w:tcPr>
          <w:p>
            <w:pPr>
              <w:spacing w:after="0"/>
              <w:rPr>
                <w:sz w:val="1"/>
                <w:szCs w:val="1"/>
                <w:color w:val="auto"/>
              </w:rPr>
            </w:pPr>
          </w:p>
        </w:tc>
      </w:tr>
      <w:tr>
        <w:trPr>
          <w:trHeight w:val="162"/>
        </w:trPr>
        <w:tc>
          <w:tcPr>
            <w:tcW w:w="2880" w:type="dxa"/>
            <w:vAlign w:val="bottom"/>
            <w:gridSpan w:val="10"/>
          </w:tcPr>
          <w:p>
            <w:pPr>
              <w:ind w:left="20"/>
              <w:spacing w:after="0" w:line="162" w:lineRule="exact"/>
              <w:rPr>
                <w:sz w:val="20"/>
                <w:szCs w:val="20"/>
                <w:color w:val="auto"/>
              </w:rPr>
            </w:pPr>
            <w:r>
              <w:rPr>
                <w:rFonts w:ascii="Arial" w:cs="Arial" w:eastAsia="Arial" w:hAnsi="Arial"/>
                <w:sz w:val="16"/>
                <w:szCs w:val="16"/>
                <w:b w:val="1"/>
                <w:bCs w:val="1"/>
                <w:color w:val="auto"/>
              </w:rPr>
              <w:t>Handle Financial, Inc. (f/k/a</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Borders>
              <w:top w:val="single" w:sz="8" w:color="auto"/>
            </w:tcBorders>
            <w:gridSpan w:val="6"/>
          </w:tcPr>
          <w:p>
            <w:pPr>
              <w:ind w:left="180"/>
              <w:spacing w:after="0" w:line="223" w:lineRule="exact"/>
              <w:rPr>
                <w:sz w:val="20"/>
                <w:szCs w:val="20"/>
                <w:color w:val="auto"/>
              </w:rPr>
            </w:pPr>
            <w:r>
              <w:rPr>
                <w:rFonts w:ascii="Arial" w:cs="Arial" w:eastAsia="Arial" w:hAnsi="Arial"/>
                <w:sz w:val="15"/>
                <w:szCs w:val="15"/>
                <w:b w:val="1"/>
                <w:bCs w:val="1"/>
                <w:color w:val="auto"/>
              </w:rPr>
              <w:t>PayNearMe, Inc.)</w:t>
            </w:r>
            <w:r>
              <w:rPr>
                <w:rFonts w:ascii="Arial" w:cs="Arial" w:eastAsia="Arial" w:hAnsi="Arial"/>
                <w:sz w:val="25"/>
                <w:szCs w:val="25"/>
                <w:b w:val="1"/>
                <w:bCs w:val="1"/>
                <w:color w:val="auto"/>
                <w:vertAlign w:val="superscript"/>
              </w:rPr>
              <w:t>(6)</w:t>
            </w:r>
          </w:p>
        </w:tc>
        <w:tc>
          <w:tcPr>
            <w:tcW w:w="92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tcBorders>
              <w:right w:val="single" w:sz="8" w:color="CCEEFF"/>
            </w:tcBorders>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13,974,887</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(13,974,887)</w:t>
            </w: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880" w:type="dxa"/>
            <w:vAlign w:val="bottom"/>
            <w:gridSpan w:val="10"/>
          </w:tcPr>
          <w:p>
            <w:pPr>
              <w:ind w:left="20"/>
              <w:spacing w:after="0" w:line="202" w:lineRule="exact"/>
              <w:rPr>
                <w:sz w:val="20"/>
                <w:szCs w:val="20"/>
                <w:color w:val="auto"/>
              </w:rPr>
            </w:pPr>
            <w:r>
              <w:rPr>
                <w:rFonts w:ascii="Arial" w:cs="Arial" w:eastAsia="Arial" w:hAnsi="Arial"/>
                <w:sz w:val="14"/>
                <w:szCs w:val="14"/>
                <w:b w:val="1"/>
                <w:bCs w:val="1"/>
                <w:color w:val="auto"/>
              </w:rPr>
              <w:t>Strategic Data Command, LLC</w:t>
            </w:r>
            <w:r>
              <w:rPr>
                <w:rFonts w:ascii="Arial" w:cs="Arial" w:eastAsia="Arial" w:hAnsi="Arial"/>
                <w:sz w:val="23"/>
                <w:szCs w:val="23"/>
                <w:b w:val="1"/>
                <w:bCs w:val="1"/>
                <w:color w:val="auto"/>
                <w:vertAlign w:val="superscript"/>
              </w:rPr>
              <w:t>(5)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tcBorders>
              <w:right w:val="single" w:sz="8" w:color="CCEEFF"/>
            </w:tcBorders>
            <w:gridSpan w:val="10"/>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1,001,650</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1,050,905</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2,052,555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gridSpan w:val="10"/>
          </w:tcPr>
          <w:p>
            <w:pPr>
              <w:ind w:left="20"/>
              <w:spacing w:after="0"/>
              <w:rPr>
                <w:sz w:val="20"/>
                <w:szCs w:val="20"/>
                <w:color w:val="auto"/>
              </w:rPr>
            </w:pPr>
            <w:r>
              <w:rPr>
                <w:rFonts w:ascii="Arial" w:cs="Arial" w:eastAsia="Arial" w:hAnsi="Arial"/>
                <w:sz w:val="16"/>
                <w:szCs w:val="16"/>
                <w:b w:val="1"/>
                <w:bCs w:val="1"/>
                <w:color w:val="auto"/>
              </w:rPr>
              <w:t>Total Affiliate Investments</w:t>
            </w: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159,016</w:t>
            </w:r>
          </w:p>
        </w:tc>
        <w:tc>
          <w:tcPr>
            <w:tcW w:w="80" w:type="dxa"/>
            <w:vAlign w:val="bottom"/>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89"/>
              </w:rPr>
              <w:t>66,075,585</w:t>
            </w: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0"/>
              </w:rPr>
              <w:t>(15,269,175)</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ind w:left="32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40" w:type="dxa"/>
            <w:vAlign w:val="bottom"/>
          </w:tcPr>
          <w:p>
            <w:pPr>
              <w:jc w:val="right"/>
              <w:ind w:right="20"/>
              <w:spacing w:after="0"/>
              <w:rPr>
                <w:sz w:val="20"/>
                <w:szCs w:val="20"/>
                <w:color w:val="auto"/>
              </w:rPr>
            </w:pPr>
            <w:r>
              <w:rPr>
                <w:rFonts w:ascii="Arial" w:cs="Arial" w:eastAsia="Arial" w:hAnsi="Arial"/>
                <w:sz w:val="16"/>
                <w:szCs w:val="16"/>
                <w:b w:val="1"/>
                <w:bCs w:val="1"/>
                <w:color w:val="auto"/>
                <w:w w:val="87"/>
              </w:rPr>
              <w:t>5,209,757</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0"/>
              </w:rPr>
              <w:t>(13,571,477)</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92"/>
              </w:rPr>
              <w:t>42,444,690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-351155</wp:posOffset>
            </wp:positionV>
            <wp:extent cx="6157595" cy="1714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157595" cy="171450"/>
                    </a:xfrm>
                    <a:prstGeom prst="rect">
                      <a:avLst/>
                    </a:prstGeom>
                    <a:noFill/>
                  </pic:spPr>
                </pic:pic>
              </a:graphicData>
            </a:graphic>
          </wp:anchor>
        </w:drawing>
      </w:r>
    </w:p>
    <w:p>
      <w:pPr>
        <w:spacing w:after="0" w:line="236" w:lineRule="exact"/>
        <w:rPr>
          <w:sz w:val="20"/>
          <w:szCs w:val="20"/>
          <w:color w:val="auto"/>
        </w:rPr>
      </w:pPr>
    </w:p>
    <w:p>
      <w:pPr>
        <w:ind w:left="300" w:right="799" w:hanging="272"/>
        <w:spacing w:after="0" w:line="277" w:lineRule="auto"/>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non-income-producing, unless identified. Equity investments are subject to lock-up restrictions upon their IPO.</w:t>
      </w:r>
    </w:p>
    <w:p>
      <w:pPr>
        <w:spacing w:after="0" w:line="62" w:lineRule="exact"/>
        <w:rPr>
          <w:sz w:val="20"/>
          <w:szCs w:val="20"/>
          <w:color w:val="auto"/>
        </w:rPr>
      </w:pPr>
    </w:p>
    <w:p>
      <w:pPr>
        <w:ind w:left="300" w:right="939" w:hanging="272"/>
        <w:spacing w:after="0" w:line="277" w:lineRule="auto"/>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rFonts w:ascii="Arial" w:cs="Arial" w:eastAsia="Arial" w:hAnsi="Arial"/>
          <w:sz w:val="18"/>
          <w:szCs w:val="18"/>
          <w:color w:val="auto"/>
        </w:rPr>
      </w:pPr>
    </w:p>
    <w:p>
      <w:pPr>
        <w:ind w:left="360" w:hanging="332"/>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Investment is income-producing.</w:t>
      </w:r>
    </w:p>
    <w:p>
      <w:pPr>
        <w:spacing w:after="0" w:line="117" w:lineRule="exact"/>
        <w:rPr>
          <w:sz w:val="20"/>
          <w:szCs w:val="20"/>
          <w:color w:val="auto"/>
        </w:rPr>
      </w:pPr>
    </w:p>
    <w:p>
      <w:pPr>
        <w:ind w:left="300" w:hanging="272"/>
        <w:spacing w:after="0"/>
        <w:tabs>
          <w:tab w:leader="none" w:pos="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 owned subsidiary GSVC SW Holdings, Inc.</w:t>
      </w:r>
    </w:p>
    <w:p>
      <w:pPr>
        <w:spacing w:after="0" w:line="128" w:lineRule="exact"/>
        <w:rPr>
          <w:rFonts w:ascii="Arial" w:cs="Arial" w:eastAsia="Arial" w:hAnsi="Arial"/>
          <w:sz w:val="17"/>
          <w:szCs w:val="17"/>
          <w:color w:val="auto"/>
        </w:rPr>
      </w:pPr>
    </w:p>
    <w:p>
      <w:pPr>
        <w:jc w:val="both"/>
        <w:ind w:left="300" w:right="519" w:hanging="272"/>
        <w:spacing w:after="0" w:line="264"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300" w:right="799" w:hanging="272"/>
        <w:spacing w:after="0" w:line="264"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Schedule 12-14 — Schedule of Investments in and Advances to Affiliates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as of December 31, 2016 – (continued)</w:t>
      </w:r>
    </w:p>
    <w:p>
      <w:pPr>
        <w:spacing w:after="0" w:line="103" w:lineRule="exact"/>
        <w:rPr>
          <w:sz w:val="20"/>
          <w:szCs w:val="20"/>
          <w:color w:val="auto"/>
        </w:rPr>
      </w:pPr>
    </w:p>
    <w:p>
      <w:pPr>
        <w:ind w:left="280" w:right="639" w:hanging="272"/>
        <w:spacing w:after="0" w:line="257" w:lineRule="auto"/>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GSV Capital Corp.’s ownership percentage in Orchestra One, Inc. (f/k/a Learnist Inc.) decreased to below 5% and, as such, Orchestra One, Inc. is no longer classified as an “affiliate investment” as of September 30, 2016. As such, the Company has reflected a “transfer out” of the “Affiliate Investment” category above as of September 30, 2016 to indicate that the investment in Orchestra One, Inc., while still held as of September 30, 2016, does not meet the criteria of an affiliate investment as defined in the Investment Company Act of 1940, as amended.</w:t>
      </w:r>
    </w:p>
    <w:p>
      <w:pPr>
        <w:spacing w:after="0" w:line="80" w:lineRule="exact"/>
        <w:rPr>
          <w:rFonts w:ascii="Arial" w:cs="Arial" w:eastAsia="Arial" w:hAnsi="Arial"/>
          <w:sz w:val="18"/>
          <w:szCs w:val="18"/>
          <w:color w:val="auto"/>
        </w:rPr>
      </w:pPr>
    </w:p>
    <w:p>
      <w:pPr>
        <w:ind w:left="280" w:right="759" w:hanging="272"/>
        <w:spacing w:after="0" w:line="277" w:lineRule="auto"/>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62" w:lineRule="exact"/>
        <w:rPr>
          <w:rFonts w:ascii="Arial" w:cs="Arial" w:eastAsia="Arial" w:hAnsi="Arial"/>
          <w:sz w:val="18"/>
          <w:szCs w:val="18"/>
          <w:color w:val="auto"/>
        </w:rPr>
      </w:pPr>
    </w:p>
    <w:p>
      <w:pPr>
        <w:ind w:left="280" w:right="639" w:hanging="272"/>
        <w:spacing w:after="0" w:line="273" w:lineRule="auto"/>
        <w:tabs>
          <w:tab w:leader="none" w:pos="2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GSV Capital Corp.’s ownership percentage in Handle Financial, Inc. (f/k/a PayNearMe, Inc.) and Fullbridge, Inc. decreased to below 5% and, as such, Handle Financial, Inc. (f/k/a PayNearMe, Inc.) and Fullbridge, Inc. are no longer classified as “affiliate investments” as of December 31, 2016. As such, the Company has reflected a “transfer out” of the “Affiliate Investment” category above as of December 31, 2016 to indicate that the investment in Handle Financial, Inc. (f/k/a PayNearMe, Inc.) and Fullbridge, Inc., while still held as of December 31, 2016, does not meet the criteria of an affiliate investment as defined in the Investment Company Act of 1940, as amended.</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1" w:name="page72"/>
    <w:bookmarkEnd w:id="71"/>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80" w:right="679"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18858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6740" w:type="dxa"/>
            <w:vAlign w:val="bottom"/>
            <w:gridSpan w:val="3"/>
          </w:tcPr>
          <w:p>
            <w:pPr>
              <w:ind w:left="1200"/>
              <w:spacing w:after="0"/>
              <w:rPr>
                <w:sz w:val="20"/>
                <w:szCs w:val="20"/>
                <w:color w:val="auto"/>
              </w:rPr>
            </w:pPr>
            <w:r>
              <w:rPr>
                <w:rFonts w:ascii="Arial" w:cs="Arial" w:eastAsia="Arial" w:hAnsi="Arial"/>
                <w:sz w:val="18"/>
                <w:szCs w:val="18"/>
                <w:b w:val="1"/>
                <w:bCs w:val="1"/>
                <w:color w:val="auto"/>
              </w:rPr>
              <w:t>GSV CAPITAL CORP.</w:t>
            </w:r>
          </w:p>
        </w:tc>
      </w:tr>
      <w:tr>
        <w:trPr>
          <w:trHeight w:val="234"/>
        </w:trPr>
        <w:tc>
          <w:tcPr>
            <w:tcW w:w="2860" w:type="dxa"/>
            <w:vAlign w:val="bottom"/>
          </w:tcPr>
          <w:p>
            <w:pPr>
              <w:ind w:left="140"/>
              <w:spacing w:after="0"/>
              <w:rPr>
                <w:sz w:val="20"/>
                <w:szCs w:val="20"/>
                <w:color w:val="auto"/>
              </w:rPr>
            </w:pPr>
            <w:r>
              <w:rPr>
                <w:rFonts w:ascii="Arial" w:cs="Arial" w:eastAsia="Arial" w:hAnsi="Arial"/>
                <w:sz w:val="18"/>
                <w:szCs w:val="18"/>
                <w:color w:val="auto"/>
              </w:rPr>
              <w:t>Date: August 9, 2017</w:t>
            </w:r>
          </w:p>
        </w:tc>
        <w:tc>
          <w:tcPr>
            <w:tcW w:w="6740" w:type="dxa"/>
            <w:vAlign w:val="bottom"/>
            <w:gridSpan w:val="3"/>
          </w:tcPr>
          <w:p>
            <w:pPr>
              <w:ind w:left="120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Michael T. Moe</w:t>
            </w:r>
          </w:p>
        </w:tc>
      </w:tr>
      <w:tr>
        <w:trPr>
          <w:trHeight w:val="195"/>
        </w:trPr>
        <w:tc>
          <w:tcPr>
            <w:tcW w:w="2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T. Moe</w:t>
            </w:r>
          </w:p>
        </w:tc>
        <w:tc>
          <w:tcPr>
            <w:tcW w:w="1260" w:type="dxa"/>
            <w:vAlign w:val="bottom"/>
          </w:tcPr>
          <w:p>
            <w:pPr>
              <w:spacing w:after="0"/>
              <w:rPr>
                <w:sz w:val="16"/>
                <w:szCs w:val="16"/>
                <w:color w:val="auto"/>
              </w:rPr>
            </w:pPr>
          </w:p>
        </w:tc>
      </w:tr>
      <w:tr>
        <w:trPr>
          <w:trHeight w:val="216"/>
        </w:trPr>
        <w:tc>
          <w:tcPr>
            <w:tcW w:w="2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Chief Executive Officer and</w:t>
            </w:r>
          </w:p>
        </w:tc>
      </w:tr>
      <w:tr>
        <w:trPr>
          <w:trHeight w:val="216"/>
        </w:trPr>
        <w:tc>
          <w:tcPr>
            <w:tcW w:w="2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2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2860" w:type="dxa"/>
            <w:vAlign w:val="bottom"/>
          </w:tcPr>
          <w:p>
            <w:pPr>
              <w:ind w:left="140"/>
              <w:spacing w:after="0"/>
              <w:rPr>
                <w:sz w:val="20"/>
                <w:szCs w:val="20"/>
                <w:color w:val="auto"/>
              </w:rPr>
            </w:pPr>
            <w:r>
              <w:rPr>
                <w:rFonts w:ascii="Arial" w:cs="Arial" w:eastAsia="Arial" w:hAnsi="Arial"/>
                <w:sz w:val="18"/>
                <w:szCs w:val="18"/>
                <w:color w:val="auto"/>
              </w:rPr>
              <w:t>Date: August 9, 2017</w:t>
            </w:r>
          </w:p>
        </w:tc>
        <w:tc>
          <w:tcPr>
            <w:tcW w:w="6740" w:type="dxa"/>
            <w:vAlign w:val="bottom"/>
            <w:gridSpan w:val="3"/>
          </w:tcPr>
          <w:p>
            <w:pPr>
              <w:ind w:left="120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William Tanona</w:t>
            </w:r>
          </w:p>
        </w:tc>
      </w:tr>
      <w:tr>
        <w:trPr>
          <w:trHeight w:val="195"/>
        </w:trPr>
        <w:tc>
          <w:tcPr>
            <w:tcW w:w="2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Tanona</w:t>
            </w:r>
          </w:p>
        </w:tc>
        <w:tc>
          <w:tcPr>
            <w:tcW w:w="1260" w:type="dxa"/>
            <w:vAlign w:val="bottom"/>
          </w:tcPr>
          <w:p>
            <w:pPr>
              <w:spacing w:after="0"/>
              <w:rPr>
                <w:sz w:val="16"/>
                <w:szCs w:val="16"/>
                <w:color w:val="auto"/>
              </w:rPr>
            </w:pPr>
          </w:p>
        </w:tc>
      </w:tr>
      <w:tr>
        <w:trPr>
          <w:trHeight w:val="216"/>
        </w:trPr>
        <w:tc>
          <w:tcPr>
            <w:tcW w:w="2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Treasurer and Secretary</w:t>
            </w:r>
          </w:p>
        </w:tc>
      </w:tr>
      <w:tr>
        <w:trPr>
          <w:trHeight w:val="230"/>
        </w:trPr>
        <w:tc>
          <w:tcPr>
            <w:tcW w:w="2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0"/>
        </w:trPr>
        <w:tc>
          <w:tcPr>
            <w:tcW w:w="2860" w:type="dxa"/>
            <w:vAlign w:val="bottom"/>
          </w:tcPr>
          <w:p>
            <w:pPr>
              <w:spacing w:after="0"/>
              <w:rPr>
                <w:sz w:val="24"/>
                <w:szCs w:val="24"/>
                <w:color w:val="auto"/>
              </w:rPr>
            </w:pPr>
          </w:p>
        </w:tc>
        <w:tc>
          <w:tcPr>
            <w:tcW w:w="5480" w:type="dxa"/>
            <w:vAlign w:val="bottom"/>
            <w:gridSpan w:val="2"/>
          </w:tcPr>
          <w:p>
            <w:pPr>
              <w:jc w:val="right"/>
              <w:ind w:right="3370"/>
              <w:spacing w:after="0"/>
              <w:rPr>
                <w:sz w:val="20"/>
                <w:szCs w:val="20"/>
                <w:color w:val="auto"/>
              </w:rPr>
            </w:pPr>
            <w:r>
              <w:rPr>
                <w:rFonts w:ascii="Arial" w:cs="Arial" w:eastAsia="Arial" w:hAnsi="Arial"/>
                <w:sz w:val="18"/>
                <w:szCs w:val="18"/>
                <w:color w:val="auto"/>
              </w:rPr>
              <w:t>66</w:t>
            </w:r>
          </w:p>
        </w:tc>
        <w:tc>
          <w:tcPr>
            <w:tcW w:w="1260" w:type="dxa"/>
            <w:vAlign w:val="bottom"/>
          </w:tcPr>
          <w:p>
            <w:pPr>
              <w:spacing w:after="0"/>
              <w:rPr>
                <w:sz w:val="24"/>
                <w:szCs w:val="24"/>
                <w:color w:val="auto"/>
              </w:rPr>
            </w:pPr>
          </w:p>
        </w:tc>
      </w:tr>
      <w:tr>
        <w:trPr>
          <w:trHeight w:val="162"/>
        </w:trPr>
        <w:tc>
          <w:tcPr>
            <w:tcW w:w="286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39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286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39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b w:val="1"/>
          <w:bCs w:val="1"/>
          <w:color w:val="auto"/>
        </w:rPr>
        <w:t>Exhibit 10.1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Second Amended and Restated Administration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April 3, 2017 by and between GSV CAPITAL CORP., a Maryland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GSV CAPITAL SERVICE COMPANY, LLC, a Delaware limited liability company (the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is a closed-end management investment fund that has elected to be treated as a business development company (“</w:t>
      </w:r>
      <w:r>
        <w:rPr>
          <w:rFonts w:ascii="Arial" w:cs="Arial" w:eastAsia="Arial" w:hAnsi="Arial"/>
          <w:sz w:val="18"/>
          <w:szCs w:val="18"/>
          <w:b w:val="1"/>
          <w:bCs w:val="1"/>
          <w:i w:val="1"/>
          <w:iCs w:val="1"/>
          <w:color w:val="auto"/>
        </w:rPr>
        <w:t>BDC</w:t>
      </w:r>
      <w:r>
        <w:rPr>
          <w:rFonts w:ascii="Arial" w:cs="Arial" w:eastAsia="Arial" w:hAnsi="Arial"/>
          <w:sz w:val="18"/>
          <w:szCs w:val="18"/>
          <w:color w:val="auto"/>
        </w:rPr>
        <w:t>”) under the Investment Company Act of 1940 (the “</w:t>
      </w:r>
      <w:r>
        <w:rPr>
          <w:rFonts w:ascii="Arial" w:cs="Arial" w:eastAsia="Arial" w:hAnsi="Arial"/>
          <w:sz w:val="18"/>
          <w:szCs w:val="18"/>
          <w:b w:val="1"/>
          <w:bCs w:val="1"/>
          <w:i w:val="1"/>
          <w:iCs w:val="1"/>
          <w:color w:val="auto"/>
        </w:rPr>
        <w:t>Investment Company Act</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on April 11, 2011, the Company and the Administrator entered into an Administration Agreement pursuant to which the Administrator agreed to provide administrative services to the Company (the “</w:t>
      </w:r>
      <w:r>
        <w:rPr>
          <w:rFonts w:ascii="Arial" w:cs="Arial" w:eastAsia="Arial" w:hAnsi="Arial"/>
          <w:sz w:val="18"/>
          <w:szCs w:val="18"/>
          <w:b w:val="1"/>
          <w:bCs w:val="1"/>
          <w:i w:val="1"/>
          <w:iCs w:val="1"/>
          <w:color w:val="auto"/>
        </w:rPr>
        <w:t>Initial Administration Agreement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WHEREAS, on March 8, 2013, the Company and the Administrator entered into an Amended and Restated Administration Agreement pursuant to which the Administrator agreed to provide administrative services to the Company (the “</w:t>
      </w:r>
      <w:r>
        <w:rPr>
          <w:rFonts w:ascii="Arial" w:cs="Arial" w:eastAsia="Arial" w:hAnsi="Arial"/>
          <w:sz w:val="16"/>
          <w:szCs w:val="16"/>
          <w:b w:val="1"/>
          <w:bCs w:val="1"/>
          <w:i w:val="1"/>
          <w:iCs w:val="1"/>
          <w:color w:val="auto"/>
        </w:rPr>
        <w:t>Amended and Restated Administration Agreement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each of the Company and the Administrator desires to amend and restate the Amended and Restated Administration Agreement in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entirety.</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the covenants hereinafter contained and for other good and valuable consideration, the receipt and adequacy of which is hereby acknowledged, the Company and the Administrator hereby agree as follows:</w:t>
      </w:r>
    </w:p>
    <w:p>
      <w:pPr>
        <w:spacing w:after="0" w:line="166"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 of the Administrator</w:t>
      </w:r>
    </w:p>
    <w:p>
      <w:pPr>
        <w:spacing w:after="0" w:line="229" w:lineRule="exact"/>
        <w:rPr>
          <w:rFonts w:ascii="Arial" w:cs="Arial" w:eastAsia="Arial" w:hAnsi="Arial"/>
          <w:sz w:val="18"/>
          <w:szCs w:val="18"/>
          <w:b w:val="1"/>
          <w:bCs w:val="1"/>
          <w:color w:val="auto"/>
        </w:rPr>
      </w:pPr>
    </w:p>
    <w:p>
      <w:pPr>
        <w:jc w:val="both"/>
        <w:ind w:firstLine="1305"/>
        <w:spacing w:after="0" w:line="272" w:lineRule="auto"/>
        <w:tabs>
          <w:tab w:leader="none" w:pos="2054"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Employment of Administrator.</w:t>
      </w:r>
      <w:r>
        <w:rPr>
          <w:rFonts w:ascii="Arial" w:cs="Arial" w:eastAsia="Arial" w:hAnsi="Arial"/>
          <w:sz w:val="17"/>
          <w:szCs w:val="17"/>
          <w:color w:val="auto"/>
        </w:rPr>
        <w:t xml:space="preserve"> The Company hereby employs the Administrator to act as administrator of the Company, and to furnish, or arrange for others to furnish, the administrative services, personnel and facilities described below, subject to review by and the overall control of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for the period and on the terms and conditions set forth in this Agreement. The Administrator hereby accepts such employment and agrees during such period to render, or arrange for the rendering of, such services and to assume the obligations herein set forth subject to the reimbursement of costs and expenses provided for below. The Administrator and such others shall for all purposes herein be deemed to be independent contractors and shall, unless otherwise expressly provided or authorized herein, have no authority to act for or represent the Company in any way or otherwise be deemed agents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3" w:name="page74"/>
    <w:bookmarkEnd w:id="73"/>
    <w:p>
      <w:pPr>
        <w:jc w:val="both"/>
        <w:ind w:firstLine="1305"/>
        <w:spacing w:after="0" w:line="268" w:lineRule="auto"/>
        <w:tabs>
          <w:tab w:leader="none" w:pos="1956"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Services.</w:t>
      </w:r>
      <w:r>
        <w:rPr>
          <w:rFonts w:ascii="Arial" w:cs="Arial" w:eastAsia="Arial" w:hAnsi="Arial"/>
          <w:sz w:val="17"/>
          <w:szCs w:val="17"/>
          <w:color w:val="auto"/>
        </w:rPr>
        <w:t xml:space="preserve"> The Administrator shall perform (or oversee, or arrange for, the performance of) the administrative services necessary for the operation of the Company. Without limiting the generality of the foregoing, the Administrator shall provide the Company with office facilities, equipment, clerical, bookkeeping and record keeping services at such facilities and such other services as the Administrator, subject to review by the Board, shall from time to time determine to be necessary or useful to perform its obligations under this Agreement. The Administrator shall also, on behalf of the Company, conduct relations with custodians, depositories, transfer agents, dividend disbursing agents, other stockholder servicing agents, accountants, attorneys, underwriters, brokers and dealers, corporate fiduciaries, insurers, banks and such other persons in any such other capacity deemed to be necessary or desirable. The Administrator shall make reports to the Board of its performance of obligations hereunder and furnish advice and recommendations with respect to such other aspects of the business and affairs of the Company as it shall determine to be desirable; provided that nothing herein shall be construed to require the Administrator to, and the Administrator shall not, provide any advice or recommendation relating to the securities and other assets that the Company should purchase, retain or sell or any other investment advisory services to the Company. The Administrator shall be responsible for the financial and other records that the Company is required to maintain, and under the Investment Company Act, shall prepare, print and disseminate reports to stockholders, and reports and other materials filed with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The Administrator will provide on the Company’s behalf significant managerial assistance to those portfolio companies to which the Company is required to provide such assistance. In addition, the Administrator will assist the Company in determining and publishing the Company’s net asset value, overseeing the preparation and filing of the Company’s tax returns, and generally overseeing the payment of the Company’s expenses and the performance of administrative and professional services rendered to the Company by others.</w:t>
      </w:r>
    </w:p>
    <w:p>
      <w:pPr>
        <w:spacing w:after="0" w:line="176" w:lineRule="exact"/>
        <w:rPr>
          <w:rFonts w:ascii="Arial" w:cs="Arial" w:eastAsia="Arial" w:hAnsi="Arial"/>
          <w:sz w:val="17"/>
          <w:szCs w:val="17"/>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Records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Administrator agrees to maintain and keep all books, accounts and other records of the Company that relate to activities performed by the</w:t>
      </w:r>
    </w:p>
    <w:p>
      <w:pPr>
        <w:spacing w:after="0" w:line="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Administrator hereunder and will maintain and keep such books, accounts and records in accordance with the Investment Company Act. In compliance with the requirements of Rule 31a-3 under the Investment Company Act, the Administrator agrees that all records which it maintains for the Company shall at all times remain the property of the Company, shall be readily accessible during normal business hours, and shall be promptly surrendered upon the termination of the Agreement or otherwise on written request. The Administrator further agrees that all records which it maintains for the Company pursuant to Rule 31a-1 under the Investment Company Act will be preserved for the periods prescribed by Rule 31a-2 under the Investment Company Act unless any such records are earlier surrendered as provided above. Records shall be surrendered in usable machine-readable form. The Administrator shall have the right to retain copies of such records subject to observance of its confidentiality obligations under this Agreement.</w:t>
      </w:r>
    </w:p>
    <w:p>
      <w:pPr>
        <w:spacing w:after="0" w:line="177"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parties hereto agree that each shall treat confidentially the terms and conditions of this Agreement and all information provided by each party to the other regarding its business and operations. All confidential information provided by a party hereto, including nonpublic personal information (regulated pursuant to Regulation S-P and S-AM), shall be used by any other party hereto solely for the purpose of rendering services pursuant to this Agreement and, except as may be required in carrying out this Agreement, shall not be disclosed to any third party, without the prior consent of such providing party. The foregoing shall not be applicable to any information that is publicly available when provided or thereafter becomes publicly available other than through a breach of this Agreement, or that is required to be disclosed by any regulatory authority, any authority or legal counsel of the parties hereto, by judicial or administrative process or otherwise by applicable law or regulation.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Allocation of Costs and Expenses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full consideration of the provision of the services of the Administrator, the Company shall reimburse the Administrator for the costs and expenses incurred by the Administrator in performing its obligations and providing personnel and facilities hereunder. The amount and nature of such reimbursements shall be presented for review, on not less than a quarterly basis, to the members of the audit committee of the Board, or in lieu thereof, to a committee of the Board, all of the members of which are not “interested persons” of the Company, as such term is defined under the Investment Company Act. The Company will bear all costs and expenses that are incurred in its operation, administration and transactions and not specifically assumed by GSV Asset Management, LLC (the “</w:t>
      </w:r>
      <w:r>
        <w:rPr>
          <w:rFonts w:ascii="Arial" w:cs="Arial" w:eastAsia="Arial" w:hAnsi="Arial"/>
          <w:sz w:val="16"/>
          <w:szCs w:val="16"/>
          <w:b w:val="1"/>
          <w:bCs w:val="1"/>
          <w:i w:val="1"/>
          <w:iCs w:val="1"/>
          <w:color w:val="auto"/>
        </w:rPr>
        <w:t>Adviser</w:t>
      </w:r>
      <w:r>
        <w:rPr>
          <w:rFonts w:ascii="Arial" w:cs="Arial" w:eastAsia="Arial" w:hAnsi="Arial"/>
          <w:sz w:val="16"/>
          <w:szCs w:val="16"/>
          <w:color w:val="auto"/>
        </w:rPr>
        <w:t>”), pursuant to that certain Investment Advisory Agreement, dated as of April 11, 2011 by and between the Company and the Adviser, and the amendment and restatement thereof, dated as of March 8, 2013. Costs and expenses to be borne by the Company include, but are not limited to, those relating to: organization and offering; calculating the Company’s net asset value (including the cost and expenses of any independent valuation firm); expenses incurred by the Adviser payable to third parties, including agents, consultants or other advisors, in monitoring financial and legal affairs for the Company and in providing administrative services, monitoring the Company’s investments and performing due diligence on its prospective portfolio companies; interest payable on debt, if any, incurred to finance the Company’s investments; sales and purchases of the Company’s common stock and other securities; investment advisory and management fees; administration fees, if any, payable under this Agreement; fees payable to third parties, including agents, consultants or other advisors, relating to, or associated with, evaluating and making investments; transfer agent and custodial fees; federal and state registration fees; all costs of registration and listing the Company’s shares on any securities exchange; federal, state and local taxes; independent Directors’ fees and expenses; costs of preparing and filing reports or other documents required by the SEC; costs of any reports, proxy statements or other notices to stockholders, including printing costs; the Company’s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and all other expenses incurred by the Company or the Administrator in connection with administering the Company’s business, including payments under this Agreement based upon the Company’s allocable portion of the Administrator’s overhead in performing its obligations under the Administration Agreement, including rent and the allocable portion of the cost of the Company’s president, chief compliance officer and chief financial officer and their respective staffs.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 of the Administrator; Indemnification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Administrator (and its officers, managers, partners, agents, employees, controlling persons, members, and any other person or entity affiliated with the Administrator, including without limitation its sole member, the Adviser to the extent that they are providing services for or otherwise acting on behalf of the Administrator, Adviser or the Company) shall not be liable to the Company for any action taken or omitted to be taken by the Administrator in connection with the performance of any of its duties or obligations under this Agreement or otherwise as administrator for the Company, and the Company shall indemnify, defend and protect the Administrator (and its officers, managers, partners, agents, employees, controlling persons, members, and any other person or entity affiliated with the Administrator, including without limitation the Adviser, each of whom shall be deemed a third party beneficiary hereof) (collectively, the “</w:t>
      </w:r>
      <w:r>
        <w:rPr>
          <w:rFonts w:ascii="Arial" w:cs="Arial" w:eastAsia="Arial" w:hAnsi="Arial"/>
          <w:sz w:val="16"/>
          <w:szCs w:val="16"/>
          <w:b w:val="1"/>
          <w:bCs w:val="1"/>
          <w:i w:val="1"/>
          <w:iCs w:val="1"/>
          <w:color w:val="auto"/>
        </w:rPr>
        <w:t>Indemnified Parties</w:t>
      </w:r>
      <w:r>
        <w:rPr>
          <w:rFonts w:ascii="Arial" w:cs="Arial" w:eastAsia="Arial" w:hAnsi="Arial"/>
          <w:sz w:val="16"/>
          <w:szCs w:val="16"/>
          <w:color w:val="auto"/>
        </w:rPr>
        <w:t>”)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Company or its security holders) arising out of or otherwise based upon the performance of any of the Administrator’s duties or obligations under this Agreement or otherwise as administrator for the Company. Notwithstanding the preceding sentence of this Section 5 to the contrary, nothing contained herein shall protect or be deemed to protect the Indemnified Parties against or entitle or be deemed to entitle the Indemnified Parties to indemnification in respect of, any liability to the Company or its security holders to which the Indemnified Parties would otherwise be subject by reason of willful misfeasance, bad faith or gross negligence in the performance of the Administrator’s duties or by reason of the reckless disregard of the Administrator’s duties and obligations under this Agreement (to the extent applicable, as the same shall be determined in accordance with the Investment Company Act and any interpretations or guidance by the SEC or its staff thereunder).</w:t>
      </w:r>
    </w:p>
    <w:p>
      <w:pPr>
        <w:spacing w:after="0" w:line="165" w:lineRule="exact"/>
        <w:rPr>
          <w:sz w:val="20"/>
          <w:szCs w:val="20"/>
          <w:color w:val="auto"/>
        </w:rPr>
      </w:pPr>
    </w:p>
    <w:p>
      <w:pPr>
        <w:ind w:left="600" w:hanging="592"/>
        <w:spacing w:after="0"/>
        <w:tabs>
          <w:tab w:leader="none" w:pos="6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Activities of the Administrator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services of the Administrator to the Company are not to be deemed to be exclusive, and the Administrator and each affiliate is free to render services to others. It is understood that directors, officers, employees and stockholders of the Company are or may become interested in the Administrator and its affiliates, as directors, officers, members, managers, employees, partners, stockholders or otherwise, and that the Administrator and directors, officers, members, managers, employees, partners and stockholders of the Administrator and its affiliates are or may become similarly interested in the Company as stockholders or otherwise.</w:t>
      </w:r>
    </w:p>
    <w:p>
      <w:pPr>
        <w:spacing w:after="0" w:line="184" w:lineRule="exact"/>
        <w:rPr>
          <w:sz w:val="20"/>
          <w:szCs w:val="20"/>
          <w:color w:val="auto"/>
        </w:rPr>
      </w:pPr>
    </w:p>
    <w:p>
      <w:pPr>
        <w:ind w:left="600" w:hanging="592"/>
        <w:spacing w:after="0"/>
        <w:tabs>
          <w:tab w:leader="none" w:pos="6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Duration and Termination of this Agreement</w:t>
      </w:r>
    </w:p>
    <w:p>
      <w:pPr>
        <w:spacing w:after="0" w:line="229" w:lineRule="exact"/>
        <w:rPr>
          <w:rFonts w:ascii="Arial" w:cs="Arial" w:eastAsia="Arial" w:hAnsi="Arial"/>
          <w:sz w:val="18"/>
          <w:szCs w:val="18"/>
          <w:b w:val="1"/>
          <w:bCs w:val="1"/>
          <w:color w:val="auto"/>
        </w:rPr>
      </w:pPr>
    </w:p>
    <w:p>
      <w:pPr>
        <w:jc w:val="both"/>
        <w:ind w:firstLine="1305"/>
        <w:spacing w:after="0" w:line="293" w:lineRule="auto"/>
        <w:tabs>
          <w:tab w:leader="none" w:pos="2101"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This Agreement shall become effective as of the first date above written. The provisions of Section 5 of this Agreement shall remain in full force and effect, and the Administrator shall remain entitled to the benefits thereof, notwithstanding any termination of this Agreement. Further, notwithstanding the termination or expiration of this Agreement as aforesaid, the Administrator shall be entitled to any amounts owed under Section 4 through the date of termination or expiration and Section 5 shall continue in force and effect and apply to the Administrator and its representatives as and to the extent applicable. This Agreement shall continue in effect for two years from the date of the Initial Administration Agreement, and thereafter shall continue automatically for successive annual periods, provided that such continuance is specifically approved at least annually by: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ind w:left="2580" w:hanging="627"/>
        <w:spacing w:after="0"/>
        <w:tabs>
          <w:tab w:leader="none" w:pos="2580" w:val="left"/>
        </w:tabs>
        <w:numPr>
          <w:ilvl w:val="2"/>
          <w:numId w:val="50"/>
        </w:numPr>
        <w:rPr>
          <w:rFonts w:ascii="Arial" w:cs="Arial" w:eastAsia="Arial" w:hAnsi="Arial"/>
          <w:sz w:val="18"/>
          <w:szCs w:val="18"/>
          <w:color w:val="auto"/>
        </w:rPr>
      </w:pPr>
      <w:r>
        <w:rPr>
          <w:rFonts w:ascii="Arial" w:cs="Arial" w:eastAsia="Arial" w:hAnsi="Arial"/>
          <w:sz w:val="18"/>
          <w:szCs w:val="18"/>
          <w:color w:val="auto"/>
        </w:rPr>
        <w:t>the vote of the Board, or by the vote of a majority of the outstanding voting securities of the Company; and</w:t>
      </w:r>
    </w:p>
    <w:p>
      <w:pPr>
        <w:spacing w:after="0" w:line="225" w:lineRule="exact"/>
        <w:rPr>
          <w:rFonts w:ascii="Arial" w:cs="Arial" w:eastAsia="Arial" w:hAnsi="Arial"/>
          <w:sz w:val="18"/>
          <w:szCs w:val="18"/>
          <w:color w:val="auto"/>
        </w:rPr>
      </w:pPr>
    </w:p>
    <w:p>
      <w:pPr>
        <w:ind w:right="20" w:firstLine="1953"/>
        <w:spacing w:after="0" w:line="342" w:lineRule="auto"/>
        <w:tabs>
          <w:tab w:leader="none" w:pos="2620" w:val="left"/>
        </w:tabs>
        <w:numPr>
          <w:ilvl w:val="2"/>
          <w:numId w:val="50"/>
        </w:numPr>
        <w:rPr>
          <w:rFonts w:ascii="Arial" w:cs="Arial" w:eastAsia="Arial" w:hAnsi="Arial"/>
          <w:sz w:val="16"/>
          <w:szCs w:val="16"/>
          <w:color w:val="auto"/>
        </w:rPr>
      </w:pPr>
      <w:r>
        <w:rPr>
          <w:rFonts w:ascii="Arial" w:cs="Arial" w:eastAsia="Arial" w:hAnsi="Arial"/>
          <w:sz w:val="16"/>
          <w:szCs w:val="16"/>
          <w:color w:val="auto"/>
        </w:rPr>
        <w:t>the vote of a majority of the Company’s Directors who are not parties to this Agreement or “interested persons” (as such term is defined in Section 2(a)(19) of the Investment Company Act) of any such party, in accordance with the requirements of the Investment Company Act.</w:t>
      </w:r>
    </w:p>
    <w:p>
      <w:pPr>
        <w:spacing w:after="0" w:line="123" w:lineRule="exact"/>
        <w:rPr>
          <w:rFonts w:ascii="Arial" w:cs="Arial" w:eastAsia="Arial" w:hAnsi="Arial"/>
          <w:sz w:val="16"/>
          <w:szCs w:val="16"/>
          <w:color w:val="auto"/>
        </w:rPr>
      </w:pPr>
    </w:p>
    <w:p>
      <w:pPr>
        <w:ind w:firstLine="1305"/>
        <w:spacing w:after="0" w:line="277" w:lineRule="auto"/>
        <w:tabs>
          <w:tab w:leader="none" w:pos="1957"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Agreement may be terminated at any time, without the payment of any penalty, upon not more than 60 days’ written notice, by the vote of a majority of the outstanding voting securities of the Company, or by the vote of the Board or by the Administrator.</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167"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This Agreement may not be assigned by a party without the consent of the other party. The provisions of Section 5 of this Agreement shall remain in full force and effect, and the Administrator shall remain entitled to the benefits thereof, notwithstanding any termination of this Agreement.</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of this Agreement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This Agreement may be amended pursuant to a written instrument by mutual consent of the parties.</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Agreement shall be construed in accordance with the laws of the State of New York and the applicable provisions of the Investment Company Act. To the extent the applicable laws of the State of New York, or any of the provisions herein, conflict with the provisions of the Investment Company Act, the latter shall control.</w:t>
      </w:r>
    </w:p>
    <w:p>
      <w:pPr>
        <w:spacing w:after="0" w:line="177"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Agreement contains the entire agreement of the parties and supersedes all prior agreements, understandings and arrangements with respect to the subject matter hereof.</w:t>
      </w:r>
    </w:p>
    <w:p>
      <w:pPr>
        <w:spacing w:after="0" w:line="166"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notice under this Agreement shall be given in writing, addressed and delivered or mailed, postage prepaid, to the other party at its principal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office.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IN WITNESS WHEREOF, the parties hereto have executed and delivered this Agreement as of the date first above written.</w:t>
      </w:r>
    </w:p>
    <w:p>
      <w:pPr>
        <w:spacing w:after="0" w:line="22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GSV CAPITAL CORP.</w:t>
      </w:r>
    </w:p>
    <w:p>
      <w:pPr>
        <w:spacing w:after="0" w:line="22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Michael T. Moe</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GSV CAPITAL SERVICE COMPANY, LLC</w:t>
      </w:r>
    </w:p>
    <w:p>
      <w:pPr>
        <w:spacing w:after="0" w:line="22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Michael T. Moe</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[Second Amended and Restated Administration Agreement]</w:t>
      </w:r>
    </w:p>
    <w:p>
      <w:pPr>
        <w:spacing w:after="0" w:line="200" w:lineRule="exact"/>
        <w:rPr>
          <w:sz w:val="20"/>
          <w:szCs w:val="20"/>
          <w:color w:val="auto"/>
        </w:rPr>
      </w:pPr>
    </w:p>
    <w:p>
      <w:pPr>
        <w:spacing w:after="0" w:line="24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78" w:name="page79"/>
    <w:bookmarkEnd w:id="78"/>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39"/>
        <w:spacing w:after="0" w:line="289" w:lineRule="auto"/>
        <w:rPr>
          <w:sz w:val="20"/>
          <w:szCs w:val="20"/>
          <w:color w:val="auto"/>
        </w:rPr>
      </w:pPr>
      <w:r>
        <w:rPr>
          <w:rFonts w:ascii="Arial" w:cs="Arial" w:eastAsia="Arial" w:hAnsi="Arial"/>
          <w:sz w:val="17"/>
          <w:szCs w:val="17"/>
          <w:b w:val="1"/>
          <w:bCs w:val="1"/>
          <w:color w:val="auto"/>
        </w:rPr>
        <w:t>Certification of Chief Executive Officer of GSV Capital Corp. pursuant to Rule 13a-14(a) under the Exchange Act, as adopted pursuant to Section 302 of the Sarbanes-Oxley Act of 2002</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Michael T. Moe, certify that:</w:t>
      </w:r>
    </w:p>
    <w:p>
      <w:pPr>
        <w:spacing w:after="0" w:line="117" w:lineRule="exact"/>
        <w:rPr>
          <w:sz w:val="20"/>
          <w:szCs w:val="20"/>
          <w:color w:val="auto"/>
        </w:rPr>
      </w:pPr>
    </w:p>
    <w:p>
      <w:pPr>
        <w:ind w:left="540" w:hanging="26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ind w:left="540" w:right="699" w:hanging="262"/>
        <w:spacing w:after="0" w:line="264"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539" w:hanging="262"/>
        <w:spacing w:after="0" w:line="264"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540" w:right="879" w:hanging="262"/>
        <w:spacing w:after="0" w:line="286" w:lineRule="auto"/>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820" w:right="819" w:hanging="272"/>
        <w:spacing w:after="0" w:line="259" w:lineRule="auto"/>
        <w:tabs>
          <w:tab w:leader="none" w:pos="8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739" w:hanging="272"/>
        <w:spacing w:after="0" w:line="312" w:lineRule="auto"/>
        <w:tabs>
          <w:tab w:leader="none" w:pos="8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820" w:right="599" w:hanging="272"/>
        <w:spacing w:after="0" w:line="264" w:lineRule="auto"/>
        <w:tabs>
          <w:tab w:leader="none" w:pos="8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820" w:right="719" w:hanging="272"/>
        <w:spacing w:after="0" w:line="259" w:lineRule="auto"/>
        <w:tabs>
          <w:tab w:leader="none" w:pos="8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40" w:right="819" w:hanging="262"/>
        <w:spacing w:after="0" w:line="264"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20" w:right="579" w:hanging="272"/>
        <w:spacing w:after="0" w:line="264" w:lineRule="auto"/>
        <w:tabs>
          <w:tab w:leader="none" w:pos="8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959" w:hanging="272"/>
        <w:spacing w:after="0" w:line="277" w:lineRule="auto"/>
        <w:tabs>
          <w:tab w:leader="none" w:pos="8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August,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4445</wp:posOffset>
            </wp:positionV>
            <wp:extent cx="133794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Michael T. Moe</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79" w:name="page80"/>
    <w:bookmarkEnd w:id="79"/>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39"/>
        <w:spacing w:after="0" w:line="289" w:lineRule="auto"/>
        <w:rPr>
          <w:sz w:val="20"/>
          <w:szCs w:val="20"/>
          <w:color w:val="auto"/>
        </w:rPr>
      </w:pPr>
      <w:r>
        <w:rPr>
          <w:rFonts w:ascii="Arial" w:cs="Arial" w:eastAsia="Arial" w:hAnsi="Arial"/>
          <w:sz w:val="17"/>
          <w:szCs w:val="17"/>
          <w:b w:val="1"/>
          <w:bCs w:val="1"/>
          <w:color w:val="auto"/>
        </w:rPr>
        <w:t>Certification of Chief Financial Officer of GSV Capital Corp. pursuant to Rule 13a-14(a) under the Exchange Act, as adopted pursuant to Section 302 of the Sarbanes-Oxley Act of 2002</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William Tanona, certify that:</w:t>
      </w:r>
    </w:p>
    <w:p>
      <w:pPr>
        <w:spacing w:after="0" w:line="117" w:lineRule="exact"/>
        <w:rPr>
          <w:sz w:val="20"/>
          <w:szCs w:val="20"/>
          <w:color w:val="auto"/>
        </w:rPr>
      </w:pPr>
    </w:p>
    <w:p>
      <w:pPr>
        <w:ind w:left="540" w:hanging="26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ind w:left="540" w:right="699" w:hanging="262"/>
        <w:spacing w:after="0" w:line="264"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539" w:hanging="262"/>
        <w:spacing w:after="0" w:line="264"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540" w:right="879" w:hanging="262"/>
        <w:spacing w:after="0" w:line="286" w:lineRule="auto"/>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820" w:right="819" w:hanging="272"/>
        <w:spacing w:after="0" w:line="259" w:lineRule="auto"/>
        <w:tabs>
          <w:tab w:leader="none" w:pos="8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739" w:hanging="272"/>
        <w:spacing w:after="0" w:line="312" w:lineRule="auto"/>
        <w:tabs>
          <w:tab w:leader="none" w:pos="8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820" w:right="599" w:hanging="272"/>
        <w:spacing w:after="0" w:line="264" w:lineRule="auto"/>
        <w:tabs>
          <w:tab w:leader="none" w:pos="8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820" w:right="719" w:hanging="272"/>
        <w:spacing w:after="0" w:line="259" w:lineRule="auto"/>
        <w:tabs>
          <w:tab w:leader="none" w:pos="8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40" w:right="819" w:hanging="262"/>
        <w:spacing w:after="0" w:line="264"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20" w:right="579" w:hanging="272"/>
        <w:spacing w:after="0" w:line="264" w:lineRule="auto"/>
        <w:tabs>
          <w:tab w:leader="none" w:pos="8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959" w:hanging="272"/>
        <w:spacing w:after="0" w:line="277" w:lineRule="auto"/>
        <w:tabs>
          <w:tab w:leader="none" w:pos="8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August,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5080</wp:posOffset>
            </wp:positionV>
            <wp:extent cx="133794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William Tanona</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80" w:name="page81"/>
    <w:bookmarkEnd w:id="80"/>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ind w:right="599" w:firstLine="270"/>
        <w:spacing w:after="0" w:line="264" w:lineRule="auto"/>
        <w:rPr>
          <w:sz w:val="20"/>
          <w:szCs w:val="20"/>
          <w:color w:val="auto"/>
        </w:rPr>
      </w:pPr>
      <w:r>
        <w:rPr>
          <w:rFonts w:ascii="Arial" w:cs="Arial" w:eastAsia="Arial" w:hAnsi="Arial"/>
          <w:sz w:val="18"/>
          <w:szCs w:val="18"/>
          <w:color w:val="auto"/>
        </w:rPr>
        <w:t>In connection with the quarterly report on Form 10-Q for the quarter ended June 30, 2017 (the “Report”) of GSV Capital Corp. (the “Registrant”), as filed with the Securities and Exchange Commission on the date hereof, I, Michael T. Moe, the Chief Executive Officer of the Registrant, hereby certify, to the best of my knowledge, that:</w:t>
      </w:r>
    </w:p>
    <w:p>
      <w:pPr>
        <w:spacing w:after="0" w:line="73" w:lineRule="exact"/>
        <w:rPr>
          <w:sz w:val="20"/>
          <w:szCs w:val="20"/>
          <w:color w:val="auto"/>
        </w:rPr>
      </w:pPr>
    </w:p>
    <w:p>
      <w:pPr>
        <w:ind w:left="500" w:right="1079" w:hanging="262"/>
        <w:spacing w:after="0" w:line="277"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T. Moe</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81" w:name="page82"/>
    <w:bookmarkEnd w:id="81"/>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In connection with the quarterly report on Form 10-Q for the quarter ended June 30, 2017 (the “Report”) of GSV Capital Corp. (the “Registrant”), as filed with the Securities and Exchange Commission on the date hereof, I, William Tanona, the Chief Financial Officer of the Registrant, hereby certify, to the best of my knowledge, that:</w:t>
      </w:r>
    </w:p>
    <w:p>
      <w:pPr>
        <w:spacing w:after="0" w:line="73" w:lineRule="exact"/>
        <w:rPr>
          <w:sz w:val="20"/>
          <w:szCs w:val="20"/>
          <w:color w:val="auto"/>
        </w:rPr>
      </w:pPr>
    </w:p>
    <w:p>
      <w:pPr>
        <w:ind w:left="500" w:right="1079" w:hanging="262"/>
        <w:spacing w:after="0" w:line="277"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William Tanona</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x"/>
      <w:numFmt w:val="bullet"/>
      <w:start w:val="1"/>
    </w:lvl>
  </w:abstractNum>
  <w:abstractNum w:abstractNumId="1">
    <w:nsid w:val="8138641"/>
    <w:multiLevelType w:val="hybridMultilevel"/>
    <w:lvl w:ilvl="0">
      <w:lvlJc w:val="left"/>
      <w:lvlText w:val="o"/>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2"/>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9"/>
    </w:lvl>
  </w:abstractNum>
  <w:abstractNum w:abstractNumId="13">
    <w:nsid w:val="5072367"/>
    <w:multiLevelType w:val="hybridMultilevel"/>
    <w:lvl w:ilvl="0">
      <w:lvlJc w:val="left"/>
      <w:lvlText w:val="(%1)"/>
      <w:numFmt w:val="decimal"/>
      <w:start w:val="16"/>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4"/>
    </w:lvl>
  </w:abstractNum>
  <w:abstractNum w:abstractNumId="41">
    <w:nsid w:val="749ABB43"/>
    <w:multiLevelType w:val="hybridMultilevel"/>
    <w:lvl w:ilvl="0">
      <w:lvlJc w:val="left"/>
      <w:lvlText w:val="%1."/>
      <w:numFmt w:val="decimal"/>
      <w:start w:val="1"/>
    </w:lvl>
    <w:lvl w:ilvl="1">
      <w:lvlJc w:val="left"/>
      <w:lvlText w:val="(%2)"/>
      <w:numFmt w:val="lowerLetter"/>
      <w:start w:val="1"/>
    </w:lvl>
  </w:abstractNum>
  <w:abstractNum w:abstractNumId="42">
    <w:nsid w:val="3DC240FB"/>
    <w:multiLevelType w:val="hybridMultilevel"/>
    <w:lvl w:ilvl="0">
      <w:lvlJc w:val="left"/>
      <w:lvlText w:val="%1"/>
      <w:numFmt w:val="decimal"/>
      <w:start w:val="1"/>
    </w:lvl>
    <w:lvl w:ilvl="1">
      <w:lvlJc w:val="left"/>
      <w:lvlText w:val="(%2)"/>
      <w:numFmt w:val="lowerLetter"/>
      <w:start w:val="2"/>
    </w:lvl>
  </w:abstractNum>
  <w:abstractNum w:abstractNumId="43">
    <w:nsid w:val="1BA026FA"/>
    <w:multiLevelType w:val="hybridMultilevel"/>
    <w:lvl w:ilvl="0">
      <w:lvlJc w:val="left"/>
      <w:lvlText w:val="%1."/>
      <w:numFmt w:val="decimal"/>
      <w:start w:val="2"/>
    </w:lvl>
    <w:lvl w:ilvl="1">
      <w:lvlJc w:val="left"/>
      <w:lvlText w:val="%2"/>
      <w:numFmt w:val="lowerLetter"/>
      <w:start w:val="1"/>
    </w:lvl>
  </w:abstractNum>
  <w:abstractNum w:abstractNumId="44">
    <w:nsid w:val="79A1DEAA"/>
    <w:multiLevelType w:val="hybridMultilevel"/>
    <w:lvl w:ilvl="0">
      <w:lvlJc w:val="left"/>
      <w:lvlText w:val="%1."/>
      <w:numFmt w:val="decimal"/>
      <w:start w:val="3"/>
    </w:lvl>
  </w:abstractNum>
  <w:abstractNum w:abstractNumId="45">
    <w:nsid w:val="75C6C33A"/>
    <w:multiLevelType w:val="hybridMultilevel"/>
    <w:lvl w:ilvl="0">
      <w:lvlJc w:val="left"/>
      <w:lvlText w:val="%1."/>
      <w:numFmt w:val="decimal"/>
      <w:start w:val="4"/>
    </w:lvl>
  </w:abstractNum>
  <w:abstractNum w:abstractNumId="46">
    <w:nsid w:val="12E685FB"/>
    <w:multiLevelType w:val="hybridMultilevel"/>
    <w:lvl w:ilvl="0">
      <w:lvlJc w:val="left"/>
      <w:lvlText w:val="%1."/>
      <w:numFmt w:val="decimal"/>
      <w:start w:val="5"/>
    </w:lvl>
  </w:abstractNum>
  <w:abstractNum w:abstractNumId="47">
    <w:nsid w:val="70C6A529"/>
    <w:multiLevelType w:val="hybridMultilevel"/>
    <w:lvl w:ilvl="0">
      <w:lvlJc w:val="left"/>
      <w:lvlText w:val="%1."/>
      <w:numFmt w:val="decimal"/>
      <w:start w:val="6"/>
    </w:lvl>
  </w:abstractNum>
  <w:abstractNum w:abstractNumId="48">
    <w:nsid w:val="520EEDD1"/>
    <w:multiLevelType w:val="hybridMultilevel"/>
    <w:lvl w:ilvl="0">
      <w:lvlJc w:val="left"/>
      <w:lvlText w:val="%1."/>
      <w:numFmt w:val="decimal"/>
      <w:start w:val="7"/>
    </w:lvl>
    <w:lvl w:ilvl="1">
      <w:lvlJc w:val="left"/>
      <w:lvlText w:val="(%2)"/>
      <w:numFmt w:val="lowerLetter"/>
      <w:start w:val="1"/>
    </w:lvl>
  </w:abstractNum>
  <w:abstractNum w:abstractNumId="49">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0">
    <w:nsid w:val="4F4EF00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1">
    <w:nsid w:val="23F9C13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2">
    <w:nsid w:val="649BB77C"/>
    <w:multiLevelType w:val="hybridMultilevel"/>
    <w:lvl w:ilvl="0">
      <w:lvlJc w:val="left"/>
      <w:lvlText w:val="%1."/>
      <w:numFmt w:val="decimal"/>
      <w:start w:val="10"/>
    </w:lvl>
  </w:abstractNum>
  <w:abstractNum w:abstractNumId="53">
    <w:nsid w:val="275AC794"/>
    <w:multiLevelType w:val="hybridMultilevel"/>
    <w:lvl w:ilvl="0">
      <w:lvlJc w:val="left"/>
      <w:lvlText w:val="%1."/>
      <w:numFmt w:val="decimal"/>
      <w:start w:val="1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2019-12-29T05:17:57Z</dcterms:created>
  <dcterms:modified xsi:type="dcterms:W3CDTF">2019-12-29T05:17:57Z</dcterms:modified>
</cp:coreProperties>
</file>