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120"/>
        <w:spacing w:after="0"/>
        <w:tabs>
          <w:tab w:leader="none" w:pos="160" w:val="left"/>
        </w:tabs>
        <w:rPr>
          <w:sz w:val="20"/>
          <w:szCs w:val="20"/>
          <w:color w:val="auto"/>
        </w:rPr>
      </w:pPr>
      <w:r>
        <w:rPr>
          <w:rFonts w:ascii="Times New Roman" w:cs="Times New Roman" w:eastAsia="Times New Roman" w:hAnsi="Times New Roman"/>
          <w:sz w:val="18"/>
          <w:szCs w:val="18"/>
          <w:color w:val="auto"/>
        </w:rPr>
        <w:t>the Securities Exchange Act of 1934 (Amendment No.</w:t>
        <w:tab/>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SuRo Capital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640 Fifth Avenue, 12th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SuRo Capital Corp. (the “Company”) to be held on June 10, 2026 at 9:00 a.m., Eastern Time, at the office of Eversheds Sutherland (US) LLP, The Grace Building, 1114 Sixth Avenue, 40th Floor, New York, New York 10036.</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notice of annual meeting and the proxy statement (the “Proxy Statement”) accompanying this letter provide an outline of the business to be conducted at the Annual Meeting. At the Annual Meeting, you will be asked to: (i) re-elect two members of the board of directors of the Company (the “Board”), each of whom will serve for a term of three years and until their respective successors are duly elected and qualified; (ii) provide an advisory vote to approve the compensation of the Company’s named executive officers (the “Advisory Vote on Executive Compensation”); (iii) ratify the selection of CBIZ CPAs P.C. to serve as the Company’s independent registered public accounting firm for the fiscal year ending December 31, 2026; and</w:t>
      </w:r>
    </w:p>
    <w:p>
      <w:pPr>
        <w:spacing w:after="0" w:line="3" w:lineRule="exact"/>
        <w:rPr>
          <w:sz w:val="20"/>
          <w:szCs w:val="20"/>
          <w:color w:val="auto"/>
        </w:rPr>
      </w:pPr>
    </w:p>
    <w:p>
      <w:pPr>
        <w:ind w:firstLine="8"/>
        <w:spacing w:after="0" w:line="260" w:lineRule="auto"/>
        <w:tabs>
          <w:tab w:leader="none" w:pos="31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as may properly come before the Annual Meeting or any postponement or adjournment thereof. Details of the business to be conducted at the Annual Meeting are set forth in the accompanying Notice of 2026 Annual Meeting of Stockholders and Proxy Statement.</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unanimously recommends that you vote “FOR” each of the proposals to be considered and voted on at the Annual Meeting.</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about April 30, 2026, the Company intends to mail to its stockholders a copy of the Proxy Statement and the annual report on Form 10-K for the year ended December 31, 2025 (the “Annual Report”). These materials provide important information concerning the matters to be voted on at the Annual Meeting.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It is important that your shares of the Company’s common stock be represented at the Annual Meeting. If you are unable to attend the Annual Meeting in person, I urge you to complete, date and sign the enclosed proxy card and promptly return it in the envelope provided, or vote your shares by telephone or via the internet. You will be able to vote electronically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or by calling 1-800-690-6903. Your vote and participation in the governance of the Company are very important.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40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Mark D. Klein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640 Fifth Avenue, 12th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931-6331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10,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SuRo Capital Corp.:</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(the “Annual Meeting”) of SuRo Capital Corp. (the “Company”) will be held on June 10, 2026 at 9:00 a.m., Eastern Time, at the office of Eversheds Sutherland (US) LLP, The Grace Building, 1114 Sixth Avenue, 40th Floor, New York, New York 10036.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252" w:lineRule="exact"/>
        <w:rPr>
          <w:sz w:val="20"/>
          <w:szCs w:val="20"/>
          <w:color w:val="auto"/>
        </w:rPr>
      </w:pPr>
    </w:p>
    <w:p>
      <w:pPr>
        <w:ind w:left="1060" w:right="20" w:hanging="350"/>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two members of the board of directors of the Company (the “Board”), each of whom will serve for a term of three years and until their successors are duly elected and qualified;</w:t>
      </w:r>
    </w:p>
    <w:p>
      <w:pPr>
        <w:spacing w:after="0" w:line="215"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 advisory vote on executive compensation;</w:t>
      </w:r>
    </w:p>
    <w:p>
      <w:pPr>
        <w:spacing w:after="0" w:line="279" w:lineRule="exact"/>
        <w:rPr>
          <w:rFonts w:ascii="Times New Roman" w:cs="Times New Roman" w:eastAsia="Times New Roman" w:hAnsi="Times New Roman"/>
          <w:sz w:val="18"/>
          <w:szCs w:val="18"/>
          <w:color w:val="auto"/>
        </w:rPr>
      </w:pPr>
    </w:p>
    <w:p>
      <w:pPr>
        <w:ind w:left="1060" w:right="40" w:hanging="350"/>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CBIZ CPAs P.C. to serve as the Company’s independent registered public accounting firm for the fiscal year ending December 31, 2026; and</w:t>
      </w:r>
    </w:p>
    <w:p>
      <w:pPr>
        <w:spacing w:after="0" w:line="215"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thereof.</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You have the right to receive notice of and to vote at the Annual Meeting if you were a stockholder of record at the close of business on April 27, 2026 (the “Record Date”). Regardless of whether you expect to be present in person at the Annual Meeting, please sign the enclosed proxy and return it promptly in the self-addressed envelope provided, or register your vote by telephone or through the internet. You must have your control number, found on your proxy card, in order to vote. Prior to the Annual Meeting, you may vote your shares electronically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or by calling 1-800-690-6903. Instructions are shown on the proxy card. In the event there are not sufficient votes for a quorum or to approve or ratify any of the foregoing proposals at the time of the Annual Meeting, the Annual Meeting may be adjourned in order to permit further solicitation of proxies by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June 10, 2026.</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proxy statement (the “Proxy Statement”) and our annual report on Form 10-K for the fiscal year ended December 31, 2025 (the “Annual Report”) are also available on the internet at </w:t>
      </w:r>
      <w:r>
        <w:rPr>
          <w:rFonts w:ascii="Times New Roman" w:cs="Times New Roman" w:eastAsia="Times New Roman" w:hAnsi="Times New Roman"/>
          <w:sz w:val="18"/>
          <w:szCs w:val="18"/>
          <w:i w:val="1"/>
          <w:iCs w:val="1"/>
          <w:color w:val="auto"/>
        </w:rPr>
        <w:t>https://investors.surocap.com/financial-information/sec-filings.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applicable to the Annual Meeting may be found in the Proxy Statement and/or accompanying proxy card:</w:t>
      </w:r>
    </w:p>
    <w:p>
      <w:pPr>
        <w:spacing w:after="0" w:line="252" w:lineRule="exact"/>
        <w:rPr>
          <w:sz w:val="20"/>
          <w:szCs w:val="20"/>
          <w:color w:val="auto"/>
        </w:rPr>
      </w:pPr>
    </w:p>
    <w:p>
      <w:pPr>
        <w:ind w:left="1060" w:hanging="350"/>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location of the meeting;</w:t>
      </w:r>
    </w:p>
    <w:p>
      <w:pPr>
        <w:spacing w:after="0" w:line="279" w:lineRule="exact"/>
        <w:rPr>
          <w:rFonts w:ascii="Times New Roman" w:cs="Times New Roman" w:eastAsia="Times New Roman" w:hAnsi="Times New Roman"/>
          <w:sz w:val="18"/>
          <w:szCs w:val="18"/>
          <w:color w:val="auto"/>
        </w:rPr>
      </w:pPr>
    </w:p>
    <w:p>
      <w:pPr>
        <w:ind w:left="5580" w:right="3380" w:hanging="4870"/>
        <w:spacing w:after="0" w:line="563" w:lineRule="auto"/>
        <w:tabs>
          <w:tab w:leader="none" w:pos="10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our recommendations regarding those matters;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60" w:hanging="350"/>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your proxy card; and</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attending the meeting and voting in person.</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are unable to participate in the meeting, we urge you to complete, date and sign the enclosed proxy card and promptly return it in the envelope provided, or authorize a proxy vote by telephone or through the internet in accordance with the instructions printed on the proxy card.</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40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Allison Green</w:t>
      </w:r>
    </w:p>
    <w:p>
      <w:pPr>
        <w:spacing w:after="0" w:line="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This is an important meeting. To ensure proper representation at the Annual Meeting, stockholders are requested to promptly authorize a proxy vote by telephone or through the internet, or execute and return promptly the accompanying proxy card, which is being solicited by the Board. You may authorize a proxy by telephone or through the internet by following the instructions on the proxy card. You may execute the proxy card using the methods described in the proxy card. Executing the proxy card is important to ensure a quorum at the Annual Meeting. Proxies may be revoked at any time before they are exercised by submitting a written notice of revocation or a subsequently executed proxy, or by participating in the Annual Meeting and voting.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80" w:type="dxa"/>
            <w:vAlign w:val="bottom"/>
            <w:gridSpan w:val="36"/>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PROXY STATEMENT FOR 2026 ANNUAL MEETING OF STOCKHOLDERS</w:t>
            </w:r>
          </w:p>
        </w:tc>
        <w:tc>
          <w:tcPr>
            <w:tcW w:w="640" w:type="dxa"/>
            <w:vAlign w:val="bottom"/>
          </w:tcPr>
          <w:p>
            <w:pPr>
              <w:spacing w:after="0"/>
              <w:rPr>
                <w:sz w:val="20"/>
                <w:szCs w:val="20"/>
                <w:color w:val="auto"/>
              </w:rPr>
            </w:pPr>
          </w:p>
        </w:tc>
      </w:tr>
      <w:tr>
        <w:trPr>
          <w:trHeight w:val="392"/>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00" w:type="dxa"/>
            <w:vAlign w:val="bottom"/>
            <w:gridSpan w:val="12"/>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53"/>
        </w:trPr>
        <w:tc>
          <w:tcPr>
            <w:tcW w:w="4640" w:type="dxa"/>
            <w:vAlign w:val="bottom"/>
            <w:tcBorders>
              <w:bottom w:val="single" w:sz="8" w:color="CCEEFF"/>
            </w:tcBorders>
            <w:gridSpan w:val="46"/>
          </w:tcPr>
          <w:p>
            <w:pPr>
              <w:spacing w:after="0"/>
              <w:rPr>
                <w:sz w:val="24"/>
                <w:szCs w:val="24"/>
                <w:color w:val="auto"/>
              </w:rPr>
            </w:pPr>
          </w:p>
        </w:tc>
        <w:tc>
          <w:tcPr>
            <w:tcW w:w="1920" w:type="dxa"/>
            <w:vAlign w:val="bottom"/>
            <w:tcBorders>
              <w:top w:val="single" w:sz="8" w:color="auto"/>
              <w:bottom w:val="single" w:sz="8" w:color="CCEEFF"/>
            </w:tcBorders>
            <w:gridSpan w:val="8"/>
          </w:tcPr>
          <w:p>
            <w:pPr>
              <w:spacing w:after="0"/>
              <w:rPr>
                <w:sz w:val="24"/>
                <w:szCs w:val="24"/>
                <w:color w:val="auto"/>
              </w:rPr>
            </w:pPr>
          </w:p>
        </w:tc>
        <w:tc>
          <w:tcPr>
            <w:tcW w:w="4040" w:type="dxa"/>
            <w:vAlign w:val="bottom"/>
            <w:tcBorders>
              <w:bottom w:val="single" w:sz="8" w:color="CCEEFF"/>
            </w:tcBorders>
            <w:gridSpan w:val="3"/>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9"/>
        </w:trPr>
        <w:tc>
          <w:tcPr>
            <w:tcW w:w="10600" w:type="dxa"/>
            <w:vAlign w:val="bottom"/>
            <w:gridSpan w:val="57"/>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NOTICE OF ANNUAL MEETING OF STOCKHOLDERS TO BE HELD ON JUNE 10, 2026</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6880" w:type="dxa"/>
            <w:vAlign w:val="bottom"/>
            <w:tcBorders>
              <w:top w:val="single" w:sz="8" w:color="0000EE"/>
            </w:tcBorders>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PROXY STATEMENT</w:t>
            </w:r>
          </w:p>
        </w:tc>
        <w:tc>
          <w:tcPr>
            <w:tcW w:w="372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700" w:type="dxa"/>
            <w:vAlign w:val="bottom"/>
            <w:tcBorders>
              <w:top w:val="single" w:sz="8" w:color="0000EE"/>
            </w:tcBorders>
            <w:gridSpan w:val="11"/>
          </w:tcPr>
          <w:p>
            <w:pPr>
              <w:spacing w:after="0" w:line="20" w:lineRule="exact"/>
              <w:rPr>
                <w:sz w:val="1"/>
                <w:szCs w:val="1"/>
                <w:color w:val="auto"/>
              </w:rPr>
            </w:pPr>
          </w:p>
        </w:tc>
        <w:tc>
          <w:tcPr>
            <w:tcW w:w="9540" w:type="dxa"/>
            <w:vAlign w:val="bottom"/>
            <w:gridSpan w:val="47"/>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20" w:type="dxa"/>
            <w:vAlign w:val="bottom"/>
            <w:gridSpan w:val="5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Purpose of Meeting</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Record Date</w:t>
            </w:r>
          </w:p>
        </w:tc>
        <w:tc>
          <w:tcPr>
            <w:tcW w:w="9000" w:type="dxa"/>
            <w:vAlign w:val="bottom"/>
            <w:tcBorders>
              <w:top w:val="single" w:sz="8" w:color="CCEEFF"/>
            </w:tcBorders>
            <w:gridSpan w:val="4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180" w:type="dxa"/>
            <w:vAlign w:val="bottom"/>
            <w:gridSpan w:val="2"/>
          </w:tcPr>
          <w:p>
            <w:pPr>
              <w:spacing w:after="0" w:line="20" w:lineRule="exact"/>
              <w:rPr>
                <w:sz w:val="1"/>
                <w:szCs w:val="1"/>
                <w:color w:val="auto"/>
              </w:rPr>
            </w:pPr>
          </w:p>
        </w:tc>
        <w:tc>
          <w:tcPr>
            <w:tcW w:w="920" w:type="dxa"/>
            <w:vAlign w:val="bottom"/>
            <w:tcBorders>
              <w:top w:val="single" w:sz="8" w:color="0000EE"/>
            </w:tcBorders>
            <w:gridSpan w:val="3"/>
          </w:tcPr>
          <w:p>
            <w:pPr>
              <w:spacing w:after="0" w:line="20" w:lineRule="exact"/>
              <w:rPr>
                <w:sz w:val="1"/>
                <w:szCs w:val="1"/>
                <w:color w:val="auto"/>
              </w:rPr>
            </w:pPr>
          </w:p>
        </w:tc>
        <w:tc>
          <w:tcPr>
            <w:tcW w:w="10140" w:type="dxa"/>
            <w:vAlign w:val="bottom"/>
            <w:gridSpan w:val="53"/>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Quorum Required</w:t>
            </w:r>
          </w:p>
        </w:tc>
        <w:tc>
          <w:tcPr>
            <w:tcW w:w="9100" w:type="dxa"/>
            <w:vAlign w:val="bottom"/>
            <w:tcBorders>
              <w:bottom w:val="single" w:sz="8" w:color="CCEEFF"/>
            </w:tcBorders>
            <w:gridSpan w:val="4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5"/>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Broker Non-Votes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180" w:type="dxa"/>
            <w:vAlign w:val="bottom"/>
            <w:gridSpan w:val="2"/>
          </w:tcPr>
          <w:p>
            <w:pPr>
              <w:spacing w:after="0" w:line="20" w:lineRule="exact"/>
              <w:rPr>
                <w:sz w:val="1"/>
                <w:szCs w:val="1"/>
                <w:color w:val="auto"/>
              </w:rPr>
            </w:pPr>
          </w:p>
        </w:tc>
        <w:tc>
          <w:tcPr>
            <w:tcW w:w="1320" w:type="dxa"/>
            <w:vAlign w:val="bottom"/>
            <w:tcBorders>
              <w:top w:val="single" w:sz="8" w:color="0000EE"/>
            </w:tcBorders>
            <w:gridSpan w:val="6"/>
          </w:tcPr>
          <w:p>
            <w:pPr>
              <w:spacing w:after="0" w:line="20" w:lineRule="exact"/>
              <w:rPr>
                <w:sz w:val="1"/>
                <w:szCs w:val="1"/>
                <w:color w:val="auto"/>
              </w:rPr>
            </w:pPr>
          </w:p>
        </w:tc>
        <w:tc>
          <w:tcPr>
            <w:tcW w:w="9740" w:type="dxa"/>
            <w:vAlign w:val="bottom"/>
            <w:gridSpan w:val="50"/>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Vote Required</w:t>
            </w:r>
          </w:p>
        </w:tc>
        <w:tc>
          <w:tcPr>
            <w:tcW w:w="9380" w:type="dxa"/>
            <w:vAlign w:val="bottom"/>
            <w:tcBorders>
              <w:bottom w:val="single" w:sz="8" w:color="CCEEFF"/>
            </w:tcBorders>
            <w:gridSpan w:val="5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Information Regarding This Solicitation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180" w:type="dxa"/>
            <w:vAlign w:val="bottom"/>
            <w:gridSpan w:val="2"/>
          </w:tcPr>
          <w:p>
            <w:pPr>
              <w:spacing w:after="0" w:line="20" w:lineRule="exact"/>
              <w:rPr>
                <w:sz w:val="1"/>
                <w:szCs w:val="1"/>
                <w:color w:val="auto"/>
              </w:rPr>
            </w:pPr>
          </w:p>
        </w:tc>
        <w:tc>
          <w:tcPr>
            <w:tcW w:w="2900" w:type="dxa"/>
            <w:vAlign w:val="bottom"/>
            <w:tcBorders>
              <w:top w:val="single" w:sz="8" w:color="0000EE"/>
            </w:tcBorders>
            <w:gridSpan w:val="29"/>
          </w:tcPr>
          <w:p>
            <w:pPr>
              <w:spacing w:after="0" w:line="20" w:lineRule="exact"/>
              <w:rPr>
                <w:sz w:val="1"/>
                <w:szCs w:val="1"/>
                <w:color w:val="auto"/>
              </w:rPr>
            </w:pPr>
          </w:p>
        </w:tc>
        <w:tc>
          <w:tcPr>
            <w:tcW w:w="8160" w:type="dxa"/>
            <w:vAlign w:val="bottom"/>
            <w:gridSpan w:val="27"/>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0000EE"/>
            </w:tcBorders>
            <w:gridSpan w:val="3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Notice of Internet Availability of Proxy Materials</w:t>
            </w:r>
          </w:p>
        </w:tc>
        <w:tc>
          <w:tcPr>
            <w:tcW w:w="684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Electronic Delivery of Proxy Materials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180" w:type="dxa"/>
            <w:vAlign w:val="bottom"/>
            <w:gridSpan w:val="2"/>
          </w:tcPr>
          <w:p>
            <w:pPr>
              <w:spacing w:after="0" w:line="20" w:lineRule="exact"/>
              <w:rPr>
                <w:sz w:val="1"/>
                <w:szCs w:val="1"/>
                <w:color w:val="auto"/>
              </w:rPr>
            </w:pPr>
          </w:p>
        </w:tc>
        <w:tc>
          <w:tcPr>
            <w:tcW w:w="2820" w:type="dxa"/>
            <w:vAlign w:val="bottom"/>
            <w:tcBorders>
              <w:top w:val="single" w:sz="8" w:color="0000EE"/>
            </w:tcBorders>
            <w:gridSpan w:val="28"/>
          </w:tcPr>
          <w:p>
            <w:pPr>
              <w:spacing w:after="0" w:line="20" w:lineRule="exact"/>
              <w:rPr>
                <w:sz w:val="1"/>
                <w:szCs w:val="1"/>
                <w:color w:val="auto"/>
              </w:rPr>
            </w:pPr>
          </w:p>
        </w:tc>
        <w:tc>
          <w:tcPr>
            <w:tcW w:w="8240" w:type="dxa"/>
            <w:vAlign w:val="bottom"/>
            <w:gridSpan w:val="28"/>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20" w:type="dxa"/>
            <w:vAlign w:val="bottom"/>
            <w:gridSpan w:val="5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880" w:type="dxa"/>
            <w:vAlign w:val="bottom"/>
            <w:tcBorders>
              <w:top w:val="single" w:sz="8" w:color="0000EE"/>
            </w:tcBorders>
            <w:gridSpan w:val="46"/>
          </w:tcPr>
          <w:p>
            <w:pPr>
              <w:spacing w:after="0" w:line="17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554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180" w:type="dxa"/>
            <w:vAlign w:val="bottom"/>
            <w:gridSpan w:val="2"/>
          </w:tcPr>
          <w:p>
            <w:pPr>
              <w:spacing w:after="0" w:line="20" w:lineRule="exact"/>
              <w:rPr>
                <w:sz w:val="1"/>
                <w:szCs w:val="1"/>
                <w:color w:val="auto"/>
              </w:rPr>
            </w:pPr>
          </w:p>
        </w:tc>
        <w:tc>
          <w:tcPr>
            <w:tcW w:w="2420" w:type="dxa"/>
            <w:vAlign w:val="bottom"/>
            <w:tcBorders>
              <w:top w:val="single" w:sz="8" w:color="0000EE"/>
            </w:tcBorders>
            <w:gridSpan w:val="20"/>
          </w:tcPr>
          <w:p>
            <w:pPr>
              <w:spacing w:after="0" w:line="20" w:lineRule="exact"/>
              <w:rPr>
                <w:sz w:val="1"/>
                <w:szCs w:val="1"/>
                <w:color w:val="auto"/>
              </w:rPr>
            </w:pPr>
          </w:p>
        </w:tc>
        <w:tc>
          <w:tcPr>
            <w:tcW w:w="8640" w:type="dxa"/>
            <w:vAlign w:val="bottom"/>
            <w:gridSpan w:val="36"/>
          </w:tcPr>
          <w:p>
            <w:pPr>
              <w:spacing w:after="0" w:line="20" w:lineRule="exact"/>
              <w:rPr>
                <w:sz w:val="1"/>
                <w:szCs w:val="1"/>
                <w:color w:val="auto"/>
              </w:rPr>
            </w:pPr>
          </w:p>
        </w:tc>
      </w:tr>
      <w:tr>
        <w:trPr>
          <w:trHeight w:val="176"/>
        </w:trPr>
        <w:tc>
          <w:tcPr>
            <w:tcW w:w="10600" w:type="dxa"/>
            <w:vAlign w:val="bottom"/>
            <w:gridSpan w:val="5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I: ELECTION OF DIRECTORS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3320" w:type="dxa"/>
            <w:vAlign w:val="bottom"/>
            <w:tcBorders>
              <w:top w:val="single" w:sz="8" w:color="0000EE"/>
            </w:tcBorders>
            <w:gridSpan w:val="35"/>
            <w:shd w:val="clear" w:color="auto" w:fill="CCEEFF"/>
          </w:tcPr>
          <w:p>
            <w:pPr>
              <w:spacing w:after="0" w:line="20" w:lineRule="exact"/>
              <w:rPr>
                <w:sz w:val="1"/>
                <w:szCs w:val="1"/>
                <w:color w:val="auto"/>
              </w:rPr>
            </w:pPr>
          </w:p>
        </w:tc>
        <w:tc>
          <w:tcPr>
            <w:tcW w:w="7920" w:type="dxa"/>
            <w:vAlign w:val="bottom"/>
            <w:tcBorders>
              <w:top w:val="single" w:sz="8" w:color="CCEEFF"/>
            </w:tcBorders>
            <w:gridSpan w:val="23"/>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the Director-Nominees and Directors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80" w:type="dxa"/>
            <w:vAlign w:val="bottom"/>
            <w:gridSpan w:val="2"/>
          </w:tcPr>
          <w:p>
            <w:pPr>
              <w:spacing w:after="0" w:line="20" w:lineRule="exact"/>
              <w:rPr>
                <w:sz w:val="1"/>
                <w:szCs w:val="1"/>
                <w:color w:val="auto"/>
              </w:rPr>
            </w:pPr>
          </w:p>
        </w:tc>
        <w:tc>
          <w:tcPr>
            <w:tcW w:w="4020" w:type="dxa"/>
            <w:vAlign w:val="bottom"/>
            <w:tcBorders>
              <w:top w:val="single" w:sz="8" w:color="0000EE"/>
            </w:tcBorders>
            <w:gridSpan w:val="40"/>
          </w:tcPr>
          <w:p>
            <w:pPr>
              <w:spacing w:after="0" w:line="20" w:lineRule="exact"/>
              <w:rPr>
                <w:sz w:val="1"/>
                <w:szCs w:val="1"/>
                <w:color w:val="auto"/>
              </w:rPr>
            </w:pPr>
          </w:p>
        </w:tc>
        <w:tc>
          <w:tcPr>
            <w:tcW w:w="7040" w:type="dxa"/>
            <w:vAlign w:val="bottom"/>
            <w:gridSpan w:val="16"/>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5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Interested Director</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180" w:type="dxa"/>
            <w:vAlign w:val="bottom"/>
            <w:tcBorders>
              <w:top w:val="single" w:sz="8" w:color="CCEEFF"/>
            </w:tcBorders>
            <w:gridSpan w:val="2"/>
            <w:shd w:val="clear" w:color="auto" w:fill="CCEEFF"/>
          </w:tcPr>
          <w:p>
            <w:pPr>
              <w:spacing w:after="0" w:line="20" w:lineRule="exact"/>
              <w:rPr>
                <w:sz w:val="1"/>
                <w:szCs w:val="1"/>
                <w:color w:val="auto"/>
              </w:rPr>
            </w:pPr>
          </w:p>
        </w:tc>
        <w:tc>
          <w:tcPr>
            <w:tcW w:w="1360" w:type="dxa"/>
            <w:vAlign w:val="bottom"/>
            <w:tcBorders>
              <w:top w:val="single" w:sz="8" w:color="0000EE"/>
            </w:tcBorders>
            <w:gridSpan w:val="7"/>
            <w:shd w:val="clear" w:color="auto" w:fill="CCEEFF"/>
          </w:tcPr>
          <w:p>
            <w:pPr>
              <w:spacing w:after="0" w:line="20" w:lineRule="exact"/>
              <w:rPr>
                <w:sz w:val="1"/>
                <w:szCs w:val="1"/>
                <w:color w:val="auto"/>
              </w:rPr>
            </w:pPr>
          </w:p>
        </w:tc>
        <w:tc>
          <w:tcPr>
            <w:tcW w:w="9700" w:type="dxa"/>
            <w:vAlign w:val="bottom"/>
            <w:tcBorders>
              <w:top w:val="single" w:sz="8" w:color="CCEEFF"/>
            </w:tcBorders>
            <w:gridSpan w:val="49"/>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Independent Directors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180" w:type="dxa"/>
            <w:vAlign w:val="bottom"/>
            <w:gridSpan w:val="2"/>
          </w:tcPr>
          <w:p>
            <w:pPr>
              <w:spacing w:after="0" w:line="20" w:lineRule="exact"/>
              <w:rPr>
                <w:sz w:val="1"/>
                <w:szCs w:val="1"/>
                <w:color w:val="auto"/>
              </w:rPr>
            </w:pPr>
          </w:p>
        </w:tc>
        <w:tc>
          <w:tcPr>
            <w:tcW w:w="1620" w:type="dxa"/>
            <w:vAlign w:val="bottom"/>
            <w:tcBorders>
              <w:top w:val="single" w:sz="8" w:color="0000EE"/>
            </w:tcBorders>
            <w:gridSpan w:val="10"/>
          </w:tcPr>
          <w:p>
            <w:pPr>
              <w:spacing w:after="0" w:line="20" w:lineRule="exact"/>
              <w:rPr>
                <w:sz w:val="1"/>
                <w:szCs w:val="1"/>
                <w:color w:val="auto"/>
              </w:rPr>
            </w:pPr>
          </w:p>
        </w:tc>
        <w:tc>
          <w:tcPr>
            <w:tcW w:w="9440" w:type="dxa"/>
            <w:vAlign w:val="bottom"/>
            <w:gridSpan w:val="46"/>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720" w:type="dxa"/>
            <w:vAlign w:val="bottom"/>
            <w:tcBorders>
              <w:bottom w:val="single" w:sz="8" w:color="0000EE"/>
            </w:tcBorders>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Information about the Executive Officers Who Are Not Directors</w:t>
            </w:r>
          </w:p>
        </w:tc>
        <w:tc>
          <w:tcPr>
            <w:tcW w:w="570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6"/>
        </w:trPr>
        <w:tc>
          <w:tcPr>
            <w:tcW w:w="10600" w:type="dxa"/>
            <w:vAlign w:val="bottom"/>
            <w:gridSpan w:val="57"/>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2340" w:type="dxa"/>
            <w:vAlign w:val="bottom"/>
            <w:tcBorders>
              <w:top w:val="single" w:sz="8" w:color="0000EE"/>
            </w:tcBorders>
            <w:gridSpan w:val="18"/>
          </w:tcPr>
          <w:p>
            <w:pPr>
              <w:spacing w:after="0" w:line="20" w:lineRule="exact"/>
              <w:rPr>
                <w:sz w:val="1"/>
                <w:szCs w:val="1"/>
                <w:color w:val="auto"/>
              </w:rPr>
            </w:pPr>
          </w:p>
        </w:tc>
        <w:tc>
          <w:tcPr>
            <w:tcW w:w="8900" w:type="dxa"/>
            <w:vAlign w:val="bottom"/>
            <w:gridSpan w:val="40"/>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 Independence</w:t>
            </w:r>
          </w:p>
        </w:tc>
        <w:tc>
          <w:tcPr>
            <w:tcW w:w="8760" w:type="dxa"/>
            <w:vAlign w:val="bottom"/>
            <w:tcBorders>
              <w:bottom w:val="single" w:sz="8" w:color="CCEEFF"/>
            </w:tcBorders>
            <w:gridSpan w:val="4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180" w:type="dxa"/>
            <w:vAlign w:val="bottom"/>
            <w:gridSpan w:val="2"/>
          </w:tcPr>
          <w:p>
            <w:pPr>
              <w:spacing w:after="0" w:line="20" w:lineRule="exact"/>
              <w:rPr>
                <w:sz w:val="1"/>
                <w:szCs w:val="1"/>
                <w:color w:val="auto"/>
              </w:rPr>
            </w:pPr>
          </w:p>
        </w:tc>
        <w:tc>
          <w:tcPr>
            <w:tcW w:w="2000" w:type="dxa"/>
            <w:vAlign w:val="bottom"/>
            <w:tcBorders>
              <w:top w:val="single" w:sz="8" w:color="0000EE"/>
            </w:tcBorders>
            <w:gridSpan w:val="14"/>
          </w:tcPr>
          <w:p>
            <w:pPr>
              <w:spacing w:after="0" w:line="20" w:lineRule="exact"/>
              <w:rPr>
                <w:sz w:val="1"/>
                <w:szCs w:val="1"/>
                <w:color w:val="auto"/>
              </w:rPr>
            </w:pPr>
          </w:p>
        </w:tc>
        <w:tc>
          <w:tcPr>
            <w:tcW w:w="9060" w:type="dxa"/>
            <w:vAlign w:val="bottom"/>
            <w:gridSpan w:val="42"/>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120" w:type="dxa"/>
            <w:vAlign w:val="bottom"/>
            <w:tcBorders>
              <w:bottom w:val="single" w:sz="8" w:color="0000EE"/>
            </w:tcBorders>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Board of Directors’ Role in Risk Oversight</w:t>
            </w:r>
          </w:p>
        </w:tc>
        <w:tc>
          <w:tcPr>
            <w:tcW w:w="7300" w:type="dxa"/>
            <w:vAlign w:val="bottom"/>
            <w:tcBorders>
              <w:bottom w:val="single" w:sz="8" w:color="CCEEFF"/>
            </w:tcBorders>
            <w:gridSpan w:val="2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Committees of the Board of Directors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180" w:type="dxa"/>
            <w:vAlign w:val="bottom"/>
            <w:gridSpan w:val="2"/>
          </w:tcPr>
          <w:p>
            <w:pPr>
              <w:spacing w:after="0" w:line="20" w:lineRule="exact"/>
              <w:rPr>
                <w:sz w:val="1"/>
                <w:szCs w:val="1"/>
                <w:color w:val="auto"/>
              </w:rPr>
            </w:pPr>
          </w:p>
        </w:tc>
        <w:tc>
          <w:tcPr>
            <w:tcW w:w="2740" w:type="dxa"/>
            <w:vAlign w:val="bottom"/>
            <w:tcBorders>
              <w:top w:val="single" w:sz="8" w:color="0000EE"/>
            </w:tcBorders>
            <w:gridSpan w:val="25"/>
          </w:tcPr>
          <w:p>
            <w:pPr>
              <w:spacing w:after="0" w:line="20" w:lineRule="exact"/>
              <w:rPr>
                <w:sz w:val="1"/>
                <w:szCs w:val="1"/>
                <w:color w:val="auto"/>
              </w:rPr>
            </w:pPr>
          </w:p>
        </w:tc>
        <w:tc>
          <w:tcPr>
            <w:tcW w:w="8320" w:type="dxa"/>
            <w:vAlign w:val="bottom"/>
            <w:gridSpan w:val="31"/>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0" w:type="dxa"/>
            <w:vAlign w:val="bottom"/>
            <w:tcBorders>
              <w:bottom w:val="single" w:sz="8" w:color="0000EE"/>
            </w:tcBorders>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Communication with the Board of Directors</w:t>
            </w:r>
          </w:p>
        </w:tc>
        <w:tc>
          <w:tcPr>
            <w:tcW w:w="722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Hedging, Speculative Trading and Pledging of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180" w:type="dxa"/>
            <w:vAlign w:val="bottom"/>
            <w:gridSpan w:val="2"/>
          </w:tcPr>
          <w:p>
            <w:pPr>
              <w:spacing w:after="0" w:line="20" w:lineRule="exact"/>
              <w:rPr>
                <w:sz w:val="1"/>
                <w:szCs w:val="1"/>
                <w:color w:val="auto"/>
              </w:rPr>
            </w:pPr>
          </w:p>
        </w:tc>
        <w:tc>
          <w:tcPr>
            <w:tcW w:w="4100" w:type="dxa"/>
            <w:vAlign w:val="bottom"/>
            <w:tcBorders>
              <w:top w:val="single" w:sz="8" w:color="0000EE"/>
            </w:tcBorders>
            <w:gridSpan w:val="42"/>
          </w:tcPr>
          <w:p>
            <w:pPr>
              <w:spacing w:after="0" w:line="20" w:lineRule="exact"/>
              <w:rPr>
                <w:sz w:val="1"/>
                <w:szCs w:val="1"/>
                <w:color w:val="auto"/>
              </w:rPr>
            </w:pPr>
          </w:p>
        </w:tc>
        <w:tc>
          <w:tcPr>
            <w:tcW w:w="6960" w:type="dxa"/>
            <w:vAlign w:val="bottom"/>
            <w:gridSpan w:val="14"/>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5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180" w:type="dxa"/>
            <w:vAlign w:val="bottom"/>
            <w:tcBorders>
              <w:top w:val="single" w:sz="8" w:color="CCEEFF"/>
            </w:tcBorders>
            <w:gridSpan w:val="2"/>
            <w:shd w:val="clear" w:color="auto" w:fill="CCEEFF"/>
          </w:tcPr>
          <w:p>
            <w:pPr>
              <w:spacing w:after="0" w:line="20" w:lineRule="exact"/>
              <w:rPr>
                <w:sz w:val="1"/>
                <w:szCs w:val="1"/>
                <w:color w:val="auto"/>
              </w:rPr>
            </w:pPr>
          </w:p>
        </w:tc>
        <w:tc>
          <w:tcPr>
            <w:tcW w:w="2720" w:type="dxa"/>
            <w:vAlign w:val="bottom"/>
            <w:tcBorders>
              <w:top w:val="single" w:sz="8" w:color="0000EE"/>
            </w:tcBorders>
            <w:gridSpan w:val="24"/>
            <w:shd w:val="clear" w:color="auto" w:fill="CCEEFF"/>
          </w:tcPr>
          <w:p>
            <w:pPr>
              <w:spacing w:after="0" w:line="20" w:lineRule="exact"/>
              <w:rPr>
                <w:sz w:val="1"/>
                <w:szCs w:val="1"/>
                <w:color w:val="auto"/>
              </w:rPr>
            </w:pPr>
          </w:p>
        </w:tc>
        <w:tc>
          <w:tcPr>
            <w:tcW w:w="8340" w:type="dxa"/>
            <w:vAlign w:val="bottom"/>
            <w:tcBorders>
              <w:top w:val="single" w:sz="8" w:color="CCEEFF"/>
            </w:tcBorders>
            <w:gridSpan w:val="32"/>
            <w:shd w:val="clear" w:color="auto" w:fill="CCEEFF"/>
          </w:tcPr>
          <w:p>
            <w:pPr>
              <w:spacing w:after="0" w:line="20" w:lineRule="exact"/>
              <w:rPr>
                <w:sz w:val="1"/>
                <w:szCs w:val="1"/>
                <w:color w:val="auto"/>
              </w:rPr>
            </w:pPr>
          </w:p>
        </w:tc>
      </w:tr>
      <w:tr>
        <w:trPr>
          <w:trHeight w:val="175"/>
        </w:trPr>
        <w:tc>
          <w:tcPr>
            <w:tcW w:w="10600" w:type="dxa"/>
            <w:vAlign w:val="bottom"/>
            <w:gridSpan w:val="57"/>
          </w:tcPr>
          <w:p>
            <w:pPr>
              <w:spacing w:after="0" w:line="176" w:lineRule="exact"/>
              <w:rPr>
                <w:sz w:val="20"/>
                <w:szCs w:val="20"/>
                <w:color w:val="auto"/>
              </w:rPr>
            </w:pPr>
            <w:r>
              <w:rPr>
                <w:rFonts w:ascii="Times New Roman" w:cs="Times New Roman" w:eastAsia="Times New Roman" w:hAnsi="Times New Roman"/>
                <w:sz w:val="18"/>
                <w:szCs w:val="18"/>
                <w:color w:val="0000EE"/>
              </w:rPr>
              <w:t>COMPENSATION OF DIRECTORS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2720" w:type="dxa"/>
            <w:vAlign w:val="bottom"/>
            <w:tcBorders>
              <w:top w:val="single" w:sz="8" w:color="0000EE"/>
            </w:tcBorders>
            <w:gridSpan w:val="24"/>
          </w:tcPr>
          <w:p>
            <w:pPr>
              <w:spacing w:after="0" w:line="20" w:lineRule="exact"/>
              <w:rPr>
                <w:sz w:val="1"/>
                <w:szCs w:val="1"/>
                <w:color w:val="auto"/>
              </w:rPr>
            </w:pPr>
          </w:p>
        </w:tc>
        <w:tc>
          <w:tcPr>
            <w:tcW w:w="8520" w:type="dxa"/>
            <w:vAlign w:val="bottom"/>
            <w:gridSpan w:val="34"/>
          </w:tcPr>
          <w:p>
            <w:pPr>
              <w:spacing w:after="0" w:line="20" w:lineRule="exact"/>
              <w:rPr>
                <w:sz w:val="1"/>
                <w:szCs w:val="1"/>
                <w:color w:val="auto"/>
              </w:rPr>
            </w:pPr>
          </w:p>
        </w:tc>
      </w:tr>
      <w:tr>
        <w:trPr>
          <w:trHeight w:val="196"/>
        </w:trPr>
        <w:tc>
          <w:tcPr>
            <w:tcW w:w="3860" w:type="dxa"/>
            <w:vAlign w:val="bottom"/>
            <w:tcBorders>
              <w:bottom w:val="single" w:sz="8" w:color="0000EE"/>
            </w:tcBorders>
            <w:gridSpan w:val="4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COMPENSATION DISCUSSION AND ANALYSIS</w:t>
            </w:r>
          </w:p>
        </w:tc>
        <w:tc>
          <w:tcPr>
            <w:tcW w:w="674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Compensation Philosophy and Objectives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180" w:type="dxa"/>
            <w:vAlign w:val="bottom"/>
            <w:gridSpan w:val="2"/>
          </w:tcPr>
          <w:p>
            <w:pPr>
              <w:spacing w:after="0" w:line="20" w:lineRule="exact"/>
              <w:rPr>
                <w:sz w:val="1"/>
                <w:szCs w:val="1"/>
                <w:color w:val="auto"/>
              </w:rPr>
            </w:pPr>
          </w:p>
        </w:tc>
        <w:tc>
          <w:tcPr>
            <w:tcW w:w="3020" w:type="dxa"/>
            <w:vAlign w:val="bottom"/>
            <w:tcBorders>
              <w:top w:val="single" w:sz="8" w:color="0000EE"/>
            </w:tcBorders>
            <w:gridSpan w:val="30"/>
          </w:tcPr>
          <w:p>
            <w:pPr>
              <w:spacing w:after="0" w:line="20" w:lineRule="exact"/>
              <w:rPr>
                <w:sz w:val="1"/>
                <w:szCs w:val="1"/>
                <w:color w:val="auto"/>
              </w:rPr>
            </w:pPr>
          </w:p>
        </w:tc>
        <w:tc>
          <w:tcPr>
            <w:tcW w:w="8040" w:type="dxa"/>
            <w:vAlign w:val="bottom"/>
            <w:gridSpan w:val="26"/>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20" w:type="dxa"/>
            <w:vAlign w:val="bottom"/>
            <w:gridSpan w:val="5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Compensation Consultant</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800" w:type="dxa"/>
            <w:vAlign w:val="bottom"/>
            <w:tcBorders>
              <w:top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Assessment of Market Data</w:t>
            </w:r>
          </w:p>
        </w:tc>
        <w:tc>
          <w:tcPr>
            <w:tcW w:w="7620" w:type="dxa"/>
            <w:vAlign w:val="bottom"/>
            <w:tcBorders>
              <w:top w:val="single" w:sz="8" w:color="CCEEFF"/>
            </w:tcBorders>
            <w:gridSpan w:val="2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180" w:type="dxa"/>
            <w:vAlign w:val="bottom"/>
            <w:gridSpan w:val="2"/>
          </w:tcPr>
          <w:p>
            <w:pPr>
              <w:spacing w:after="0" w:line="20" w:lineRule="exact"/>
              <w:rPr>
                <w:sz w:val="1"/>
                <w:szCs w:val="1"/>
                <w:color w:val="auto"/>
              </w:rPr>
            </w:pPr>
          </w:p>
        </w:tc>
        <w:tc>
          <w:tcPr>
            <w:tcW w:w="2000" w:type="dxa"/>
            <w:vAlign w:val="bottom"/>
            <w:tcBorders>
              <w:top w:val="single" w:sz="8" w:color="0000EE"/>
            </w:tcBorders>
            <w:gridSpan w:val="14"/>
          </w:tcPr>
          <w:p>
            <w:pPr>
              <w:spacing w:after="0" w:line="20" w:lineRule="exact"/>
              <w:rPr>
                <w:sz w:val="1"/>
                <w:szCs w:val="1"/>
                <w:color w:val="auto"/>
              </w:rPr>
            </w:pPr>
          </w:p>
        </w:tc>
        <w:tc>
          <w:tcPr>
            <w:tcW w:w="9060" w:type="dxa"/>
            <w:vAlign w:val="bottom"/>
            <w:gridSpan w:val="42"/>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5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Assessment of Company Performance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180" w:type="dxa"/>
            <w:vAlign w:val="bottom"/>
            <w:tcBorders>
              <w:top w:val="single" w:sz="8" w:color="CCEEFF"/>
            </w:tcBorders>
            <w:gridSpan w:val="2"/>
            <w:shd w:val="clear" w:color="auto" w:fill="CCEEFF"/>
          </w:tcPr>
          <w:p>
            <w:pPr>
              <w:spacing w:after="0" w:line="20" w:lineRule="exact"/>
              <w:rPr>
                <w:sz w:val="1"/>
                <w:szCs w:val="1"/>
                <w:color w:val="auto"/>
              </w:rPr>
            </w:pPr>
          </w:p>
        </w:tc>
        <w:tc>
          <w:tcPr>
            <w:tcW w:w="2760" w:type="dxa"/>
            <w:vAlign w:val="bottom"/>
            <w:tcBorders>
              <w:top w:val="single" w:sz="8" w:color="0000EE"/>
            </w:tcBorders>
            <w:gridSpan w:val="26"/>
            <w:shd w:val="clear" w:color="auto" w:fill="CCEEFF"/>
          </w:tcPr>
          <w:p>
            <w:pPr>
              <w:spacing w:after="0" w:line="20" w:lineRule="exact"/>
              <w:rPr>
                <w:sz w:val="1"/>
                <w:szCs w:val="1"/>
                <w:color w:val="auto"/>
              </w:rPr>
            </w:pPr>
          </w:p>
        </w:tc>
        <w:tc>
          <w:tcPr>
            <w:tcW w:w="8300" w:type="dxa"/>
            <w:vAlign w:val="bottom"/>
            <w:tcBorders>
              <w:top w:val="single" w:sz="8" w:color="CCEEFF"/>
            </w:tcBorders>
            <w:gridSpan w:val="30"/>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Stockholder Advisory Vote on Executive Compensation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180" w:type="dxa"/>
            <w:vAlign w:val="bottom"/>
            <w:gridSpan w:val="2"/>
          </w:tcPr>
          <w:p>
            <w:pPr>
              <w:spacing w:after="0" w:line="20" w:lineRule="exact"/>
              <w:rPr>
                <w:sz w:val="1"/>
                <w:szCs w:val="1"/>
                <w:color w:val="auto"/>
              </w:rPr>
            </w:pPr>
          </w:p>
        </w:tc>
        <w:tc>
          <w:tcPr>
            <w:tcW w:w="4040" w:type="dxa"/>
            <w:vAlign w:val="bottom"/>
            <w:tcBorders>
              <w:top w:val="single" w:sz="8" w:color="0000EE"/>
            </w:tcBorders>
            <w:gridSpan w:val="41"/>
          </w:tcPr>
          <w:p>
            <w:pPr>
              <w:spacing w:after="0" w:line="20" w:lineRule="exact"/>
              <w:rPr>
                <w:sz w:val="1"/>
                <w:szCs w:val="1"/>
                <w:color w:val="auto"/>
              </w:rPr>
            </w:pPr>
          </w:p>
        </w:tc>
        <w:tc>
          <w:tcPr>
            <w:tcW w:w="7020" w:type="dxa"/>
            <w:vAlign w:val="bottom"/>
            <w:gridSpan w:val="15"/>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5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 Components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180" w:type="dxa"/>
            <w:vAlign w:val="bottom"/>
            <w:tcBorders>
              <w:top w:val="single" w:sz="8" w:color="CCEEFF"/>
            </w:tcBorders>
            <w:gridSpan w:val="2"/>
            <w:shd w:val="clear" w:color="auto" w:fill="CCEEFF"/>
          </w:tcPr>
          <w:p>
            <w:pPr>
              <w:spacing w:after="0" w:line="20" w:lineRule="exact"/>
              <w:rPr>
                <w:sz w:val="1"/>
                <w:szCs w:val="1"/>
                <w:color w:val="auto"/>
              </w:rPr>
            </w:pPr>
          </w:p>
        </w:tc>
        <w:tc>
          <w:tcPr>
            <w:tcW w:w="2760" w:type="dxa"/>
            <w:vAlign w:val="bottom"/>
            <w:tcBorders>
              <w:top w:val="single" w:sz="8" w:color="0000EE"/>
            </w:tcBorders>
            <w:gridSpan w:val="26"/>
            <w:shd w:val="clear" w:color="auto" w:fill="CCEEFF"/>
          </w:tcPr>
          <w:p>
            <w:pPr>
              <w:spacing w:after="0" w:line="20" w:lineRule="exact"/>
              <w:rPr>
                <w:sz w:val="1"/>
                <w:szCs w:val="1"/>
                <w:color w:val="auto"/>
              </w:rPr>
            </w:pPr>
          </w:p>
        </w:tc>
        <w:tc>
          <w:tcPr>
            <w:tcW w:w="8300" w:type="dxa"/>
            <w:vAlign w:val="bottom"/>
            <w:tcBorders>
              <w:top w:val="single" w:sz="8" w:color="CCEEFF"/>
            </w:tcBorders>
            <w:gridSpan w:val="30"/>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Risk Management and Compensation Policies and Practices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180" w:type="dxa"/>
            <w:vAlign w:val="bottom"/>
            <w:gridSpan w:val="2"/>
          </w:tcPr>
          <w:p>
            <w:pPr>
              <w:spacing w:after="0" w:line="20" w:lineRule="exact"/>
              <w:rPr>
                <w:sz w:val="1"/>
                <w:szCs w:val="1"/>
                <w:color w:val="auto"/>
              </w:rPr>
            </w:pPr>
          </w:p>
        </w:tc>
        <w:tc>
          <w:tcPr>
            <w:tcW w:w="4320" w:type="dxa"/>
            <w:vAlign w:val="bottom"/>
            <w:tcBorders>
              <w:top w:val="single" w:sz="8" w:color="0000EE"/>
            </w:tcBorders>
            <w:gridSpan w:val="43"/>
          </w:tcPr>
          <w:p>
            <w:pPr>
              <w:spacing w:after="0" w:line="20" w:lineRule="exact"/>
              <w:rPr>
                <w:sz w:val="1"/>
                <w:szCs w:val="1"/>
                <w:color w:val="auto"/>
              </w:rPr>
            </w:pPr>
          </w:p>
        </w:tc>
        <w:tc>
          <w:tcPr>
            <w:tcW w:w="6740" w:type="dxa"/>
            <w:vAlign w:val="bottom"/>
            <w:gridSpan w:val="13"/>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Employment Agreements</w:t>
            </w:r>
          </w:p>
        </w:tc>
        <w:tc>
          <w:tcPr>
            <w:tcW w:w="8560" w:type="dxa"/>
            <w:vAlign w:val="bottom"/>
            <w:tcBorders>
              <w:bottom w:val="single" w:sz="8" w:color="CCEEFF"/>
            </w:tcBorders>
            <w:gridSpan w:val="4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6"/>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1940 Act Restrictions on Company Performance Based Compensation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180" w:type="dxa"/>
            <w:vAlign w:val="bottom"/>
            <w:gridSpan w:val="2"/>
          </w:tcPr>
          <w:p>
            <w:pPr>
              <w:spacing w:after="0" w:line="20" w:lineRule="exact"/>
              <w:rPr>
                <w:sz w:val="1"/>
                <w:szCs w:val="1"/>
                <w:color w:val="auto"/>
              </w:rPr>
            </w:pPr>
          </w:p>
        </w:tc>
        <w:tc>
          <w:tcPr>
            <w:tcW w:w="5080" w:type="dxa"/>
            <w:vAlign w:val="bottom"/>
            <w:tcBorders>
              <w:top w:val="single" w:sz="8" w:color="0000EE"/>
            </w:tcBorders>
            <w:gridSpan w:val="47"/>
          </w:tcPr>
          <w:p>
            <w:pPr>
              <w:spacing w:after="0" w:line="20" w:lineRule="exact"/>
              <w:rPr>
                <w:sz w:val="1"/>
                <w:szCs w:val="1"/>
                <w:color w:val="auto"/>
              </w:rPr>
            </w:pPr>
          </w:p>
        </w:tc>
        <w:tc>
          <w:tcPr>
            <w:tcW w:w="5980" w:type="dxa"/>
            <w:vAlign w:val="bottom"/>
            <w:gridSpan w:val="9"/>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20" w:type="dxa"/>
            <w:vAlign w:val="bottom"/>
            <w:gridSpan w:val="5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Tax Deductibility of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54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Conclusion</w:t>
            </w:r>
          </w:p>
        </w:tc>
        <w:tc>
          <w:tcPr>
            <w:tcW w:w="7880" w:type="dxa"/>
            <w:vAlign w:val="bottom"/>
            <w:tcBorders>
              <w:top w:val="single" w:sz="8" w:color="CCEEFF"/>
            </w:tcBorders>
            <w:gridSpan w:val="3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180" w:type="dxa"/>
            <w:vAlign w:val="bottom"/>
            <w:gridSpan w:val="2"/>
          </w:tcPr>
          <w:p>
            <w:pPr>
              <w:spacing w:after="0" w:line="20" w:lineRule="exact"/>
              <w:rPr>
                <w:sz w:val="1"/>
                <w:szCs w:val="1"/>
                <w:color w:val="auto"/>
              </w:rPr>
            </w:pPr>
          </w:p>
        </w:tc>
        <w:tc>
          <w:tcPr>
            <w:tcW w:w="820" w:type="dxa"/>
            <w:vAlign w:val="bottom"/>
            <w:tcBorders>
              <w:top w:val="single" w:sz="8" w:color="0000EE"/>
            </w:tcBorders>
            <w:gridSpan w:val="2"/>
          </w:tcPr>
          <w:p>
            <w:pPr>
              <w:spacing w:after="0" w:line="20" w:lineRule="exact"/>
              <w:rPr>
                <w:sz w:val="1"/>
                <w:szCs w:val="1"/>
                <w:color w:val="auto"/>
              </w:rPr>
            </w:pPr>
          </w:p>
        </w:tc>
        <w:tc>
          <w:tcPr>
            <w:tcW w:w="10240" w:type="dxa"/>
            <w:vAlign w:val="bottom"/>
            <w:gridSpan w:val="54"/>
          </w:tcPr>
          <w:p>
            <w:pPr>
              <w:spacing w:after="0" w:line="20" w:lineRule="exact"/>
              <w:rPr>
                <w:sz w:val="1"/>
                <w:szCs w:val="1"/>
                <w:color w:val="auto"/>
              </w:rPr>
            </w:pPr>
          </w:p>
        </w:tc>
      </w:tr>
      <w:tr>
        <w:trPr>
          <w:trHeight w:val="196"/>
        </w:trPr>
        <w:tc>
          <w:tcPr>
            <w:tcW w:w="3240" w:type="dxa"/>
            <w:vAlign w:val="bottom"/>
            <w:tcBorders>
              <w:bottom w:val="single" w:sz="8" w:color="0000EE"/>
            </w:tcBorders>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COMPENSATION COMMITTEE REPORT</w:t>
            </w:r>
          </w:p>
        </w:tc>
        <w:tc>
          <w:tcPr>
            <w:tcW w:w="736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10600" w:type="dxa"/>
            <w:vAlign w:val="bottom"/>
            <w:gridSpan w:val="57"/>
          </w:tcPr>
          <w:p>
            <w:pPr>
              <w:spacing w:after="0" w:line="176" w:lineRule="exact"/>
              <w:rPr>
                <w:sz w:val="20"/>
                <w:szCs w:val="20"/>
                <w:color w:val="auto"/>
              </w:rPr>
            </w:pPr>
            <w:r>
              <w:rPr>
                <w:rFonts w:ascii="Times New Roman" w:cs="Times New Roman" w:eastAsia="Times New Roman" w:hAnsi="Times New Roman"/>
                <w:sz w:val="18"/>
                <w:szCs w:val="18"/>
                <w:color w:val="0000EE"/>
              </w:rPr>
              <w:t>COMPENSATION OF EXECUTIVE OFFICERS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3620" w:type="dxa"/>
            <w:vAlign w:val="bottom"/>
            <w:tcBorders>
              <w:top w:val="single" w:sz="8" w:color="0000EE"/>
            </w:tcBorders>
            <w:gridSpan w:val="38"/>
          </w:tcPr>
          <w:p>
            <w:pPr>
              <w:spacing w:after="0" w:line="20" w:lineRule="exact"/>
              <w:rPr>
                <w:sz w:val="1"/>
                <w:szCs w:val="1"/>
                <w:color w:val="auto"/>
              </w:rPr>
            </w:pPr>
          </w:p>
        </w:tc>
        <w:tc>
          <w:tcPr>
            <w:tcW w:w="7620" w:type="dxa"/>
            <w:vAlign w:val="bottom"/>
            <w:gridSpan w:val="20"/>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Summary Compensation Table</w:t>
            </w:r>
          </w:p>
        </w:tc>
        <w:tc>
          <w:tcPr>
            <w:tcW w:w="8180" w:type="dxa"/>
            <w:vAlign w:val="bottom"/>
            <w:tcBorders>
              <w:bottom w:val="single" w:sz="8" w:color="CCEEFF"/>
            </w:tcBorders>
            <w:gridSpan w:val="3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175"/>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Grants of Plan-Based Awards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180" w:type="dxa"/>
            <w:vAlign w:val="bottom"/>
            <w:gridSpan w:val="2"/>
          </w:tcPr>
          <w:p>
            <w:pPr>
              <w:spacing w:after="0" w:line="20" w:lineRule="exact"/>
              <w:rPr>
                <w:sz w:val="1"/>
                <w:szCs w:val="1"/>
                <w:color w:val="auto"/>
              </w:rPr>
            </w:pPr>
          </w:p>
        </w:tc>
        <w:tc>
          <w:tcPr>
            <w:tcW w:w="2140" w:type="dxa"/>
            <w:vAlign w:val="bottom"/>
            <w:tcBorders>
              <w:top w:val="single" w:sz="8" w:color="0000EE"/>
            </w:tcBorders>
            <w:gridSpan w:val="15"/>
          </w:tcPr>
          <w:p>
            <w:pPr>
              <w:spacing w:after="0" w:line="20" w:lineRule="exact"/>
              <w:rPr>
                <w:sz w:val="1"/>
                <w:szCs w:val="1"/>
                <w:color w:val="auto"/>
              </w:rPr>
            </w:pPr>
          </w:p>
        </w:tc>
        <w:tc>
          <w:tcPr>
            <w:tcW w:w="8920" w:type="dxa"/>
            <w:vAlign w:val="bottom"/>
            <w:gridSpan w:val="41"/>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20" w:type="dxa"/>
            <w:vAlign w:val="bottom"/>
            <w:gridSpan w:val="5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Outstanding Equity Awards at Fiscal Year End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5"/>
        </w:trPr>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360" w:type="dxa"/>
            <w:vAlign w:val="bottom"/>
            <w:tcBorders>
              <w:top w:val="single" w:sz="8" w:color="0000EE"/>
            </w:tcBorders>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Equity Awards Vested in Fiscal Year</w:t>
            </w:r>
          </w:p>
        </w:tc>
        <w:tc>
          <w:tcPr>
            <w:tcW w:w="706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180" w:type="dxa"/>
            <w:vAlign w:val="bottom"/>
            <w:gridSpan w:val="2"/>
          </w:tcPr>
          <w:p>
            <w:pPr>
              <w:spacing w:after="0" w:line="20" w:lineRule="exact"/>
              <w:rPr>
                <w:sz w:val="1"/>
                <w:szCs w:val="1"/>
                <w:color w:val="auto"/>
              </w:rPr>
            </w:pPr>
          </w:p>
        </w:tc>
        <w:tc>
          <w:tcPr>
            <w:tcW w:w="2640" w:type="dxa"/>
            <w:vAlign w:val="bottom"/>
            <w:tcBorders>
              <w:top w:val="single" w:sz="8" w:color="0000EE"/>
            </w:tcBorders>
            <w:gridSpan w:val="23"/>
          </w:tcPr>
          <w:p>
            <w:pPr>
              <w:spacing w:after="0" w:line="20" w:lineRule="exact"/>
              <w:rPr>
                <w:sz w:val="1"/>
                <w:szCs w:val="1"/>
                <w:color w:val="auto"/>
              </w:rPr>
            </w:pPr>
          </w:p>
        </w:tc>
        <w:tc>
          <w:tcPr>
            <w:tcW w:w="8420" w:type="dxa"/>
            <w:vAlign w:val="bottom"/>
            <w:gridSpan w:val="33"/>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0000EE"/>
            </w:tcBorders>
            <w:gridSpan w:val="5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Potential Payments Upon Change in Control or Termination of Employment</w:t>
            </w:r>
          </w:p>
        </w:tc>
        <w:tc>
          <w:tcPr>
            <w:tcW w:w="492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Chief Executive Officer Pay Ratio</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180" w:type="dxa"/>
            <w:vAlign w:val="bottom"/>
            <w:gridSpan w:val="2"/>
          </w:tcPr>
          <w:p>
            <w:pPr>
              <w:spacing w:after="0" w:line="20" w:lineRule="exact"/>
              <w:rPr>
                <w:sz w:val="1"/>
                <w:szCs w:val="1"/>
                <w:color w:val="auto"/>
              </w:rPr>
            </w:pPr>
          </w:p>
        </w:tc>
        <w:tc>
          <w:tcPr>
            <w:tcW w:w="2480" w:type="dxa"/>
            <w:vAlign w:val="bottom"/>
            <w:tcBorders>
              <w:top w:val="single" w:sz="8" w:color="0000EE"/>
            </w:tcBorders>
            <w:gridSpan w:val="21"/>
          </w:tcPr>
          <w:p>
            <w:pPr>
              <w:spacing w:after="0" w:line="20" w:lineRule="exact"/>
              <w:rPr>
                <w:sz w:val="1"/>
                <w:szCs w:val="1"/>
                <w:color w:val="auto"/>
              </w:rPr>
            </w:pPr>
          </w:p>
        </w:tc>
        <w:tc>
          <w:tcPr>
            <w:tcW w:w="8580" w:type="dxa"/>
            <w:vAlign w:val="bottom"/>
            <w:gridSpan w:val="35"/>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20" w:type="dxa"/>
            <w:vAlign w:val="bottom"/>
            <w:gridSpan w:val="5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Pay Versus Performance Table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180" w:type="dxa"/>
            <w:vAlign w:val="bottom"/>
            <w:tcBorders>
              <w:top w:val="single" w:sz="8" w:color="CCEEFF"/>
            </w:tcBorders>
            <w:gridSpan w:val="2"/>
            <w:shd w:val="clear" w:color="auto" w:fill="CCEEFF"/>
          </w:tcPr>
          <w:p>
            <w:pPr>
              <w:spacing w:after="0" w:line="20" w:lineRule="exact"/>
              <w:rPr>
                <w:sz w:val="1"/>
                <w:szCs w:val="1"/>
                <w:color w:val="auto"/>
              </w:rPr>
            </w:pPr>
          </w:p>
        </w:tc>
        <w:tc>
          <w:tcPr>
            <w:tcW w:w="2200" w:type="dxa"/>
            <w:vAlign w:val="bottom"/>
            <w:tcBorders>
              <w:top w:val="single" w:sz="8" w:color="0000EE"/>
            </w:tcBorders>
            <w:gridSpan w:val="17"/>
            <w:shd w:val="clear" w:color="auto" w:fill="CCEEFF"/>
          </w:tcPr>
          <w:p>
            <w:pPr>
              <w:spacing w:after="0" w:line="20" w:lineRule="exact"/>
              <w:rPr>
                <w:sz w:val="1"/>
                <w:szCs w:val="1"/>
                <w:color w:val="auto"/>
              </w:rPr>
            </w:pPr>
          </w:p>
        </w:tc>
        <w:tc>
          <w:tcPr>
            <w:tcW w:w="8860" w:type="dxa"/>
            <w:vAlign w:val="bottom"/>
            <w:tcBorders>
              <w:top w:val="single" w:sz="8" w:color="CCEEFF"/>
            </w:tcBorders>
            <w:gridSpan w:val="39"/>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20" w:type="dxa"/>
            <w:vAlign w:val="bottom"/>
            <w:gridSpan w:val="55"/>
          </w:tcPr>
          <w:p>
            <w:pPr>
              <w:spacing w:after="0" w:line="176" w:lineRule="exact"/>
              <w:rPr>
                <w:sz w:val="20"/>
                <w:szCs w:val="20"/>
                <w:color w:val="auto"/>
              </w:rPr>
            </w:pPr>
            <w:r>
              <w:rPr>
                <w:rFonts w:ascii="Times New Roman" w:cs="Times New Roman" w:eastAsia="Times New Roman" w:hAnsi="Times New Roman"/>
                <w:sz w:val="18"/>
                <w:szCs w:val="18"/>
                <w:color w:val="0000EE"/>
              </w:rPr>
              <w:t>RELATED PARTY TRANSACTIONS AND CERTAIN RELATIONSHIPS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180" w:type="dxa"/>
            <w:vAlign w:val="bottom"/>
            <w:gridSpan w:val="2"/>
          </w:tcPr>
          <w:p>
            <w:pPr>
              <w:spacing w:after="0" w:line="20" w:lineRule="exact"/>
              <w:rPr>
                <w:sz w:val="1"/>
                <w:szCs w:val="1"/>
                <w:color w:val="auto"/>
              </w:rPr>
            </w:pPr>
          </w:p>
        </w:tc>
        <w:tc>
          <w:tcPr>
            <w:tcW w:w="5480" w:type="dxa"/>
            <w:vAlign w:val="bottom"/>
            <w:tcBorders>
              <w:top w:val="single" w:sz="8" w:color="0000EE"/>
            </w:tcBorders>
            <w:gridSpan w:val="49"/>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r>
      <w:tr>
        <w:trPr>
          <w:trHeight w:val="175"/>
        </w:trPr>
        <w:tc>
          <w:tcPr>
            <w:tcW w:w="10600" w:type="dxa"/>
            <w:vAlign w:val="bottom"/>
            <w:gridSpan w:val="5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II: ADVISORY VOTE ON EXECUTIVE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5420" w:type="dxa"/>
            <w:vAlign w:val="bottom"/>
            <w:tcBorders>
              <w:top w:val="single" w:sz="8" w:color="0000EE"/>
            </w:tcBorders>
            <w:gridSpan w:val="50"/>
            <w:shd w:val="clear" w:color="auto" w:fill="CCEEFF"/>
          </w:tcPr>
          <w:p>
            <w:pPr>
              <w:spacing w:after="0" w:line="20" w:lineRule="exact"/>
              <w:rPr>
                <w:sz w:val="1"/>
                <w:szCs w:val="1"/>
                <w:color w:val="auto"/>
              </w:rPr>
            </w:pPr>
          </w:p>
        </w:tc>
        <w:tc>
          <w:tcPr>
            <w:tcW w:w="5820" w:type="dxa"/>
            <w:vAlign w:val="bottom"/>
            <w:tcBorders>
              <w:top w:val="single" w:sz="8" w:color="CCEEFF"/>
            </w:tcBorders>
            <w:gridSpan w:val="8"/>
            <w:shd w:val="clear" w:color="auto" w:fill="CCEEFF"/>
          </w:tcPr>
          <w:p>
            <w:pPr>
              <w:spacing w:after="0" w:line="20" w:lineRule="exact"/>
              <w:rPr>
                <w:sz w:val="1"/>
                <w:szCs w:val="1"/>
                <w:color w:val="auto"/>
              </w:rPr>
            </w:pPr>
          </w:p>
        </w:tc>
      </w:tr>
      <w:tr>
        <w:trPr>
          <w:trHeight w:val="175"/>
        </w:trPr>
        <w:tc>
          <w:tcPr>
            <w:tcW w:w="10600" w:type="dxa"/>
            <w:vAlign w:val="bottom"/>
            <w:gridSpan w:val="57"/>
          </w:tcPr>
          <w:p>
            <w:pPr>
              <w:spacing w:after="0" w:line="176" w:lineRule="exact"/>
              <w:rPr>
                <w:sz w:val="20"/>
                <w:szCs w:val="20"/>
                <w:color w:val="auto"/>
              </w:rPr>
            </w:pPr>
            <w:r>
              <w:rPr>
                <w:rFonts w:ascii="Times New Roman" w:cs="Times New Roman" w:eastAsia="Times New Roman" w:hAnsi="Times New Roman"/>
                <w:sz w:val="18"/>
                <w:szCs w:val="18"/>
                <w:color w:val="0000EE"/>
              </w:rPr>
              <w:t>PROPOSAL III: RATIFICATION OF SELECTION OF INDEPENDENT REGISTERED PUBLIC ACCOUNTING FIRM</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8880" w:type="dxa"/>
            <w:vAlign w:val="bottom"/>
            <w:tcBorders>
              <w:top w:val="single" w:sz="8" w:color="0000EE"/>
            </w:tcBorders>
            <w:gridSpan w:val="56"/>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r>
      <w:tr>
        <w:trPr>
          <w:trHeight w:val="176"/>
        </w:trPr>
        <w:tc>
          <w:tcPr>
            <w:tcW w:w="10600" w:type="dxa"/>
            <w:vAlign w:val="bottom"/>
            <w:gridSpan w:val="5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REPORT</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2400" w:type="dxa"/>
            <w:vAlign w:val="bottom"/>
            <w:tcBorders>
              <w:top w:val="single" w:sz="8" w:color="0000EE"/>
            </w:tcBorders>
            <w:gridSpan w:val="20"/>
            <w:shd w:val="clear" w:color="auto" w:fill="CCEEFF"/>
          </w:tcPr>
          <w:p>
            <w:pPr>
              <w:spacing w:after="0" w:line="20" w:lineRule="exact"/>
              <w:rPr>
                <w:sz w:val="1"/>
                <w:szCs w:val="1"/>
                <w:color w:val="auto"/>
              </w:rPr>
            </w:pPr>
          </w:p>
        </w:tc>
        <w:tc>
          <w:tcPr>
            <w:tcW w:w="8840" w:type="dxa"/>
            <w:vAlign w:val="bottom"/>
            <w:tcBorders>
              <w:top w:val="single" w:sz="8" w:color="CCEEFF"/>
            </w:tcBorders>
            <w:gridSpan w:val="38"/>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440" w:type="dxa"/>
            <w:vAlign w:val="bottom"/>
            <w:gridSpan w:val="56"/>
          </w:tcPr>
          <w:p>
            <w:pPr>
              <w:ind w:left="20"/>
              <w:spacing w:after="0" w:line="176" w:lineRule="exact"/>
              <w:rPr>
                <w:sz w:val="20"/>
                <w:szCs w:val="20"/>
                <w:color w:val="auto"/>
              </w:rPr>
            </w:pPr>
            <w:r>
              <w:rPr>
                <w:rFonts w:ascii="Times New Roman" w:cs="Times New Roman" w:eastAsia="Times New Roman" w:hAnsi="Times New Roman"/>
                <w:sz w:val="18"/>
                <w:szCs w:val="18"/>
                <w:color w:val="0000EE"/>
              </w:rPr>
              <w:t>Pre-Approval Policies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160" w:type="dxa"/>
            <w:vAlign w:val="bottom"/>
          </w:tcPr>
          <w:p>
            <w:pPr>
              <w:spacing w:after="0" w:line="20" w:lineRule="exact"/>
              <w:rPr>
                <w:sz w:val="1"/>
                <w:szCs w:val="1"/>
                <w:color w:val="auto"/>
              </w:rPr>
            </w:pPr>
          </w:p>
        </w:tc>
        <w:tc>
          <w:tcPr>
            <w:tcW w:w="2760" w:type="dxa"/>
            <w:vAlign w:val="bottom"/>
            <w:tcBorders>
              <w:top w:val="single" w:sz="8" w:color="0000EE"/>
            </w:tcBorders>
            <w:gridSpan w:val="26"/>
          </w:tcPr>
          <w:p>
            <w:pPr>
              <w:spacing w:after="0" w:line="20" w:lineRule="exact"/>
              <w:rPr>
                <w:sz w:val="1"/>
                <w:szCs w:val="1"/>
                <w:color w:val="auto"/>
              </w:rPr>
            </w:pPr>
          </w:p>
        </w:tc>
        <w:tc>
          <w:tcPr>
            <w:tcW w:w="8320" w:type="dxa"/>
            <w:vAlign w:val="bottom"/>
            <w:gridSpan w:val="31"/>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440" w:type="dxa"/>
            <w:vAlign w:val="bottom"/>
            <w:gridSpan w:val="5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Review with Management</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0000EE"/>
            </w:tcBorders>
            <w:gridSpan w:val="14"/>
            <w:shd w:val="clear" w:color="auto" w:fill="CCEEFF"/>
          </w:tcPr>
          <w:p>
            <w:pPr>
              <w:spacing w:after="0" w:line="20" w:lineRule="exact"/>
              <w:rPr>
                <w:sz w:val="1"/>
                <w:szCs w:val="1"/>
                <w:color w:val="auto"/>
              </w:rPr>
            </w:pPr>
          </w:p>
        </w:tc>
        <w:tc>
          <w:tcPr>
            <w:tcW w:w="9180" w:type="dxa"/>
            <w:vAlign w:val="bottom"/>
            <w:tcBorders>
              <w:top w:val="single" w:sz="8" w:color="CCEEFF"/>
            </w:tcBorders>
            <w:gridSpan w:val="43"/>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440" w:type="dxa"/>
            <w:vAlign w:val="bottom"/>
            <w:gridSpan w:val="56"/>
          </w:tcPr>
          <w:p>
            <w:pPr>
              <w:ind w:left="20"/>
              <w:spacing w:after="0" w:line="176" w:lineRule="exact"/>
              <w:rPr>
                <w:sz w:val="20"/>
                <w:szCs w:val="20"/>
                <w:color w:val="auto"/>
              </w:rPr>
            </w:pPr>
            <w:r>
              <w:rPr>
                <w:rFonts w:ascii="Times New Roman" w:cs="Times New Roman" w:eastAsia="Times New Roman" w:hAnsi="Times New Roman"/>
                <w:sz w:val="18"/>
                <w:szCs w:val="18"/>
                <w:color w:val="0000EE"/>
              </w:rPr>
              <w:t>Review and Discussion with Independent Registered Public Accounting Firm</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160" w:type="dxa"/>
            <w:vAlign w:val="bottom"/>
          </w:tcPr>
          <w:p>
            <w:pPr>
              <w:spacing w:after="0" w:line="20" w:lineRule="exact"/>
              <w:rPr>
                <w:sz w:val="1"/>
                <w:szCs w:val="1"/>
                <w:color w:val="auto"/>
              </w:rPr>
            </w:pPr>
          </w:p>
        </w:tc>
        <w:tc>
          <w:tcPr>
            <w:tcW w:w="5600" w:type="dxa"/>
            <w:vAlign w:val="bottom"/>
            <w:tcBorders>
              <w:top w:val="single" w:sz="8" w:color="0000EE"/>
            </w:tcBorders>
            <w:gridSpan w:val="52"/>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0440" w:type="dxa"/>
            <w:vAlign w:val="bottom"/>
            <w:gridSpan w:val="5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Conclusion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gridSpan w:val="2"/>
            <w:shd w:val="clear" w:color="auto" w:fill="CCEEFF"/>
          </w:tcPr>
          <w:p>
            <w:pPr>
              <w:spacing w:after="0" w:line="20" w:lineRule="exact"/>
              <w:rPr>
                <w:sz w:val="1"/>
                <w:szCs w:val="1"/>
                <w:color w:val="auto"/>
              </w:rPr>
            </w:pPr>
          </w:p>
        </w:tc>
        <w:tc>
          <w:tcPr>
            <w:tcW w:w="10260" w:type="dxa"/>
            <w:vAlign w:val="bottom"/>
            <w:tcBorders>
              <w:top w:val="single" w:sz="8" w:color="CCEEFF"/>
            </w:tcBorders>
            <w:gridSpan w:val="55"/>
            <w:shd w:val="clear" w:color="auto" w:fill="CCEEFF"/>
          </w:tcPr>
          <w:p>
            <w:pPr>
              <w:spacing w:after="0" w:line="20" w:lineRule="exact"/>
              <w:rPr>
                <w:sz w:val="1"/>
                <w:szCs w:val="1"/>
                <w:color w:val="auto"/>
              </w:rPr>
            </w:pPr>
          </w:p>
        </w:tc>
      </w:tr>
      <w:tr>
        <w:trPr>
          <w:trHeight w:val="175"/>
        </w:trPr>
        <w:tc>
          <w:tcPr>
            <w:tcW w:w="10600" w:type="dxa"/>
            <w:vAlign w:val="bottom"/>
            <w:gridSpan w:val="57"/>
          </w:tcPr>
          <w:p>
            <w:pPr>
              <w:spacing w:after="0" w:line="176" w:lineRule="exact"/>
              <w:rPr>
                <w:sz w:val="20"/>
                <w:szCs w:val="20"/>
                <w:color w:val="auto"/>
              </w:rPr>
            </w:pPr>
            <w:r>
              <w:rPr>
                <w:rFonts w:ascii="Times New Roman" w:cs="Times New Roman" w:eastAsia="Times New Roman" w:hAnsi="Times New Roman"/>
                <w:sz w:val="18"/>
                <w:szCs w:val="18"/>
                <w:color w:val="0000EE"/>
              </w:rPr>
              <w:t>OTHER BUSINESS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1500" w:type="dxa"/>
            <w:vAlign w:val="bottom"/>
            <w:tcBorders>
              <w:top w:val="single" w:sz="8" w:color="0000EE"/>
            </w:tcBorders>
            <w:gridSpan w:val="8"/>
          </w:tcPr>
          <w:p>
            <w:pPr>
              <w:spacing w:after="0" w:line="20" w:lineRule="exact"/>
              <w:rPr>
                <w:sz w:val="1"/>
                <w:szCs w:val="1"/>
                <w:color w:val="auto"/>
              </w:rPr>
            </w:pPr>
          </w:p>
        </w:tc>
        <w:tc>
          <w:tcPr>
            <w:tcW w:w="9740" w:type="dxa"/>
            <w:vAlign w:val="bottom"/>
            <w:gridSpan w:val="50"/>
          </w:tcPr>
          <w:p>
            <w:pPr>
              <w:spacing w:after="0" w:line="20" w:lineRule="exact"/>
              <w:rPr>
                <w:sz w:val="1"/>
                <w:szCs w:val="1"/>
                <w:color w:val="auto"/>
              </w:rPr>
            </w:pPr>
          </w:p>
        </w:tc>
      </w:tr>
      <w:tr>
        <w:trPr>
          <w:trHeight w:val="196"/>
        </w:trPr>
        <w:tc>
          <w:tcPr>
            <w:tcW w:w="3800" w:type="dxa"/>
            <w:vAlign w:val="bottom"/>
            <w:tcBorders>
              <w:bottom w:val="single" w:sz="8" w:color="0000EE"/>
            </w:tcBorders>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SUBMISSION OF STOCKHOLDER PROPOSALS</w:t>
            </w:r>
          </w:p>
        </w:tc>
        <w:tc>
          <w:tcPr>
            <w:tcW w:w="680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5"/>
        </w:trPr>
        <w:tc>
          <w:tcPr>
            <w:tcW w:w="1480" w:type="dxa"/>
            <w:vAlign w:val="bottom"/>
            <w:tcBorders>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w w:val="97"/>
              </w:rPr>
              <w:t>PRIVACY NOTICE</w:t>
            </w:r>
          </w:p>
        </w:tc>
        <w:tc>
          <w:tcPr>
            <w:tcW w:w="9120" w:type="dxa"/>
            <w:vAlign w:val="bottom"/>
            <w:gridSpan w:val="50"/>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640 Fifth Avenue, 12th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931-6331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10, 2026</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proxy statement (this “Proxy Statement”) is furnished in connection with the solicitation of proxies by the board of directors (the “Board of Directors”) of SuRo Capital Corp. (the “Company,” “SuRo Capital,” “we,” “us” or “our”) for use at the Company’s 2026 Annual Meeting of Stockholders (the “Annual Meeting”) to be held on June 10, 2026 at 9:00 a.m., Eastern Time, at the offices of Eversheds Sutherland (US) LLP, The Grace Building, 1114 Sixth Avenue, 40th Floor, New York, New York 10036, and at any postponements or adjournments thereof. This Proxy Statement, the accompanying proxy card and the Company’s annual report on Form 10-K for the fiscal year ended December 31, 2025 (the “Annual Report”) are first being mailed to stockholders on or about April 30, 2026.</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encourage you to vote your shares either by voting in person at the Annual Meeting or by granting a proxy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authorizing someone to vote your shares). If you properly sign and date the accompanying proxy card, or otherwise provide voting instructions either via the internet or by telephone, and the Company receives such instructions by June 9, 2026 at 11:59 p.m. Eastern Time, the persons named as proxies will vote the shares registered directly in your name in the manner that you specified. Prior to the Annual Meeting or prior to any postponements or adjournments thereof, you may vote your shares electronically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or by calling 1-800-690-6903. Voting instructions are shown on the enclosed proxy card. </w:t>
      </w:r>
      <w:r>
        <w:rPr>
          <w:rFonts w:ascii="Times New Roman" w:cs="Times New Roman" w:eastAsia="Times New Roman" w:hAnsi="Times New Roman"/>
          <w:sz w:val="18"/>
          <w:szCs w:val="18"/>
          <w:b w:val="1"/>
          <w:bCs w:val="1"/>
          <w:color w:val="auto"/>
        </w:rPr>
        <w:t>If you give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instructions on the proxy card, the shares covered by the proxy card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each of the nominees as directors of the Company,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advisory vote on executive compensation,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ratification of the selection of CBIZ CPAs P.C. to serve as the Company’s independent registered public accounting firm for the fiscal year ending December 31, 2026.</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you are a “stockholder of record”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you hold shares directly in your name), you may revoke a proxy at any time before it is exercised by notifying the proxy tabulator, Broadridge Financial Solutions, Inc., in writing, by submitting a properly executed, later-dated proxy, or by voting in person at the Annual Meeting or by voting by telephone or online at </w:t>
      </w:r>
      <w:r>
        <w:rPr>
          <w:rFonts w:ascii="Times New Roman" w:cs="Times New Roman" w:eastAsia="Times New Roman" w:hAnsi="Times New Roman"/>
          <w:sz w:val="18"/>
          <w:szCs w:val="18"/>
          <w:i w:val="1"/>
          <w:iCs w:val="1"/>
          <w:u w:val="single" w:color="auto"/>
          <w:color w:val="auto"/>
        </w:rPr>
        <w:t>www.proxyvote.com</w:t>
      </w:r>
      <w:r>
        <w:rPr>
          <w:rFonts w:ascii="Times New Roman" w:cs="Times New Roman" w:eastAsia="Times New Roman" w:hAnsi="Times New Roman"/>
          <w:sz w:val="18"/>
          <w:szCs w:val="18"/>
          <w:color w:val="auto"/>
        </w:rPr>
        <w:t>. Please send any such notice of revocation to SuRo Capital Corp., c/o Broadridge Financial Solutions, Inc., 51 Mercedes Way, Edgewood, New York 11717. Any stockholder of record attending the Annual Meeting may vote in person regardless of whether he or she has previously voted his or her shares. If your shares are held for your account by a broker, bank or other institution or nominee, you may vote such shares at the Annual Meeting only if you obtain and present proper written authority from your institution or nominee.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you do not vote in person at the Annual Meeting or submit voting instructions to your broker or nominee, your broker or nominee may still be authorized to vote your shares as to routine matters, which, in the case of the Annual Meeting, only applies to the proposal to ratify the appointment of our independent registered public accounting firm. For all other matters to be voted on at the Annual Meeting, the broker or nominee that holds your shares will need to obtain your authorization to vote those shares and has enclosed a voting instruction form with this Proxy Statement. </w:t>
      </w:r>
      <w:r>
        <w:rPr>
          <w:rFonts w:ascii="Times New Roman" w:cs="Times New Roman" w:eastAsia="Times New Roman" w:hAnsi="Times New Roman"/>
          <w:sz w:val="18"/>
          <w:szCs w:val="18"/>
          <w:b w:val="1"/>
          <w:bCs w:val="1"/>
          <w:color w:val="auto"/>
        </w:rPr>
        <w:t>Please instruct your bank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broker so your vote can be counted.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Stockholders of record may also vote either via the internet or by telephone prior to the Annual Meeting. Specific instructions to be followed by stockholders of record interested in voting via the internet or telephone are shown on the enclosed proxy card. The internet and telephone voting procedures are designed to authenticate the stockholder’s identity and to allow stockholders to vote their shares and confirm that their instructions have been properly recorded.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w:t>
      </w:r>
      <w:r>
        <w:rPr>
          <w:rFonts w:ascii="Times New Roman" w:cs="Times New Roman" w:eastAsia="Times New Roman" w:hAnsi="Times New Roman"/>
          <w:sz w:val="18"/>
          <w:szCs w:val="18"/>
          <w:color w:val="auto"/>
        </w:rPr>
        <w:t>This Proxy Statement and the Annual Report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on the internet at </w:t>
      </w:r>
      <w:r>
        <w:rPr>
          <w:rFonts w:ascii="Times New Roman" w:cs="Times New Roman" w:eastAsia="Times New Roman" w:hAnsi="Times New Roman"/>
          <w:sz w:val="18"/>
          <w:szCs w:val="18"/>
          <w:i w:val="1"/>
          <w:iCs w:val="1"/>
          <w:color w:val="auto"/>
        </w:rPr>
        <w:t>https://investors.surocap.com/financial-information/sec-filings.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Annual Meeting, you will be asked to vote on the following proposals:</w:t>
      </w:r>
    </w:p>
    <w:p>
      <w:pPr>
        <w:spacing w:after="0" w:line="252" w:lineRule="exact"/>
        <w:rPr>
          <w:sz w:val="20"/>
          <w:szCs w:val="20"/>
          <w:color w:val="auto"/>
        </w:rPr>
      </w:pPr>
    </w:p>
    <w:p>
      <w:pPr>
        <w:ind w:left="1060" w:right="40" w:hanging="350"/>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two members of the Board of Directors of the Company, Mark D. Klein and Lisa Westley, each of whom will serve for a term of three years expiring at the 2029 annual meeting of stockholders and until his or her respective successor is duly elected and qualified;</w:t>
      </w:r>
    </w:p>
    <w:p>
      <w:pPr>
        <w:spacing w:after="0" w:line="215"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on executive compensation (the “Advisory Vote on Executive Compensation”);</w:t>
      </w:r>
    </w:p>
    <w:p>
      <w:pPr>
        <w:spacing w:after="0" w:line="279" w:lineRule="exact"/>
        <w:rPr>
          <w:rFonts w:ascii="Times New Roman" w:cs="Times New Roman" w:eastAsia="Times New Roman" w:hAnsi="Times New Roman"/>
          <w:sz w:val="18"/>
          <w:szCs w:val="18"/>
          <w:color w:val="auto"/>
        </w:rPr>
      </w:pPr>
    </w:p>
    <w:p>
      <w:pPr>
        <w:ind w:left="1060" w:right="20" w:hanging="350"/>
        <w:spacing w:after="0" w:line="28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CBIZ CPAs P.C. to serve as the Company’s independent registered public accounting firm for the fiscal year ending December 31, 2026; and</w:t>
      </w:r>
    </w:p>
    <w:p>
      <w:pPr>
        <w:spacing w:after="0" w:line="215"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such other business as may properly come before the Annual Meeting or any postponement or adjournment thereof.</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may vote your shares, in person or by proxy, at the Annual Meeting only if you were a stockholder of record at the close of business on April 27, 2026 (the “Record Date”). Each share of common stock is entitled to one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Required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in person or by proxy, of the holders of a majority of the shares of the Company’s common stock outstanding on the Record Date will constitute a quorum. As of the date of this filing, there were 25,537,612 shares of the Company’s common stock outstanding. Thus, 12,768,807 shares must be represented by stockholders present at the Annual Meeting or by proxy to have a quorum. Abstentions, “withhold” votes and Broker Non-Votes (as defined below) will be treated as shares present for quorum purposes.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quorum is not present at the Annual Meeting, the stockholders who are represented may adjourn the Annual Meeting until a quorum is present. The persons named as proxies will vote those proxies for such adjournment, unless marked to be voted against any proposal for which an adjournment is sought, to permit the further solicitation of proxies.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you are the beneficial owner of shares held through a broker or other nominee and do not vote your shares or provide voting instructions, your broker may vote for you on routine proposals but not on non-routine proposals. Therefore, if you do not vote on the non-routine proposals or provide voting instructions on such proposals, your broker will not be allowed to vote your shares. This will result in a </w:t>
      </w:r>
      <w:r>
        <w:rPr>
          <w:rFonts w:ascii="Times New Roman" w:cs="Times New Roman" w:eastAsia="Times New Roman" w:hAnsi="Times New Roman"/>
          <w:sz w:val="18"/>
          <w:szCs w:val="18"/>
          <w:i w:val="1"/>
          <w:iCs w:val="1"/>
          <w:color w:val="auto"/>
        </w:rPr>
        <w:t>broker non-vote</w:t>
      </w:r>
      <w:r>
        <w:rPr>
          <w:rFonts w:ascii="Times New Roman" w:cs="Times New Roman" w:eastAsia="Times New Roman" w:hAnsi="Times New Roman"/>
          <w:sz w:val="18"/>
          <w:szCs w:val="18"/>
          <w:color w:val="auto"/>
        </w:rPr>
        <w:t xml:space="preserve"> (“Broker Non-Votes”).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Accordingly, at the Annual Meeting, should you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vote your shares or provide voting instructions, your broker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xml:space="preserve"> have discretionary authority to vote your shares on the following proposal that is considered routine: “Proposal III: Ratification of Selection of Independent Registered Public Accounting Firm.” At the Annual Meeting, should you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vote your shares or provide voting instructions, your broker </w:t>
      </w:r>
      <w:r>
        <w:rPr>
          <w:rFonts w:ascii="Times New Roman" w:cs="Times New Roman" w:eastAsia="Times New Roman" w:hAnsi="Times New Roman"/>
          <w:sz w:val="18"/>
          <w:szCs w:val="18"/>
          <w:i w:val="1"/>
          <w:iCs w:val="1"/>
          <w:color w:val="auto"/>
        </w:rPr>
        <w:t>will not</w:t>
      </w:r>
      <w:r>
        <w:rPr>
          <w:rFonts w:ascii="Times New Roman" w:cs="Times New Roman" w:eastAsia="Times New Roman" w:hAnsi="Times New Roman"/>
          <w:sz w:val="18"/>
          <w:szCs w:val="18"/>
          <w:color w:val="auto"/>
        </w:rPr>
        <w:t xml:space="preserve"> have discretionary authority to vote your shares and therefore your shares will not be voted on the following proposals that are considered non-routine: “Proposal I: Election of Directors,” and “Proposal II: Advisory Vote on Executive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Election of Directors</w:t>
      </w:r>
      <w:r>
        <w:rPr>
          <w:rFonts w:ascii="Times New Roman" w:cs="Times New Roman" w:eastAsia="Times New Roman" w:hAnsi="Times New Roman"/>
          <w:sz w:val="18"/>
          <w:szCs w:val="18"/>
          <w:color w:val="auto"/>
        </w:rPr>
        <w:t>. The election of directors requires the affirmative vote of a plurality of all the votes cast at the Annual Meeting in person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proxy. Stockholders may not cumulate their votes. If you vote “Withhold” with respect to a nominee, your shares will not be voted with respect to the person indicated. Broker Non-Votes will not be included in determining the number of votes cast and will have no effect on this proposal. Stockholders have no appraisal or dissenters’ rights in connection with this proposal. Following the election, a majority of the directors will continue to be persons who are not “interested persons” of the Company within the meaning of Section 2(a)(19) of the 1940 Act, as required by Section 56 of the 1940 Act.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Advisory Vote on Executive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Because the Advisory Vote on Executive Compensation asks for a non-binding, advisory vote, there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 “required vote” that would constitute approval. As an advisory vote, this proposal is not binding upon the Company. However, the Board of Directors and the compensation committee of the Board of Directors (the “Compensation Committee”) will consider the outcome of the vote when making future decisions regarding executive compensation. Abstentions and Broker Non-Votes will not be included in determining the number of votes cast and will have no effect on this proposal. Stockholders have no appraisal or dissenters’ rights in connection with this proposal.</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Ratification of Selection of Independent Registered Public Accounting Firm</w:t>
      </w:r>
      <w:r>
        <w:rPr>
          <w:rFonts w:ascii="Times New Roman" w:cs="Times New Roman" w:eastAsia="Times New Roman" w:hAnsi="Times New Roman"/>
          <w:sz w:val="18"/>
          <w:szCs w:val="18"/>
          <w:color w:val="auto"/>
        </w:rPr>
        <w:t>. The affirmative vote of a majority of all the votes cast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Meeting in person or by proxy is required to ratify the appointment of CBIZ CPAs P.C. to serve as the Company’s independent registered public accounting firm for the fiscal year ending December 31, 2026. Abstentions and Broker Non-Votes will not be included in determining the number of votes cast and will have no effect on this proposal. Stockholders have no appraisal or dissenters’ rights in connection with this proposal.</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Additional Solicitation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there are not enough votes to approve any proposals at the Annual Meeting, the stockholders who are represented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adjourn the Annual Meeting to permit the further solicitation of proxies. The persons named as proxies will vote those proxies for such adjournment, unless marked to be voted against the proposal for which an adjournment is sought, to permit the further solicitation of proxies. Also, a stockholder vote may be taken on one or more of the proposals in this Proxy Statement prior to any such adjournment if there are sufficient votes for approval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Information Regarding This Solicitation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bear the expense of the solicitation of proxies for the Annual Meeting, including the cost of preparing, printing and mailing this Proxy Statement, the accompanying Notice of Annual Meeting of Stockholders, the proxy card and the Annual Report.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requested that brokers, nominees, fiduciaries and other persons holding shares in their names, or in the name of their nominees, which are beneficially owned by others, forward the proxy materials to, and obtain proxies from, such beneficial owners. We will reimburse such persons for their reasonable out-of-pocket expenses in so doing.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solicitation of proxies through mail, proxies may be solicited personally and by telephone, facsimile or electronic transmission by directors, officers or employees of the Company without special compensation therefor.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may also provide their voting instructions by telephone or through the internet. These options require stockholders to input the control number which is located on each proxy card. After inputting this number, stockholders will be prompted to provide their voting instructions. Stockholders will have an opportunity to review their voting instructions and make any necessary changes before submitting their voting instructions and terminating the telephone call or internet link. Stockholders who vote via the internet, in addition to confirming their voting instructions prior to submission, will also receive an e-mail confirming their instructions upon request.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stockholder wishes to participate in the Annual Meeting but does not wish to give a proxy by telephone or the internet, the stockholder may still vote their proxy by submitting the proxy card originally sent with this Proxy Statement. To do so, the stockholder is required to indicate his, her or its instructions on the proxy card, date and sign the proxy card, and mail the proxy card promptly in the envelope provided, which requires no postage if mailed in the United States. Such stockholder must allow sufficient time for the proxy card to be received on or before 11:59 p.m., Eastern Time, on June 9, 2026.</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proxy given pursuant to this solicitation may be revoked by notice from the person giving the proxy at any time before it is exercised. Any such notice of revocation should be provided in writing and signed by the stockholder in the same manner as the proxy being revoked and delivered to the Company’s proxy tabulator.</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 Securities and Exchange Commission (“SEC”) has adopted rules that permit companies and intermediaries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number of brokerages and other institutional holders of record have implemented householding. A single proxy statement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please notify your broker.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Stockholders who currently receive multiple copies of the proxy statement at their addresses and would like to request information about householding of their communications should contact their brokers or other intermediary holder of record. You can notify us by sending a written request to: Allison Green, Corporate Secretary, SuRo Capital Corp., 640 Fifth Avenue, 12th Floor, New York, New York 10019, or by calling (212) 931-6331.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Proxy Materials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regulations promulgated by the SEC, the Company has made this Proxy Statement, the Notice of Annual Meeting of Stockholders and the Annual Report available to stockholders on the internet. Stockholders may (i) access and review the Company’s proxy materials, and</w:t>
      </w:r>
    </w:p>
    <w:p>
      <w:pPr>
        <w:ind w:left="280" w:hanging="272"/>
        <w:spacing w:after="0"/>
        <w:tabs>
          <w:tab w:leader="none" w:pos="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authorize their proxies via the internet address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Stockholders may also elect to receive future proxy materials by electronic delivery.</w:t>
      </w:r>
    </w:p>
    <w:p>
      <w:pPr>
        <w:spacing w:after="0" w:line="218"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Electronic Delivery of Proxy Materials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rules adopted by the SEC, the Company furnishes proxy materials by email to those stockholders who have elected to receive their proxy materials electronically. While the Company encourages stockholders to take advantage of electronic delivery of proxy materials, which helps to reduce the environmental impact of annual meetings and the cost associated with the physical printing and mailing of materials, stockholders may request a printed set of proxy materials by contacting the Company’s proxy tabulator, Broadridge Financial Solutions,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the Record Date, information with respect to the beneficial ownership of each current director, the director-nominees, the Company’s executive officers, and each person, if any, known to us to beneficially own 5.0% or more of the outstanding shares of our common stock.</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Ownership information for those persons who beneficially own 5.0% or more of our shares of common stock pursuant to these rules is based upon reports filed by such persons with the SEC and other information obtained from such persons, if available. The percentage of beneficial ownership in the following table is based on 25,537,612 shares of our common stock outstanding as of the date of this filing.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to our knowledge, each stockholder listed below has sole voting and/or investment power with respect to the shares beneficially owned by the stockholder, except to the extent authority is shared by their spouses under applicable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directors are divided into two groups — interested directors and independent directors. Interested directors are “interested persons” as defined in Section 2(a)(19) of the Investment Company Act of 1940, as amended (the “1940 Act”), and independent directors are all other directors.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5"/>
        </w:trPr>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Owned</w:t>
            </w:r>
          </w:p>
        </w:tc>
        <w:tc>
          <w:tcPr>
            <w:tcW w:w="20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70"/>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240" w:type="dxa"/>
            <w:vAlign w:val="bottom"/>
            <w:gridSpan w:val="2"/>
          </w:tcPr>
          <w:p>
            <w:pPr>
              <w:jc w:val="center"/>
              <w:ind w:right="3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Beneficially</w:t>
            </w:r>
            <w:r>
              <w:rPr>
                <w:rFonts w:ascii="Times New Roman" w:cs="Times New Roman" w:eastAsia="Times New Roman" w:hAnsi="Times New Roman"/>
                <w:sz w:val="29"/>
                <w:szCs w:val="29"/>
                <w:b w:val="1"/>
                <w:bCs w:val="1"/>
                <w:color w:val="auto"/>
                <w:w w:val="95"/>
                <w:vertAlign w:val="superscript"/>
              </w:rPr>
              <w:t>(1)</w:t>
            </w:r>
          </w:p>
        </w:tc>
        <w:tc>
          <w:tcPr>
            <w:tcW w:w="20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of Class</w:t>
            </w:r>
          </w:p>
        </w:tc>
      </w:tr>
      <w:tr>
        <w:trPr>
          <w:trHeight w:val="210"/>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6"/>
        </w:trPr>
        <w:tc>
          <w:tcPr>
            <w:tcW w:w="49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Mark D. Klein</w:t>
            </w:r>
            <w:r>
              <w:rPr>
                <w:rFonts w:ascii="Times New Roman" w:cs="Times New Roman" w:eastAsia="Times New Roman" w:hAnsi="Times New Roman"/>
                <w:sz w:val="29"/>
                <w:szCs w:val="29"/>
                <w:color w:val="auto"/>
                <w:vertAlign w:val="superscript"/>
              </w:rPr>
              <w:t>(2)</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 &amp; Indirect</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1,676,021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r>
      <w:tr>
        <w:trPr>
          <w:trHeight w:val="257"/>
        </w:trPr>
        <w:tc>
          <w:tcPr>
            <w:tcW w:w="4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i w:val="1"/>
                <w:iCs w:val="1"/>
                <w:color w:val="auto"/>
              </w:rPr>
              <w:t>Independent Directors</w:t>
            </w:r>
            <w:r>
              <w:rPr>
                <w:rFonts w:ascii="Times New Roman" w:cs="Times New Roman" w:eastAsia="Times New Roman" w:hAnsi="Times New Roman"/>
                <w:sz w:val="29"/>
                <w:szCs w:val="29"/>
                <w:b w:val="1"/>
                <w:bCs w:val="1"/>
                <w:i w:val="1"/>
                <w:iCs w:val="1"/>
                <w:color w:val="auto"/>
                <w:vertAlign w:val="superscript"/>
              </w:rPr>
              <w:t>(3)</w:t>
            </w:r>
          </w:p>
        </w:tc>
        <w:tc>
          <w:tcPr>
            <w:tcW w:w="1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Leonard A. Potter</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Direct</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102,279</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 Mazur</w:t>
            </w: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Direct</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65,414</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Lisa Westley</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Direct</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55,295</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Ronald M. Lott</w:t>
            </w:r>
          </w:p>
        </w:tc>
        <w:tc>
          <w:tcPr>
            <w:tcW w:w="2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 &amp; Indirect</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29,150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Richard Szuch</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Direct</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5,767</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49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Allison Green</w:t>
            </w:r>
            <w:r>
              <w:rPr>
                <w:rFonts w:ascii="Times New Roman" w:cs="Times New Roman" w:eastAsia="Times New Roman" w:hAnsi="Times New Roman"/>
                <w:sz w:val="29"/>
                <w:szCs w:val="29"/>
                <w:color w:val="auto"/>
                <w:vertAlign w:val="superscript"/>
              </w:rPr>
              <w:t>(4)</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 &amp; Indirect</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189,805</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 and directors as a group (7 persons)</w:t>
            </w:r>
            <w:r>
              <w:rPr>
                <w:rFonts w:ascii="Times New Roman" w:cs="Times New Roman" w:eastAsia="Times New Roman" w:hAnsi="Times New Roman"/>
                <w:sz w:val="29"/>
                <w:szCs w:val="29"/>
                <w:b w:val="1"/>
                <w:bCs w:val="1"/>
                <w:i w:val="1"/>
                <w:iCs w:val="1"/>
                <w:color w:val="auto"/>
                <w:vertAlign w:val="superscript"/>
              </w:rPr>
              <w:t>(5)</w:t>
            </w:r>
          </w:p>
        </w:tc>
        <w:tc>
          <w:tcPr>
            <w:tcW w:w="1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2,123,731</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5.0% + Owners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394"/>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Mario J. Gabelli</w:t>
            </w:r>
            <w:r>
              <w:rPr>
                <w:rFonts w:ascii="Times New Roman" w:cs="Times New Roman" w:eastAsia="Times New Roman" w:hAnsi="Times New Roman"/>
                <w:sz w:val="29"/>
                <w:szCs w:val="29"/>
                <w:color w:val="auto"/>
                <w:vertAlign w:val="superscript"/>
              </w:rPr>
              <w:t>(6)</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Indirect</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1,521,243</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less than one percent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ind w:left="345" w:right="20" w:hanging="345"/>
        <w:spacing w:after="0" w:line="282" w:lineRule="auto"/>
        <w:tabs>
          <w:tab w:leader="none" w:pos="3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has been determined in accordance with Rule 13d-3 under the Securities Exchange Act of 1934, as amended (the “Exchange Act”).</w:t>
      </w:r>
    </w:p>
    <w:p>
      <w:pPr>
        <w:spacing w:after="0" w:line="215" w:lineRule="exact"/>
        <w:rPr>
          <w:rFonts w:ascii="Times New Roman" w:cs="Times New Roman" w:eastAsia="Times New Roman" w:hAnsi="Times New Roman"/>
          <w:sz w:val="18"/>
          <w:szCs w:val="18"/>
          <w:color w:val="auto"/>
        </w:rPr>
      </w:pPr>
    </w:p>
    <w:p>
      <w:pPr>
        <w:jc w:val="both"/>
        <w:ind w:left="345" w:hanging="345"/>
        <w:spacing w:after="0" w:line="266" w:lineRule="auto"/>
        <w:tabs>
          <w:tab w:leader="none" w:pos="3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811,646 shares owned by Mr. Klein’s spouse, which may be deemed to be beneficially owned by Mr. Klein, and (ii) 574,466 restricted shares granted under the prior Amended and Restated 2019 Equity Incentive Plan on December 15, 2023, December 10, 2024, and May 16, 2025, and under the Second Amended and Restated 2019 Equity Incentive Plan on November 21, 2025, all of which are subject to certain vesting schedules.</w:t>
      </w:r>
    </w:p>
    <w:p>
      <w:pPr>
        <w:spacing w:after="0" w:line="229" w:lineRule="exact"/>
        <w:rPr>
          <w:rFonts w:ascii="Times New Roman" w:cs="Times New Roman" w:eastAsia="Times New Roman" w:hAnsi="Times New Roman"/>
          <w:sz w:val="18"/>
          <w:szCs w:val="18"/>
          <w:color w:val="auto"/>
        </w:rPr>
      </w:pPr>
    </w:p>
    <w:p>
      <w:pPr>
        <w:jc w:val="both"/>
        <w:ind w:left="345" w:right="20" w:hanging="345"/>
        <w:spacing w:after="0" w:line="266" w:lineRule="auto"/>
        <w:tabs>
          <w:tab w:leader="none" w:pos="3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7,812 restricted shares granted to each of Messrs. Potter, Lott, and Mazur and Ms. Westley under the Second Amended and Restated 2019 Equity Incentive Plan on May 28, 2025, all of which vest in full on May 28, 2026. Mr. Szuch, who joined the Board in July 2025, did not receive an annual restricted share grant in 2025.</w:t>
      </w:r>
    </w:p>
    <w:p>
      <w:pPr>
        <w:spacing w:after="0" w:line="229" w:lineRule="exact"/>
        <w:rPr>
          <w:rFonts w:ascii="Times New Roman" w:cs="Times New Roman" w:eastAsia="Times New Roman" w:hAnsi="Times New Roman"/>
          <w:sz w:val="18"/>
          <w:szCs w:val="18"/>
          <w:color w:val="auto"/>
        </w:rPr>
      </w:pPr>
    </w:p>
    <w:p>
      <w:pPr>
        <w:jc w:val="both"/>
        <w:ind w:left="345" w:hanging="345"/>
        <w:spacing w:after="0" w:line="266" w:lineRule="auto"/>
        <w:tabs>
          <w:tab w:leader="none" w:pos="3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113,848 shares held indirectly through the Allison Green Living Trust, dated September 30, 2024, and (ii) 75,957 restricted shares granted under the prior Amended and Restated 2019 Equity Incentive Plan on December 15, 2023, December 10, 2024, and May 16, 2025, and under the Second Amended and Restated 2019 Equity Incentive Plan on November 21, 2025, all of which are subject to certain vesting schedules.</w:t>
      </w:r>
    </w:p>
    <w:p>
      <w:pPr>
        <w:spacing w:after="0" w:line="229" w:lineRule="exact"/>
        <w:rPr>
          <w:rFonts w:ascii="Times New Roman" w:cs="Times New Roman" w:eastAsia="Times New Roman" w:hAnsi="Times New Roman"/>
          <w:sz w:val="18"/>
          <w:szCs w:val="18"/>
          <w:color w:val="auto"/>
        </w:rPr>
      </w:pPr>
    </w:p>
    <w:p>
      <w:pPr>
        <w:ind w:left="345" w:hanging="345"/>
        <w:spacing w:after="0"/>
        <w:tabs>
          <w:tab w:leader="none" w:pos="3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 the directors and officers is c/o SuRo Capital Corp., 640 Fifth Avenue, 12th Floor, New York, New York 10019.</w:t>
      </w:r>
    </w:p>
    <w:p>
      <w:pPr>
        <w:spacing w:after="0" w:line="279" w:lineRule="exact"/>
        <w:rPr>
          <w:rFonts w:ascii="Times New Roman" w:cs="Times New Roman" w:eastAsia="Times New Roman" w:hAnsi="Times New Roman"/>
          <w:sz w:val="18"/>
          <w:szCs w:val="18"/>
          <w:color w:val="auto"/>
        </w:rPr>
      </w:pPr>
    </w:p>
    <w:p>
      <w:pPr>
        <w:jc w:val="both"/>
        <w:ind w:left="345" w:hanging="345"/>
        <w:spacing w:after="0" w:line="253" w:lineRule="auto"/>
        <w:tabs>
          <w:tab w:leader="none" w:pos="3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obtained from a Schedule 13D/A (Amendment No. 3) filed jointly by GAMCO Investors, Inc., Gabelli Funds LLC, GAMCO Asset Management Inc., Gabelli &amp; Co. Investment Advisers, Inc., Gabelli Foundation, Inc., GGCP, Inc., Associated Capital Group, Inc., and Mario J. Gabelli on November 21, 2025, Mr. Gabelli acts as Chairman and CEO of GAMCO Investors, Inc., of which Gabelli Funds LLC and GAMCO Asset Management Inc. are wholly owned subsidiaries. Gabelli Funds LLC and GAMCO Asset Management Inc. are deemed to beneficially own and have sole voting power and sole dispositive power over 1,259,868 and 254,800 shares, respectively, of the Company’s Common Stock. In addition, Mr. Gabelli acts as Executive Chairman of Associated Capital Group, Inc., of which Gabelli &amp; Co. Investment Advisers, Inc. is a wholly owned subsidiary. Gabelli &amp; Co. Investment Advisers, Inc. is deemed to beneficially own and have sole voting power and sole dispositive power over 1,575 shares of the Company’s Common Stock. Finally, Mr. Gabelli acts as Chairman, Trustee, and Investment Manager of Gabelli Foundation, Inc., which is deemed to beneficially own and have sole voting power and sole dispositive power over 5,000 shares of the Company’s Common Stock. As a result, Mr. Gabelli is deemed to beneficially own 1,521,243 shares of the Company’s Common Stock directly owned by the aforementioned entities and over which he could be deemed to have shared voting power and shared dispositive power. The address for Mr. Gabelli is One Corporate Center, Rye, NY 10580.</w:t>
      </w:r>
    </w:p>
    <w:p>
      <w:pPr>
        <w:spacing w:after="0" w:line="21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5"/>
          </w:cols>
          <w:pgMar w:left="355" w:top="715"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9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Set forth below is the dollar range of equity securities beneficially owned by each of our directors as of the Record Date.</w:t>
            </w:r>
          </w:p>
        </w:tc>
        <w:tc>
          <w:tcPr>
            <w:tcW w:w="1800" w:type="dxa"/>
            <w:vAlign w:val="bottom"/>
          </w:tcPr>
          <w:p>
            <w:pPr>
              <w:spacing w:after="0"/>
              <w:rPr>
                <w:sz w:val="20"/>
                <w:szCs w:val="20"/>
                <w:color w:val="auto"/>
              </w:rPr>
            </w:pPr>
          </w:p>
        </w:tc>
      </w:tr>
      <w:tr>
        <w:trPr>
          <w:trHeight w:val="410"/>
        </w:trPr>
        <w:tc>
          <w:tcPr>
            <w:tcW w:w="9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 Range</w:t>
            </w:r>
          </w:p>
        </w:tc>
      </w:tr>
      <w:tr>
        <w:trPr>
          <w:trHeight w:val="216"/>
        </w:trPr>
        <w:tc>
          <w:tcPr>
            <w:tcW w:w="9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Equity</w:t>
            </w:r>
          </w:p>
        </w:tc>
      </w:tr>
      <w:tr>
        <w:trPr>
          <w:trHeight w:val="216"/>
        </w:trPr>
        <w:tc>
          <w:tcPr>
            <w:tcW w:w="9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20"/>
        </w:trPr>
        <w:tc>
          <w:tcPr>
            <w:tcW w:w="9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r>
      <w:tr>
        <w:trPr>
          <w:trHeight w:val="275"/>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180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1"/>
              </w:rPr>
              <w:t>Beneficially</w:t>
            </w:r>
            <w:r>
              <w:rPr>
                <w:rFonts w:ascii="Times New Roman" w:cs="Times New Roman" w:eastAsia="Times New Roman" w:hAnsi="Times New Roman"/>
                <w:sz w:val="29"/>
                <w:szCs w:val="29"/>
                <w:b w:val="1"/>
                <w:bCs w:val="1"/>
                <w:color w:val="auto"/>
                <w:w w:val="91"/>
                <w:vertAlign w:val="superscript"/>
              </w:rPr>
              <w:t>(1)(2)</w:t>
            </w:r>
          </w:p>
        </w:tc>
      </w:tr>
      <w:tr>
        <w:trPr>
          <w:trHeight w:val="209"/>
        </w:trPr>
        <w:tc>
          <w:tcPr>
            <w:tcW w:w="9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1800" w:type="dxa"/>
            <w:vAlign w:val="bottom"/>
            <w:shd w:val="clear" w:color="auto" w:fill="CCEEFF"/>
          </w:tcPr>
          <w:p>
            <w:pPr>
              <w:spacing w:after="0"/>
              <w:rPr>
                <w:sz w:val="18"/>
                <w:szCs w:val="18"/>
                <w:color w:val="auto"/>
              </w:rPr>
            </w:pP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A. Potter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Mazur</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Westley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M. Lott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$100,000</w:t>
            </w:r>
          </w:p>
        </w:tc>
      </w:tr>
      <w:tr>
        <w:trPr>
          <w:trHeight w:val="23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Szuch</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$50,001 - $100,000</w:t>
            </w:r>
          </w:p>
        </w:tc>
      </w:tr>
    </w:tbl>
    <w:p>
      <w:pPr>
        <w:spacing w:after="0" w:line="206" w:lineRule="exact"/>
        <w:rPr>
          <w:sz w:val="20"/>
          <w:szCs w:val="20"/>
          <w:color w:val="auto"/>
        </w:rPr>
      </w:pPr>
    </w:p>
    <w:p>
      <w:pPr>
        <w:ind w:left="380" w:hanging="345"/>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 – $10,000, $10,001 – $50,000, $50,001 – $100,000, or Over $100,000.</w:t>
      </w:r>
    </w:p>
    <w:p>
      <w:pPr>
        <w:spacing w:after="0" w:line="279" w:lineRule="exact"/>
        <w:rPr>
          <w:rFonts w:ascii="Times New Roman" w:cs="Times New Roman" w:eastAsia="Times New Roman" w:hAnsi="Times New Roman"/>
          <w:sz w:val="18"/>
          <w:szCs w:val="18"/>
          <w:color w:val="auto"/>
        </w:rPr>
      </w:pPr>
    </w:p>
    <w:p>
      <w:pPr>
        <w:jc w:val="both"/>
        <w:ind w:left="380" w:right="40" w:hanging="345"/>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range of equity securities beneficially owned in us is based on the closing price for our common stock of $13.22 per share as of close of market on April 27, 2026 on the Nasdaq Global Select Market. Beneficial ownership has been determined in accordance with Rule 16a-1(a)(2) of the Exchange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any persons who own 10% or more of our voting stock, to file reports of ownership and changes in ownership of our equity securities with the SEC. Directors, executive officers and 10% or more holders are required by SEC regulations to furnish us with copies of all Section 16(a) forms they file. Based solely on a review of the copies of those forms filed with the SEC, or written representations that no such forms were required, we believe that our directors, executive officers and 10% or more beneficial owners (if any) complied with all Section 16(a) filing requirements during the fiscal year ended December 31, 2025, except as follows: Ronald Lott, a director, filed one late Form 4 on October 28, 2025 reporting sales of common stock on December 26, 2024 and June 11, 2025. Mark Klein, Chairman, Chief Executive Officer and President, filed one late Form 4 on December 16, 2025 reporting shares withheld to satisfy tax withholding obligations in connection with the vesting of restricted shares on December 10, 2025. Allison Green, Chief Financial Officer, Chief Compliance Officer, Treasurer and Corporate Secretary, filed one late Form 4 on December 16, 2025 reporting shares withheld to satisfy tax withholding obligations in connection with the vesting of restricted shares on December 10,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Externalization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7, 2026, the Company announced that, on April 2, 2026, the Board of Directors, including all of the independent directors, unanimously approved the Company’s transition from an internally managed BDC to an externally managed structure (the “Externalization”). In connection with the Externalization, the Company expects to enter into (i) an investment advisory agreement (the “Advisory Agreement”) with Neostellar Advisors LLC (the “Adviser”), an entity jointly owned by certain current Company employees and Magnetar Holdings LLC (the “Magnetar JV Entity”), and (ii) an administration agreement (the “Administration Agreement”) with Neostellar Administrative Services LLC, an affiliate of the Adviser (the “Administrator”). Subject to certain conditions, an affiliate of the Magnetar JV Entity has also agreed to make a $20,000,000 investment in the Company. Following the Externalization, the Company intends to change its name to Neostellar Capital Corp. and to adopt a new ticker symbol.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Externalization is subject to approval of the Advisory Agreement by the holders of a “majority of the outstanding voting securities” of the Company at a separate special meeting of stockholders (the “Special Meeting”), as required by Section 15(a) of the 1940 Act. Approval of the Externalization is not a matter to be voted on at the Annual Meeting and the matters to be voted on at the Annual Meeting are not contingent upon, or otherwise affected by, the outcome of the vote at the Special Meeting. Following stockholder approval and satisfaction of other closing conditions, the Externalization is expected to be effective on July 1, 2026. Additional information regarding the Externalization, the Advisory Agreement and the related transactions is contained in the Company’s Current Report on Form 8-K filed with the SEC on April 7, 2026 and in the Company’s separate proxy statement for the Special Meeting filed in preliminary form on April 7, 2026, copies of which are available without charge on the SEC’s website at www.sec.gov.</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Stockholders should be aware that, if the Externalization is approved and consummated, the Company will no longer have employees and the existing employment agreements with Mr. Klein and Ms. Green will be terminated; instead, Mr. Klein and Ms. Green will become employed by the Adviser, and the Company will receive investment advisory and administrative services from the Adviser and the Administrator and will pay the fees, as described in the Special Meeting’s Proxy Statement, to the Adviser and the Administrator in lieu of bearing the compensation expenses of its current employees. In connection with the Externalization, the Board has approved (a) the full vesting (subject to lock-up agreements that tie to original vesting schedules) of all outstanding restricted shares granted under the Company’s Second Amended and Restated 2019 Equity Incentive Plan, (b) a grant of 350,000 restricted shares to Mr. Klein and 60,000 restricted shares to Ms. Green, and (c) a cash bonus of $850,000 to Mr. Klein and $500,000 to Ms. Green, in each case effective upon the closing of the Externalization. None of these compensation actions is being submitted to stockholders for approval at the Annual Meeting and the Advisory Vote on Executive Compensation (Proposal II) does not apply to such post-closing arrangements.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96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PROPOSAL I: ELECTION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Company’s charter, the number of directors is set at five unless otherwise designated by the Board of Directors pursuant to the Company’s bylaws. In accordance with the Company’s bylaws, the Board of Directors has designated the current number of directors to be six. Directors generally are elected for a staggered term of three years each, with a term of office of one of the three classes of directors expiring each year. Each director will hold office for the term to which he or she is elected or until his or her successor is duly elected and qualified.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Mark D. Klein and Lisa Westley are currently directors and each has been nominated to continue to serve as a director of the Company for a three-year term expiring in 2029. If elected, Mr. Klein, as an interested director, does not serve on any standing committee of the Board of Directors, each of which is composed solely of independent directors, but will continue to serve as Chairman of the Board of Directors. If elected, Ms. Westley will continue to serve on the Audit Committee, the Compensation Committee, and the Valuation Committee, and will continue to serve as Chair of the Compensation Committee. Mr. Klein and Ms. Westley are not being proposed for election to the Board of Directors pursuant to any arrangement or understanding between either of themselves and the Company or any other person.</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 stockholder can vote for or withhold his or her vote from the director-nominees. </w:t>
      </w:r>
      <w:r>
        <w:rPr>
          <w:rFonts w:ascii="Times New Roman" w:cs="Times New Roman" w:eastAsia="Times New Roman" w:hAnsi="Times New Roman"/>
          <w:sz w:val="18"/>
          <w:szCs w:val="18"/>
          <w:b w:val="1"/>
          <w:bCs w:val="1"/>
          <w:color w:val="auto"/>
        </w:rPr>
        <w:t>In the absence of instructions to the contrary, it is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intention of the persons named as proxies to vote such proxy “FOR” the election of the director-nominees named above. If any of the director-nominees should decline or be unable to serve as a director, it is intended that the proxy will vote for the election of such person as is nominated by the Board of Directors as a replacement. </w:t>
      </w:r>
      <w:r>
        <w:rPr>
          <w:rFonts w:ascii="Times New Roman" w:cs="Times New Roman" w:eastAsia="Times New Roman" w:hAnsi="Times New Roman"/>
          <w:sz w:val="18"/>
          <w:szCs w:val="18"/>
          <w:color w:val="auto"/>
        </w:rPr>
        <w:t>The Board of Directors has no reason to believe that the director-nominees named above will be unable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unwilling to serve.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 OF THE DIRECTOR-NOMINEES NAMED IN THIS PROXY 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Director-Nominees and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described below under “Corporate Governance — Committees of the Board of Directors — Nominating and Corporate Governance Committee,” the Board of Directors has identified certain desired talents and experience for the director-nominees. Each of our directors and each of the director-nominees has demonstrated high character and integrity; the knowledge, skills and experience necessary to be able to offer advice and guidance to our management in light of prevailing business conditions; familiarity with national and international business matters; experience with accounting rules and practices; appreciation of the relationship of our business to the changing needs of society; and the desire to balance the considerable benefit of continuity with the periodic injection of fresh perspective. Each of our directors and each of the director-nominees also has sufficient time available to devote to the affairs of the Company, is able to work with the other members of the Board of Directors and contribute to the success of the Company and can represent the long-term interests of the Company’s stockholders as a whole. Our directors and the director-nominees have been selected such that the Board of Directors represents a range of backgrounds and experience.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information as of the Record Date with respect to Mr. Klein and Ms. Westley, the director-nominees for election at the Annual Meeting, as well as each of the current directors, is set forth below, including their names, ages, a brief description of their recent business experience, including present occupations and employment, certain directorships that each person holds, the year in which each person became a director of the Company, and a discussion of each person’s particular experience, qualifications, attributes or skills that lead us to conclude, as of the Record Date, that such individual should serve as a director of the Company, in light of the Company’s business and structure. There were no legal proceedings of the type described in Items 401(f)(7) and (8) of Regulation S-K in the past 10 years against any of our directors, the director-nominees or our officers, and none are currently pending.</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business address of the director-nominees and the directors listed below is 640 Fifth Avenue, 12th Floor, New York, New York 10019.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Information regarding the Board of Directors is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0"/>
                <w:szCs w:val="20"/>
                <w:color w:val="auto"/>
              </w:rPr>
            </w:pPr>
          </w:p>
        </w:tc>
        <w:tc>
          <w:tcPr>
            <w:tcW w:w="47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Since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Term</w:t>
            </w:r>
          </w:p>
        </w:tc>
      </w:tr>
      <w:tr>
        <w:trPr>
          <w:trHeight w:val="209"/>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198"/>
        </w:trPr>
        <w:tc>
          <w:tcPr>
            <w:tcW w:w="3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Mark D. Klein</w:t>
            </w:r>
          </w:p>
        </w:tc>
        <w:tc>
          <w:tcPr>
            <w:tcW w:w="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64</w:t>
            </w:r>
          </w:p>
        </w:tc>
        <w:tc>
          <w:tcPr>
            <w:tcW w:w="500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Chief Executive Officer, President, and Chairman and Director</w:t>
            </w:r>
          </w:p>
        </w:tc>
        <w:tc>
          <w:tcPr>
            <w:tcW w:w="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4"/>
              </w:rPr>
              <w:t>2011</w:t>
            </w:r>
          </w:p>
        </w:tc>
        <w:tc>
          <w:tcPr>
            <w:tcW w:w="200" w:type="dxa"/>
            <w:vAlign w:val="bottom"/>
          </w:tcPr>
          <w:p>
            <w:pPr>
              <w:spacing w:after="0"/>
              <w:rPr>
                <w:sz w:val="17"/>
                <w:szCs w:val="17"/>
                <w:color w:val="auto"/>
              </w:rPr>
            </w:pP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2029, if</w:t>
            </w:r>
          </w:p>
        </w:tc>
      </w:tr>
      <w:tr>
        <w:trPr>
          <w:trHeight w:val="234"/>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elected</w:t>
            </w: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M. Lott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Mazur</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5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198"/>
        </w:trPr>
        <w:tc>
          <w:tcPr>
            <w:tcW w:w="3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Lisa Westley</w:t>
            </w:r>
          </w:p>
        </w:tc>
        <w:tc>
          <w:tcPr>
            <w:tcW w:w="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60</w:t>
            </w:r>
          </w:p>
        </w:tc>
        <w:tc>
          <w:tcPr>
            <w:tcW w:w="500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2019</w:t>
            </w:r>
          </w:p>
        </w:tc>
        <w:tc>
          <w:tcPr>
            <w:tcW w:w="200" w:type="dxa"/>
            <w:vAlign w:val="bottom"/>
          </w:tcPr>
          <w:p>
            <w:pPr>
              <w:spacing w:after="0"/>
              <w:rPr>
                <w:sz w:val="17"/>
                <w:szCs w:val="17"/>
                <w:color w:val="auto"/>
              </w:rPr>
            </w:pP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2029, if</w:t>
            </w:r>
          </w:p>
        </w:tc>
      </w:tr>
      <w:tr>
        <w:trPr>
          <w:trHeight w:val="234"/>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elected</w:t>
            </w:r>
          </w:p>
        </w:tc>
      </w:tr>
      <w:tr>
        <w:trPr>
          <w:trHeight w:val="216"/>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Leonard A. Potter</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5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Szuch</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Mr. Klein is an “interested person,” as defined in the 1940 Act, of the Company due to his position as our Chief Executive Officer and President.</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D. Klein </w:t>
      </w:r>
      <w:r>
        <w:rPr>
          <w:rFonts w:ascii="Times New Roman" w:cs="Times New Roman" w:eastAsia="Times New Roman" w:hAnsi="Times New Roman"/>
          <w:sz w:val="18"/>
          <w:szCs w:val="18"/>
          <w:color w:val="auto"/>
        </w:rPr>
        <w:t>has spent the last two decades running public companies and investment firms. He has been our Chairman,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since August 2017 and a member of our Board of Directors since 2011. A director of our portfolio company Learneo (formerly Course Hero) since 2020, Mr. Klein has also served as a board member of certain exchange-listed special purpose acquisition companies (“SPACs”), including Churchill Capital Corp II from June 2019 to July 2021, Churchill Capital Corp III from June 2019 to October 2020, Churchill Capital Corp IV from July 2020 to February 2021, Churchill Capital Corp V from December 2020 to October 2023, Churchill Capital Corp VI from February 2021 to December 2023, and Churchill Capital Corp VII from February 2021 to August 2024. Additionally, since 2012, he has been Managing Member and Majority Partner at M. Klein &amp; Company, LLC, an investment banking and advisory firm. Before joining the Company, Mr. Klein held positions including Chairman and CEO at several public and private companies and served on a variety of corporate boards. He earned a bachelor’s degree with high distinction in Business Administration from Emory University and an MBA from the J. L. Kellogg School of Management at Northwestern University.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concluded that Mr. Klein’s extensive familiarity with the financial and investment banking industries and experience as a director of other publicly traded companies provides our Board of Directors with valuable insight and perspective, and that therefore he is qualified to serve as a member of our Board of Directors, including as Chairman.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Leonard A. Potter </w:t>
      </w:r>
      <w:r>
        <w:rPr>
          <w:rFonts w:ascii="Times New Roman" w:cs="Times New Roman" w:eastAsia="Times New Roman" w:hAnsi="Times New Roman"/>
          <w:sz w:val="18"/>
          <w:szCs w:val="18"/>
          <w:color w:val="auto"/>
        </w:rPr>
        <w:t>has served as our lead independent director since December 2020 and as a member of our Board of Directors since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Potter founded Wildcat Capital Management, LLC, a registered investment advisor, in September 2011, and has served as its president and chief investment officer since inception. Mr. Potter has also served as a founder and senior managing director of Vida Ventures I and II, each a biotech venture fund, since 2017. From 2002 through 2009, Mr. Potter was managing director — private equity at Soros Fund Management LLC (“SFM”) where, from May 2005 through July 2009, he served as co-head of its private equity group and as a member of the private equity investment committee. From July 2009 until September 2011, Mr. Potter served as a consultant to SFM, and as chief investment officer of Salt Creek Hospitality, a private acquirer and owner of hospitality-related assets, which was backed by SFM. From September 1998 until joining SFM in 2002, Mr. Potter was a managing director of Alpine Consolidated LLC, a private merchant bank. From April 1996 through September 1998, Mr. Potter founded and served as a managing director of Capstone Partners LLC, a private merchant bank (“Capstone”). Prior to founding Capstone, Mr. Potter was an attorney specializing in mergers, acquisitions, corporate governance and corporation finance at Morgan, Lewis &amp; Bockius LLP, and at Willkie Farr &amp; Gallagher LLP. Mr. Potter has served and continues to serve as a director on a number of boards of public and private companies, including SLR Investment Corp. (NASDAQ: SLRC), SLR Private Credit BDC LLC, and SLR HC BDC LLC, each a BDC, Versant Media Group, Inc (NASDAQ:VSNT) and, since January 2017, as chairman of the board of directors for Hilton Grand Vacations Inc. (NYSE: HGV). Additionally, from 2009 to 2022, Mr. Potter served on the board of directors of SLR Senior Capital Ltd. (NASDAQ: SUNS), a BDC. Mr. Potter received a Bachelor of Arts degree from Brandeis University and a Juris Doctor degree from Fordham University School of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concluded that Mr. Potter’s experience practicing as a corporate lawyer provides valuable insight to the Board of Directors on regulatory and risk management issues, and that his tenure in private equity investments and service as a director of both public and private companies provides industry-specific knowledge and expertise to our Board of Directors, and that therefore he is qualified to serve as a member of our Board of Directors, including as Lead Independent Director.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Ronald M. Lott </w:t>
      </w:r>
      <w:r>
        <w:rPr>
          <w:rFonts w:ascii="Times New Roman" w:cs="Times New Roman" w:eastAsia="Times New Roman" w:hAnsi="Times New Roman"/>
          <w:sz w:val="18"/>
          <w:szCs w:val="18"/>
          <w:color w:val="auto"/>
        </w:rPr>
        <w:t>has served as a member of our Board of Directors since 2015. Mr. Lott, a member of the Professional and College Football Halls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Fame, has served as the managing member of Lott Auto LLC since 2018, the managing member of Lott Auto Land LLC since 2018, the Chief Executive Officer of Lott Auto Ventures, LLC since 2004 and the managing member of Tracy Auto Land, LLC since 1998. Mr. Lott was previously co-partner and owner of Mercedes-Benz of Medford, Oregon from 2003 until 2011 and Stan Morris Chrysler in Tracy, California from 1997 until 1998. Mr. Lott has also been a member of the board of directors of OneMain Holdings, Inc. (NYSE: OMF), a provider of consumer finance and credit insurance products and services, since 2013 and True Capital Management, a wealth management firm designed for professional athletes, entertainers, and high net worth individuals, since 2006. In 1999, Mr. Lott co-founded HRJ Capital, L.L.C., an investment management firm, remaining as a managing partner through 2009, until it was sold. Between 2013 and 2015, Mr. Lott served as a consultant for TVU Networks Corp., a product and service company for the television industry, and has been a consultant at H. Barton Asset Management, LLC since 2009. Mr. Lott serves on the Advisory Board for the following companies: Chegg, Inc., SportsBubble, LLC, ThoughtSpot, Inc., Uptake Technologies, Inc. and YourPeople, Inc. (d/b/a Zenefits). Mr. Lott played 14 seasons in the National Football League before retiring from professional football in 1994.</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concluded that Mr. Lott’s leadership experience and his extensive business and management experience as a director of a public company and as a small business owner provide significant value to our Board of Directors, and that therefore he is qualified to serve as a member of our Board of Directors.</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Marc Mazur </w:t>
      </w:r>
      <w:r>
        <w:rPr>
          <w:rFonts w:ascii="Times New Roman" w:cs="Times New Roman" w:eastAsia="Times New Roman" w:hAnsi="Times New Roman"/>
          <w:sz w:val="18"/>
          <w:szCs w:val="18"/>
          <w:color w:val="auto"/>
        </w:rPr>
        <w:t>has served as a member of our Board of Directors since March 2017. Mr. Mazur has served as an Industry Advisor to Brightwood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Advisors, LLC, a private debt fund, since 2014, as a member of the Board of Directors of American Addiction Centers since August 2024, as a member of the board of directors of Soren Acquisition Corp., a SPAC, since January 2026, and as a member of the board of directors of Celularity Inc. from July 2021 to July 2024. He also served as a member of the board of directors for Fibrocell Science, Inc. (NASDAQ: FCSC), an autologous cell and gene therapy company, from April 2010 to December 2019, GX Acquisition Corp., a SPAC which was the predecessor to Celularity Inc. upon its business combination, from May 2019 to July 2021, and GX Acquisition Corp. II, a SPAC, from February 2021 to March 2023 upon the completion of its business combination. Mr. Mazur previously served as the Chief Executive Officer of Brevan Howard U.S. Asset Management, a London-based global macro hedge fund, and as a senior advisor of such company until 2010. He also previously served as a senior advisor to Tsinghua Venture Capital Company. Mr. Mazur served in management roles at Salomon Brothers, Inc., The Goldman Sachs Group, Inc. from 1987 until 1996, and served as a consultant for Goldman from 1997 to 1999. He was an executive with Careinsite/Medical Manager and has served as a director of Staywell Health, DeVilbiss Healthcare, ChanceLight Behavioral Health and other private companies in the wellness, addiction treatment, homecare and medical device fields. Mr. Mazur received his B.A. in Political Science from Columbia University and a J.D. from Villanova University School of Law.</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concluded that Mr. Mazur’s senior executive-level experience in finance, healthcare consulting and business strategy, as well as his board experience, provide valuable expertise to the Board of Directors, and that therefore he is qualified to serve as a member of our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Lisa Westley </w:t>
      </w:r>
      <w:r>
        <w:rPr>
          <w:rFonts w:ascii="Times New Roman" w:cs="Times New Roman" w:eastAsia="Times New Roman" w:hAnsi="Times New Roman"/>
          <w:sz w:val="18"/>
          <w:szCs w:val="18"/>
          <w:color w:val="auto"/>
        </w:rPr>
        <w:t>has served as a member of our Board of Directors since July 2019. Ms. Westley is a Managing Director and Head of Strategy, Advent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 at Advent International Corporation, a global private equity firm. From 2014 to 2018, Ms. Westley was a Partner and Chief Operating Officer of Brooklands Capital Strategies, a spin-out of TPG Capital that provides global fundraising and strategic advisory services to alternative asset managers and companies at all stages of growth. Prior to Brooklands Capital Strategies, Ms. Westley spent nine years at TPG Capital, initially as the Chief Operating Officer of TPG’s Asia-Pacific private equity business and subsequently as the Global Head of Talent Management. Before TPG, Ms. Westley spent 15 years as an investment banker, having been a Founding Partner, Co-Head of the Consumer Group and Head of the IT Services / Business Services Group at Thomas Weisel Partners and a Senior Managing Director at Montgomery Securities. Ms. Westley began her investment banking career at Goldman, Sachs</w:t>
      </w:r>
    </w:p>
    <w:p>
      <w:pPr>
        <w:spacing w:after="0" w:line="1" w:lineRule="exact"/>
        <w:rPr>
          <w:sz w:val="20"/>
          <w:szCs w:val="20"/>
          <w:color w:val="auto"/>
        </w:rPr>
      </w:pPr>
    </w:p>
    <w:p>
      <w:pPr>
        <w:ind w:firstLine="8"/>
        <w:spacing w:after="0" w:line="260" w:lineRule="auto"/>
        <w:tabs>
          <w:tab w:leader="none" w:pos="1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and Salomon Brothers, Inc. Ms. Westley received a B.A., phi beta kappa, in Economics and Asian Studies from Amherst College and an M.B.A. from the Stanford Graduate School of Business.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concluded that Ms. Westley’s leadership experience and her extensive business, management, and advisory experience with various companies provide significant value to our Board of Directors, and that therefore she is qualified to serve as a member of our Board of Directors.</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Szuch </w:t>
      </w:r>
      <w:r>
        <w:rPr>
          <w:rFonts w:ascii="Times New Roman" w:cs="Times New Roman" w:eastAsia="Times New Roman" w:hAnsi="Times New Roman"/>
          <w:sz w:val="18"/>
          <w:szCs w:val="18"/>
          <w:color w:val="auto"/>
        </w:rPr>
        <w:t>has served as a member of our Board of Directors since July 2025. Mr. Szuch started his career in the law in public service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prosecutor and tried approximately 40 criminal cases to verdict by the age of 30. From 1992 until 2019, he represented national and regional banks, broker dealers and investment advisers and counseled them with respect to their legal and regulatory obligations. He helped coordinate the defense of some of the largest securities claims in the country, including cases related to the fallout from the 2000 and 2008 market crashes and Puerto Rico’s debt repricing in 2013. In 2019, he re-entered public service when he joined the New Jersey Bureau of Securities as its Enforcement Chief. Enforcement handled investigations and made recommendations about actions related to securities law violations, whether by registered or unregistered persons. He acted as the lead interrogator in some of the country’s largest fraud investigations and worked with counterparts at the SEC, FINRA and other agencies to investigate and prosecute fraud impacting the securities markets. Mr. Szuch returned to the private sector in 2023 and is now a litigation shareholder with the law firm Stevens &amp; Lee. His focus remains on securities-related work. He also co-leads Stevens &amp; Lee’s Senior Investor Compliance Services Team, which provides training and guidance to help firms protect their investor clients from bad actor exploitation and scams. Mr. Szuch served for decades on the Board of the Vermont Rail System, a family-owned, short line rail freight operation. Over the years, he has performed board and advisory work for non-profit organizations, and he frequently lectures about his work experience, the financial markets and industry issues at events sponsored by the SEC, FINRA, SIFMA, and the National Society of Compliance Professionals.</w:t>
      </w:r>
    </w:p>
    <w:p>
      <w:pPr>
        <w:spacing w:after="0" w:line="19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concluded that Mr. Szuch’s leadership experience and his extensive business, legal, and advisory experience with various companies provide significant value to our Board of Directors, and that therefore he is qualified to serve as a member of our Board of Directors.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Officers Who Are Not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pertains to our executive officers who are not directors of the Company, as of the Record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6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Officer Since</w:t>
            </w: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Allison Green</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4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 Treasurer, and Corporate Secretary</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Nash</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56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Compliance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bl>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Allison Green </w:t>
      </w:r>
      <w:r>
        <w:rPr>
          <w:rFonts w:ascii="Times New Roman" w:cs="Times New Roman" w:eastAsia="Times New Roman" w:hAnsi="Times New Roman"/>
          <w:sz w:val="18"/>
          <w:szCs w:val="18"/>
          <w:color w:val="auto"/>
        </w:rPr>
        <w:t>has served as our Chief Financial Officer since April 2019, and as our Treasurer and Corporate Secretary since June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Additionally, she served as the Company’s Chief Compliance Officer from March 2020 until March 2026. Ms. Green served as our Controller from July 2017 to April 2019 and as our Senior Vice President of Finance from May 2018 to April 2019. She also served as the Vice President of GSV Asset Management, LLC, the Company’s former external investment adviser, from July 2017 to March 2019. Prior to joining the Company and GSV Asset Management, LLC, she was the Controller and an accounting and financial consultant at Rise Companies Corp., the parent company of Fundrise, a Washington DC-based crowdfunded real estate investment platform, from April 2016 to April 2017. Prior to Rise Companies Corp., Ms. Green was the Controller at the Girl Scout Council of the Nation’s Capital and a ProInspire Fellow at the Council from September 2013 to April 2016. Ms. Green was a member of the Fund Management and Coinvestment teams at The Carlyle Group, focusing on Europe and US Real Estate and Energy Funds from June 2009 to August 2013 and began her career at Deloitte &amp; Touche LLP in Los Angeles as an audit associate focused on financial services clients. Ms. Green graduated with degrees in Accounting and Finance from the University of Southern California.</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Nash </w:t>
      </w:r>
      <w:r>
        <w:rPr>
          <w:rFonts w:ascii="Times New Roman" w:cs="Times New Roman" w:eastAsia="Times New Roman" w:hAnsi="Times New Roman"/>
          <w:sz w:val="18"/>
          <w:szCs w:val="18"/>
          <w:color w:val="auto"/>
        </w:rPr>
        <w:t>has served as the Company’s Chief Compliance Officer since March 2026 through ACA Group, where he serves other ACA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fund clients. Mr. Nash has over 20 years of 1940 Act registered fund accounting, administration, legal and compliance experience. He has served as named CCO for multiple registered fund complexes including exchange-traded funds, traditional open-end mutual funds and closed-end funds, and is a frequent contributor to fund industry legal and compliance commentary. Mr. Nash joined ACA as a Director, Fund Chief Compliance Officer in 2016. Prior to joining ACA, he served as a Regulatory Administration Advisor with JPMorgan, providing comprehensive regulatory, compliance and fund governance support to registered fund clients. Mr. Nash’s prior experience includes supervisory roles with State Street and Pioneer Investments, where he gained operational experience in fund accounting, financial reporting and administration. He received his BA in Economics from Boston University, his JD from Suffolk University Law School and is licensed to practice law in the Commonwealth of Massachusetts.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rules of the Nasdaq Global Select Market, our Board of Directors annually determines each director’s independence. We do not consider a director independent unless the Board of Directors has determined that he or she has no material relationship with us and that he or she satisfied the independence requirements of the 1940 Act. We monitor the relationships of our directors and officers through a questionnaire each director completes no less frequently than annually and updates periodically as information provided in the most recent questionnaire changes.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evaluate the materiality of any such relationship, the Board of Directors uses the definition of director independence set forth in the rules promulgated by the Nasdaq Global Select Market. The applicable Nasdaq Global Select Market rules provide that a director of a BDC shall be considered to be independent if he or she is not an “interested person” of the Company, as defined in Section 2(a)(19) of the 1940 Act.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has determined that each of Ms. Westley and Messrs. Potter, Lott, Mazur, and Szuch is independent and has no relationship with us, except as a director and/or stockholder. Mr. Klein is not independent due to his position as our Chief Executive Officer and President.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monitors and performs an oversight role with respect to the business and affairs of the Company, including with respect to investment practices and performance, compliance with regulatory requirements, and the services, expenses and performance of service providers to the Company. Among other things, our Board of Directors approves the appointment of our executive officers, reviews and monitors the services and activities performed by our executive officers and approves the engagement, and reviews the performance of, our independent public accounting firm.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our bylaws, our Board of Directors may designate a Chair to preside over the meetings of the Board of Directors and meetings of the stockholders and to perform such other duties as may be assigned to him by the Board of Directors. We do not have a fixed policy as to whether the Chair of the Board of Directors should be an independent director and believe that we should maintain the flexibility to select the Chair and reorganize the leadership structure, from time to time, based on the criteria that is in the best interests of the Company and its stockholders at such times.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has appointed Mr. Klein to serve as Chair of the Board of Directors. Mr. Klein is an “interested person” of the Company (as defined in Section 2(a)(19) of the 1940 Act) due to his position as our Chief Executive Officer and President. Our Board of Directors believes that Mr. Klein is best situated to serve as Chair of the Board of Directors given his history with the Company, familiarity with its business and industry, extensive knowledge of the financial and investment banking industries and experience as a director of other publicly traded companies. The Company’s independent directors bring experience, oversight and expertise from outside the Company and industry, while Mr. Klein brings Company-specific and industry-specific experience and expertise. We believe that the Company is best served through the existing leadership structure of the Board of Directors, as it promotes strategy development and execution and effective corporate governance, and Mr. Klein’s relationship with management provides an effective bridge and encourages an open dialogue between management and the Board of Directors, ensuring that both groups act with a common purpose.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appointed Mr. Potter, one of our independent directors, to serve as Lead Independent Director. The Lead Independent Director presides over executive sessions of the independent directors and serves as a key point person for interactions and communications between management and the independent directors. Our corporate governance policies include regular meetings of the independent directors in executive session without the presence of interested directors and management, the establishment of audit, valuation, compensation and nominating and corporate governance committees comprised solely of independent directors, and the appointment of a Chief Compliance Officer, with whom the independent directors meet regularly without the presence of interested directors and other members of management, for administering our compliance policies and procedures.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that different board leadership structures are appropriate for companies in different situations. We intend to re-examine our corporate governance policies on an ongoing basis to ensure that they continue to meet the Company’s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Role in Risk Oversight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performs its risk oversight function primarily through (a) its four standing committees, each comprised solely of independent directors, which report to the entire Board of Directors, and (b) active monitoring of our Chief Compliance Officer and our compliance policies and procedures and performance thereunder.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described below in more detail under “Committees of the Board of Directors,” the Audit Committee, Nominating and Corporate Governance Committee, Compensation Committee and Valuation Committee assist the Board of Directors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Board of Directors and our management. The Compensation Committee’s risk oversight responsibilities include assisting the Board of Directors with matters related to compensation generally, including director and executive officer compensation. The Valuation Committee’s risk oversight responsibilities include establishing guidelines and making recommendations to our Board of Directors regarding the valuation of our investments.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also performs its risk oversight responsibilities with the assistance of the Chief Compliance Officer. The Board of Directors, at least annually, reviews a written report from the Chief Compliance Officer discussing the adequacy and effectiveness of our compliance policies and procedures and those of our service providers. The Chief Compliance Officer’s annual report addresses, at a minimum, (a) the operation of our compliance policies and procedures and those of our service providers since the last report; (b) any material changes to such policies and procedures since the last report; (c) any recommendations for material changes to such policies and procedures as a result of the Chief Compliance Officer’s annual review; and (d)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role in risk oversight is effective and appropriate given the extensive regulation to which we are already subject as a BDC. As a BDC, we are required to comply with certain regulatory requirements that control the levels of risk in our business and operations. For example, our ability to incur indebtedness is limited such that our asset coverage must equal at least 200% (or 150% if certain requirements under the 1940 Act are met) immediately after each time we incur indebtedness, we generally have to invest at least 70% of our gross assets in “qualifying assets,” and we are not generally permitted to invest in any portfolio company in which one of our affiliates currently has an investment.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that different board roles in risk oversight are appropriate for companies in different situations. We intend to re-examine the manners in which our Board of Directors administers its oversight function on an ongoing basis to ensure that they continue to meet our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Nominating and Corporate Governance Committee, a Valuation Committee and a Compensation Committee. During the fiscal year ended December 31, 2025, our Board of Directors held six meetings, our Audit Committee held five meetings, our Nominating and Corporate Governance Committee held two meetings, our Valuation Committee held eight meetings and our Compensation Committee held six meetings. All incumbent directors attended at least 75% of the aggregate number of meetings of the Board of Directors and of the respective committees on which they serve. We require each director to make a diligent effort to attend all board and committee meetings, as well as each annual meeting of stockholders. In 2025, all but one of our directors attended the annual meeting of stockholders.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Audit Committee operates pursuant to a charter approved by our Board of Directors, which sets forth the responsibilities of the Audit Committee and which is made available on our website at </w:t>
      </w:r>
      <w:r>
        <w:rPr>
          <w:rFonts w:ascii="Times New Roman" w:cs="Times New Roman" w:eastAsia="Times New Roman" w:hAnsi="Times New Roman"/>
          <w:sz w:val="18"/>
          <w:szCs w:val="18"/>
          <w:i w:val="1"/>
          <w:iCs w:val="1"/>
          <w:color w:val="auto"/>
        </w:rPr>
        <w:t>https://investors.surocap.com/corporate-governance</w:t>
      </w:r>
      <w:r>
        <w:rPr>
          <w:rFonts w:ascii="Times New Roman" w:cs="Times New Roman" w:eastAsia="Times New Roman" w:hAnsi="Times New Roman"/>
          <w:sz w:val="18"/>
          <w:szCs w:val="18"/>
          <w:color w:val="auto"/>
        </w:rPr>
        <w:t>. The Audit Committee’s responsibilities include selecting our independent registered public accounting firm, reviewing with such independent registered public accounting firm the planning, scope and results of its audit of our financial statements, pre-approving the fees for services performed, reviewing with the independent registered public accounting firm the adequacy of our internal control systems, reviewing our annual financial statements and periodic filings and receiving our audit reports and financial statements.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is currently composed of Ms. Westley and Messrs. Lott, Mazur and Potter, each of whom is considered independent under the rules of the Nasdaq Global Select Market and is not an “interested person” of SuRo Capital as that term is defined in Section 2(a)(19) of the 1940 Act. Mr. Mazur serves as Chair of the Audit Committee. Our Board of Directors has determined that Mr. Potter is an “audit committee financial expert” as that term is defined under Item 407 of Regulation S-K, as promulgated under the Exchange Act. Each of Ms. Westley and Messrs. Lott, Mazur and Potter meets the current independence and experience requirements of Rule 10A-3 of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operates pursuant to a charter approved by our Board of Directors, which is made available on our website at </w:t>
      </w:r>
      <w:r>
        <w:rPr>
          <w:rFonts w:ascii="Times New Roman" w:cs="Times New Roman" w:eastAsia="Times New Roman" w:hAnsi="Times New Roman"/>
          <w:sz w:val="18"/>
          <w:szCs w:val="18"/>
          <w:i w:val="1"/>
          <w:iCs w:val="1"/>
          <w:color w:val="auto"/>
        </w:rPr>
        <w:t>https://investors.surocap.com/corporate-governance</w:t>
      </w:r>
      <w:r>
        <w:rPr>
          <w:rFonts w:ascii="Times New Roman" w:cs="Times New Roman" w:eastAsia="Times New Roman" w:hAnsi="Times New Roman"/>
          <w:sz w:val="18"/>
          <w:szCs w:val="18"/>
          <w:color w:val="auto"/>
        </w:rPr>
        <w:t>. The members of the Nominating and Corporate Governance Committee are Messrs. Potter, Lott, Mazur, and Szuch, each of whom is considered independent under the rules of the Nasdaq Global Select Market and is not an “interested person” of SuRo Capital as that term is defined in Section 2(a)(19) of the 1940 Act. Mr. Lott serves as Chair of the Nominating and Corporate Governance Committee.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selecting, researching and nominating directors for election by our stockholders, selecting nominees to fill vacancies on the Board of Directors or a committee thereof, developing and recommending to the Board of Directors a set of corporate governance principles and overseeing the evaluation of the Board of Directors and our management. The Nominating and Corporate Governance Committee’s policy is to consider nominees properly recommended by our stockholders in accordance with our charter, bylaws and applicable law. See “Submission of Stockholder Proposals” in this Proxy Statement for more information.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seeks candidates who possess the background, skills and expertise to make a significant contribution to us, our stockholders and our Board of Directors. In considering possible candidates for election as a director, the Nominating and Corporate Governance Committee takes into account, in addition to such other factors as it deems relevant, the desirability of selecting directors who:</w:t>
      </w:r>
    </w:p>
    <w:p>
      <w:pPr>
        <w:spacing w:after="0" w:line="203" w:lineRule="exact"/>
        <w:rPr>
          <w:sz w:val="20"/>
          <w:szCs w:val="20"/>
          <w:color w:val="auto"/>
        </w:rPr>
      </w:pPr>
    </w:p>
    <w:p>
      <w:pPr>
        <w:ind w:left="1060" w:right="20" w:hanging="350"/>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of the highest character and integrity and have an inquiring mind, vision, a willingness to ask hard questions and the ability to work well with others;</w:t>
      </w:r>
    </w:p>
    <w:p>
      <w:pPr>
        <w:spacing w:after="0" w:line="215" w:lineRule="exact"/>
        <w:rPr>
          <w:rFonts w:ascii="Times New Roman" w:cs="Times New Roman" w:eastAsia="Times New Roman" w:hAnsi="Times New Roman"/>
          <w:sz w:val="18"/>
          <w:szCs w:val="18"/>
          <w:color w:val="auto"/>
        </w:rPr>
      </w:pPr>
    </w:p>
    <w:p>
      <w:pPr>
        <w:ind w:left="1060" w:right="40" w:hanging="350"/>
        <w:spacing w:after="0" w:line="282"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free of any conflict of interest that would violate any applicable law or regulation or interfere with the proper performance of the responsibilities of a director;</w:t>
      </w:r>
    </w:p>
    <w:p>
      <w:pPr>
        <w:spacing w:after="0" w:line="215" w:lineRule="exact"/>
        <w:rPr>
          <w:rFonts w:ascii="Times New Roman" w:cs="Times New Roman" w:eastAsia="Times New Roman" w:hAnsi="Times New Roman"/>
          <w:sz w:val="18"/>
          <w:szCs w:val="18"/>
          <w:color w:val="auto"/>
        </w:rPr>
      </w:pPr>
    </w:p>
    <w:p>
      <w:pPr>
        <w:jc w:val="both"/>
        <w:ind w:left="1060" w:right="20" w:hanging="350"/>
        <w:spacing w:after="0" w:line="258" w:lineRule="auto"/>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willing and able to devote sufficient time to the affairs of the Company and are diligent in fulfilling the responsibilities of a member of the Board of Directors and a member of any committees thereof   (including developing and maintaining sufficient knowledge of the Company and the specialty finance industry in general; reviewing and analyzing reports and other information important to responsibilities of the Board of Directors and any committee thereof; preparing for, attending and participating in meetings of the Board of Directors and meetings of any committee thereof; and satisfying appropriate orientation and continuing education guidelines); and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ind w:left="1060" w:right="20" w:hanging="350"/>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capacity and desire to represent the balanced, best interests of the stockholders of SuRo Capital as a whole and not primarily a special interest group or constituency.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has not adopted a formal policy with regard to the consideration of diversity in identifying director-nominees. In determining whether to recommend a director-nominee, the Nominating and Corporate Governance Committee considers and discusses diversity, among other factors, with a view toward the needs of the Board of Directors as a whole. When identifying and recommending director-nominees, the Nominating and Corporate Governance Committee generally conceptualizes diversity expansively to include, without limitation, concepts such as race, gender, national origin, differences of viewpoint, professional experience, education, skill and other qualities that contribute to the Board of Directors. The Nominating and Corporate Governance Committee believes that the inclusion of diversity as one of many factors considered in selecting director-nominees is consistent with the Nominating and Corporate Governance Committee’s goal of creating a Board of Directors that best serves our needs and the interests of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Committee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Valuation Committee establishes guidelines and makes recommendations to our Board of Directors regarding the valuation of our investments. The Board of Directors and Valuation Committee utilize the services of nationally recognized third-party valuation firms to help determine the fair value of our securities that are not publicly traded and for which there are no readily available market quotations including securities that, while listed on a private securities exchange, have not actively traded. The Valuation Committee is presently composed of Ms. Westley and Messrs. Mazur, Potter, and Szuch, each of whom is considered independent under the rules of the Nasdaq Global Select Market and is not an “interested person” of the Company, as that term is defined in Section 2(a)(19) of the 1940 Act. Mr. Potter serves as Chair of the Valuation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Compensation Committee operates pursuant to a charter approved by our Board of Directors, which is made available on our website at </w:t>
      </w:r>
      <w:r>
        <w:rPr>
          <w:rFonts w:ascii="Times New Roman" w:cs="Times New Roman" w:eastAsia="Times New Roman" w:hAnsi="Times New Roman"/>
          <w:sz w:val="18"/>
          <w:szCs w:val="18"/>
          <w:i w:val="1"/>
          <w:iCs w:val="1"/>
          <w:color w:val="auto"/>
        </w:rPr>
        <w:t>https://investors.surocap.com/corporate-governance</w:t>
      </w:r>
      <w:r>
        <w:rPr>
          <w:rFonts w:ascii="Times New Roman" w:cs="Times New Roman" w:eastAsia="Times New Roman" w:hAnsi="Times New Roman"/>
          <w:sz w:val="18"/>
          <w:szCs w:val="18"/>
          <w:color w:val="auto"/>
        </w:rPr>
        <w:t>. The Compensation Committee is responsible for reviewing and approving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reviewing and making recommendations to the Board of Directors regarding incentive compensation and equity-based plans. In connection with reviewing and approving compensation of our executive officers, the Compensation Committee, among other things, (i) considers the Company’s goals and objectives relevant to executive officer compensation; (ii) evaluates each executive officer’s performance in light of such goals and objectives and set each executive officer’s compensation based on such evaluation and such other factors as the Compensation Committee deems appropriate and in the best interests of the Company (including the cost to the Company of such compensation); and (iii) determines any long-term incentive component of each executive officer’s compensation based on awards given to such executive officer in past years (if any), the Company’s performance, stockholder return and the value of similar incentive awards relative to such targets at comparable companies and such other factors as the Compensation Committee deems appropriate and in the best interests of the Company (including the cost to the Company of such compensation). In addition, the Compensation Committee is responsible for assisting the Board of Directors with matters related to compensation generally, including director and executive officer compensation. The Compensation Committee has the authority to engage compensation consultants and to delegate their duties and responsibilities to a member or to a subcommittee of the Compensation Committee.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is presently composed of Ms. Westley and Messrs. Lott, Potter and Szuch, each of whom is considered independent under the rules of the Nasdaq Global Select Market and is not an “interested person” of the Company, as that term is defined in Section 2(a)(19) of the 1940 Act. Ms. Westley serves as Chair of the Compensation Committee.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fiscal year ended December 31, 2025, no member of the Compensation Committee was an officer, former officer or employee of ours or had any relationship with the Company requiring disclosure under Item 404 of Regulation S-K. Each member of the Compensation Committee is independent for purposes of the applicable listing standards of the Nasdaq Global Select Market. In addition, no Compensation Committee interlocking relationships, as set forth under Item 407(e) of Regulation S-K, existed during the fiscal year ended December 31, 2025, between any member of the Board of Directors, the Compensation Committee or our executive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Stockholders with questions about us are encouraged to contact our Investor Relations Department. However, if stockholders believe that their questions have not been addressed, they may communicate with our Board of Directors by sending their communications to SuRo Capital Corp., Board of Directors, 640 Fifth Avenue, 12th Floor, New York, New York 10019. Stockholders should indicate clearly the director or directors to whom the communication is being sent so that each communication may be forwarded directly to the appropriate director(s).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communications involving accounting, internal accounting controls and auditing matters, possible violations of or non-compliance with applicable legal and regulatory requirements or policies, or retaliatory acts against anyone who makes such a complaint or assists in the investigation of such a complaint, will be referred to the Audit Committee.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acceptance and forwarding of a communication to any director does not imply that the director owes or assumes any fiduciary duty to the person submitting the communication, all such duties being only as prescribed by applicable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Speculative Trading and Pledging of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insider trading policy prohibits our directors, executive officers and employees from engaging in any short-term trading, short sales and other speculative transactions involving our securities, including buying or selling puts or calls or other derivative securities based on our securities. In addition, such persons are prohibited under our insider trading policy from (i) entering into hedging or monetization transactions (such as zero-cost collars and forward-sale contracts) or similar arrangements, except in circumstances that are pre-approved by our Chief Compliance Officer, and (ii) pledging our securities in a margin account or as collateral for a loan, except that our securities may be pledged as collateral for a loan (not including margin debt) if such person clearly demonstrates the financial capacity to repay the loan without resort to the pledged securities and such transaction is pre-approved by our Chief Compliance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which applies to, among others, our senior officers, including our Chief Executive Officer and President and our Chief Financial Officer, as well as any of our directors and employees. Our code of business conduct and ethics is available on our website at </w:t>
      </w:r>
      <w:r>
        <w:rPr>
          <w:rFonts w:ascii="Times New Roman" w:cs="Times New Roman" w:eastAsia="Times New Roman" w:hAnsi="Times New Roman"/>
          <w:sz w:val="18"/>
          <w:szCs w:val="18"/>
          <w:i w:val="1"/>
          <w:iCs w:val="1"/>
          <w:color w:val="auto"/>
        </w:rPr>
        <w:t>https://investors.surocap.com/corporate-governance.</w:t>
      </w:r>
      <w:r>
        <w:rPr>
          <w:rFonts w:ascii="Times New Roman" w:cs="Times New Roman" w:eastAsia="Times New Roman" w:hAnsi="Times New Roman"/>
          <w:sz w:val="18"/>
          <w:szCs w:val="18"/>
          <w:color w:val="auto"/>
        </w:rPr>
        <w:t xml:space="preserve"> We will report any material amendments to or waivers of a required provision of our code of conduct and/or corporate governance guidelines on our website and/or in a current report on Form 8-K filed with the SEC.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that we paid during the year ended December 31, 2025 to our independent directors. Directors who are employees and therefore “interested persons” of the Company (as such term is defined in Section 2(a)(19) of the 1940 Act) do not receive compensation for their services as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or Paid in Cash</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center"/>
              <w:ind w:right="480"/>
              <w:spacing w:after="0" w:line="270" w:lineRule="exact"/>
              <w:rPr>
                <w:sz w:val="20"/>
                <w:szCs w:val="20"/>
                <w:color w:val="auto"/>
              </w:rPr>
            </w:pPr>
            <w:r>
              <w:rPr>
                <w:rFonts w:ascii="Times New Roman" w:cs="Times New Roman" w:eastAsia="Times New Roman" w:hAnsi="Times New Roman"/>
                <w:sz w:val="18"/>
                <w:szCs w:val="18"/>
                <w:b w:val="1"/>
                <w:bCs w:val="1"/>
                <w:color w:val="auto"/>
                <w:w w:val="92"/>
              </w:rPr>
              <w:t>Awards</w:t>
            </w:r>
            <w:r>
              <w:rPr>
                <w:rFonts w:ascii="Times New Roman" w:cs="Times New Roman" w:eastAsia="Times New Roman" w:hAnsi="Times New Roman"/>
                <w:sz w:val="29"/>
                <w:szCs w:val="29"/>
                <w:b w:val="1"/>
                <w:bCs w:val="1"/>
                <w:color w:val="auto"/>
                <w:w w:val="92"/>
                <w:vertAlign w:val="superscript"/>
              </w:rPr>
              <w:t>(1)</w:t>
            </w:r>
          </w:p>
        </w:tc>
        <w:tc>
          <w:tcPr>
            <w:tcW w:w="144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29"/>
                <w:szCs w:val="29"/>
                <w:b w:val="1"/>
                <w:bCs w:val="1"/>
                <w:color w:val="auto"/>
                <w:vertAlign w:val="superscript"/>
              </w:rPr>
              <w:t>(3)</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Leonard A. Potter</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M. Lott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165,000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Mazur</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170,000</w:t>
            </w:r>
          </w:p>
        </w:tc>
      </w:tr>
      <w:tr>
        <w:trPr>
          <w:trHeight w:val="257"/>
        </w:trPr>
        <w:tc>
          <w:tcPr>
            <w:tcW w:w="52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Richard Szuch</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Westley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165,000</w:t>
            </w:r>
          </w:p>
        </w:tc>
      </w:tr>
    </w:tbl>
    <w:p>
      <w:pPr>
        <w:spacing w:after="0" w:line="225" w:lineRule="exact"/>
        <w:rPr>
          <w:sz w:val="20"/>
          <w:szCs w:val="20"/>
          <w:color w:val="auto"/>
        </w:rPr>
      </w:pPr>
    </w:p>
    <w:p>
      <w:pPr>
        <w:jc w:val="both"/>
        <w:ind w:left="380" w:right="40" w:hanging="345"/>
        <w:spacing w:after="0" w:line="261"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Messrs. Potter, Lott and Mazur and Ms. Westley (the “Independent Directors”) were granted 7,812 restricted shares of the Company’s common stock on May 28, 2025 under the Second Amended and Restated 2019 Equity Incentive Plan, which shares vest in full on the earlier of</w:t>
      </w:r>
    </w:p>
    <w:p>
      <w:pPr>
        <w:jc w:val="both"/>
        <w:ind w:left="38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one-year anniversary of the date of grant or (ii) the date of our annual meeting of stockholders. As such, these restricted shares were unvested and outstanding as of December 31, 2025. The amounts reflected in the table represent the grant date fair value of such restricted share grants in accordance with FASB ASC Topic 718 based on the closing price of our common stock on the Nasdaq Global Select Market on the grant date. Pursuant to SEC rules, the amounts shown exclude the impact of any estimated forfeitures related to service-based vesting conditions. Such amounts may not correspond to the actual value that will be recognized by such independent directors upon vesting.</w:t>
      </w:r>
    </w:p>
    <w:p>
      <w:pPr>
        <w:spacing w:after="0" w:line="240" w:lineRule="exact"/>
        <w:rPr>
          <w:rFonts w:ascii="Times New Roman" w:cs="Times New Roman" w:eastAsia="Times New Roman" w:hAnsi="Times New Roman"/>
          <w:sz w:val="18"/>
          <w:szCs w:val="18"/>
          <w:color w:val="auto"/>
        </w:rPr>
      </w:pPr>
    </w:p>
    <w:p>
      <w:pPr>
        <w:jc w:val="both"/>
        <w:ind w:left="380" w:right="40" w:hanging="345"/>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Szuch was appointed to the Board of Directors effective July 1, 2025. In lieu of the annual restricted stock grant of $50,000 provided to other independent directors, Mr. Szuch received $50,000 in cash, which he used to purchase shares of the Company’s common stock on the open market in accordance with the Company’s policies and applicable law.</w:t>
      </w:r>
    </w:p>
    <w:p>
      <w:pPr>
        <w:spacing w:after="0" w:line="229" w:lineRule="exact"/>
        <w:rPr>
          <w:rFonts w:ascii="Times New Roman" w:cs="Times New Roman" w:eastAsia="Times New Roman" w:hAnsi="Times New Roman"/>
          <w:sz w:val="18"/>
          <w:szCs w:val="18"/>
          <w:color w:val="auto"/>
        </w:rPr>
      </w:pPr>
    </w:p>
    <w:p>
      <w:pPr>
        <w:jc w:val="both"/>
        <w:ind w:left="380" w:right="40" w:hanging="345"/>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above do not include accrued cash dividends on unvested restricted shares granted to the Independent Directors under the Second Amended and Restated 2019 Equity Incentive Plan. Such accrued dividends, if any, will be paid only upon vesting of the underlying restricted shares.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periodically reviews the compensation of our independent directors and recommends any changes to the Board of Directors for approval. Our independent directors currently receive an annual fee of $100,000. They also receive reimbursement of reasonable out-of-pocket expenses incurred in connection with attending each Board of Directors and committee meeting in person. The Chair of the Audit Committee and the Lead Independent Director of the Board of Directors each receive an annual cash fee of $20,000, and each Chair of the other committees receives an annual fee of $15,000 for his or her additional services in these capacities. No compensation is paid to directors who are “interested persons” of the Company (as such term is defined in Section 2(a)(19) of the 1940 Act) for their service on the Board of Directors.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Second Amended and Restated 2019 Equity Incentive Plan provides a means through which we may attract and retain qualified independent directors to enter into and remain in service on our Board of Directors. Pursuant to the terms of the Second Amended and Restated 2019 Equity Incentive Plan, each of our independent directors annually receives $50,000 in restricted shares on the date of each annual meeting of stockholders, with the number of restricted shares determined by dividing such amount by the closing price of our common stock on the Nasdaq Global Select Market on the date of grant. Each grant of $50,000 in restricted shares will vest if the independent director is in continuous service with the Company through the anniversary of such grant (or, if earlier, the annual meeting of the Company’s stockholders that is closest to the anniversary of such grant).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Compensation Discussion and Analysis, or CD&amp;A, provides information relating to the compensation of the Company’s Named Executive Officers, or NEOs, for 2025, who were:</w:t>
      </w:r>
    </w:p>
    <w:p>
      <w:pPr>
        <w:spacing w:after="0" w:line="189" w:lineRule="exact"/>
        <w:rPr>
          <w:sz w:val="20"/>
          <w:szCs w:val="20"/>
          <w:color w:val="auto"/>
        </w:rPr>
      </w:pPr>
    </w:p>
    <w:p>
      <w:pPr>
        <w:ind w:left="1060" w:hanging="350"/>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D. Klein, Chairman and Member of the Board of Directors, Chief Executive Officer and President; and</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Allison Green, Chief Financial Officer, Chief Compliance Officer, Treasurer, and Corporate Secretary.</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internally managed BDC and our senior management team consists of Mark D. Klein and Allison Green. These executive officers have entered into employment agreements with us and are compensated according to the terms of such agreements, which are described below under “Employment Agreements.”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arrangements described in this Compensation Discussion and Analysis reflect the Company’s compensation philosophy and arrangements as an internally managed BDC during 2025 and through the date of this Proxy Statement. As described in “Recent Developments— Externalization” above, if the proposed Externalization is approved by stockholders at the Special Meeting and consummated, the Company will no longer have employees, the existing employment agreements with Mr. Klein and Ms. Green will be terminated, and Mr. Klein and Ms. Green will become employed by the Adviser. The Company will instead receive investment advisory and administrative services from the Adviser and the Administrator and will pay the fees, as described in the Special Meeting’s Proxy Statement, to the Adviser and the Administrator in lieu of bearing the compensation expenses of its current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attract and retain key executives, motivate them to achieve our business objectives, reward them for performance, encourage them to think and act like our stockholders and align their interests with those of our stockholders. The structure of the NEOs’ employment agreements and our incentive compensation programs are designed to encourage and reward the following, among other things:</w:t>
      </w:r>
    </w:p>
    <w:p>
      <w:pPr>
        <w:spacing w:after="0" w:line="203" w:lineRule="exact"/>
        <w:rPr>
          <w:sz w:val="20"/>
          <w:szCs w:val="20"/>
          <w:color w:val="auto"/>
        </w:rPr>
      </w:pPr>
    </w:p>
    <w:p>
      <w:pPr>
        <w:ind w:left="1060" w:right="20" w:hanging="350"/>
        <w:spacing w:after="0" w:line="282"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pursuing attractively priced investment opportunities in the securities of rapidly growing venture capital-backed emerging companies;</w:t>
      </w:r>
    </w:p>
    <w:p>
      <w:pPr>
        <w:spacing w:after="0" w:line="215"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accomplishing our investment objectives;</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we allocate capital in the most effective manner possible; and</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stockholder value.</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program for our NEOs is structured to reflect what we believe to be appropriate practices in corporate governance and executive compensation. The Compensation Committee has the primary authority to establish compensation for the NEOs and administers all executive compensation arrangements and policies. The Company’s Chief Executive Officer assists the Compensation Committee by providing recommendations regarding the compensation of NEOs, excluding himself. The Compensation Committee exercises its discretion by modifying or accepting these recommendations. The Chief Executive Officer and other members of management routinely attend a portion of the Compensation Committee meetings. However, the Compensation Committee often meets in executive session without the Chief Executive Officer or other members of management when discussing compensation matters and on other occasions as determined by the Compensation Committee.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takes into account competitive market practices with respect to the salaries and total direct compensation of the NEOs and other key employees. Members of the Compensation Committee consider market practices by reviewing public and non-public information for executives at comparable companies and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Compensation Consultant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may engage independent compensation consultants to assist the Compensation Committee and provide advice on a variety of compensation matters relating to NEO, other key employee and independent director compensation, incentive compensation plans and compensation trends, best practices and regulatory matters. Any such compensation consultants are hired by and report directly to the Compensation Committee. Although compensation consultants may work directly with management on behalf of the Compensation Committee, any such work is under the control and supervision of the Compensation Committee.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Compensation Committee retained Mercer (US) LLC (“Mercer”) as an independent compensation consultant to provide such compensation consulting services for the 2025 fiscal year, including to benchmark and opine on market competitive compensation levels and mix necessary to attract and retain quality executive officers, other key employees and independent directors. From time to time and in support of Mercer’s role as an adviser to the Compensation Committee, Mercer receives input regarding the Company’s strategic goals and the manner in which executive and independent director compensation should support these goals. The Compensation Committee assessed Mercer’s independence under Item 407(e)(3)(iv) of Regulation S-K and the Nasdaq Listing Rules — considering, among other factors, the provision of other services by Mercer to the Company, the amount of fees paid to Mercer as a percentage of Mercer’s total revenue, Mercer’s policies and procedures designed to prevent conflicts of interest, any business or personal relationships of the Mercer consultants with members of the Compensation Committee or the Company’s executive officers, and any Company stock owned by such consultants — and concluded that Mercer is independent and that Mercer’s work did not raise any conflicts of interest.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Assessment of Market Data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assessing the competitiveness of executive compensation levels, the Compensation Committee analyzes market data of certain companies, including internally managed BDCs, private equity firms and other asset management and financial services companies. This analysis focuses on the compensation practices at companies and funds reasonably comparable in asset size, typical investment size and type, market capitalization and general business scope as compared to the Company. The key elements of compensation, including base salary, annual bonuses, and long-term incentives are reviewed.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regards to other internally managed BDCs like the Company, the Compensation Committee considers the compensation practices and policies pertaining to executive officers as detailed in such companies’ respective proxies, research analysts’ reports and other publicly available information. However, there are relatively few internally managed BDCs, and none that are directly comparable to the Company in regards to business strategies, assets under management, typical investment size and type and market capitalization. Moreover, regarding the compensation and retention of executive talent, the Company also competes with private equity funds, private credit funds, venture funds and other types of specialized investment funds. Since these funds are generally private companies that are not required to publicly disclose their executive compensation practices and policies, the Compensation Committee relies on third-party compensation surveys as well as other available information to compare compensation practices and policies.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Items taken into account from comparable companies and funds include, but are not necessarily limited to, base compensation, bonus compensation, stock option awards, restricted stock awards, carried interest and other compensation. In addition to actual levels of cash and equity related compensation, the Compensation Committee also considers other approaches comparable companies are taking with regard to overall executive compensation practices. Such items include, but are not necessarily limited to, the use of employment agreements for certain employees, the mix of cash and equity compensation, and certain corporate and executive performance measures that are established to achieve longer term total return for stockholders. Finally, in addition to analyzing comparable companies and funds, the Compensation Committee also evaluates the relative cost structure of the Company as compared to the entire BDC sector, including internally and externally managed BDCs, as well as other private funds.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Assessment of Company Performance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sustained financial performance, consistent stockholder returns and proportional employee compensation are essential components for the Company’s long-term business success. The Company typically makes multiple year investments in its portfolio companies. However, the Company’s business plan involves taking on investment risks over a range of time periods. Accordingly, much emphasis is focused on maintaining the stability of net asset values as well as the continuity of earnings to pass through to stockholders in the form of increased net asset value per share and dividends. The maintenance and growth of net asset value and overall operating performance of the Company are key metrics in the Compensation Committee’s assessment of financial performance.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primary strategy is to maximize its investment portfolio’s total return, principally by realizing capital gains from equity and equity-related investments and generating current income from debt and equity-related investments. Such capital gains and current income are key drivers to stockholder returns and value. Achieving this strategy requires a methodical asset acquisition approach and active monitoring and management of our investment portfolio over time. A meaningful part of the Company’s employee base is dedicated to the maintenance of asset values, the generation of new investment opportunities and the expansion of capital gains and recurring income to sustain and grow our net asset value and dividends, and thus stockholder returns and value. The Compensation Committee believes that stability of the management team is critical to achieving successful implementation of the Company’s strategies. Further, in establishing and assessing executive salary and performance incentives, the Compensation Committee is more focused on the Company’s results as compared to its business objectives, rather than the performance of the Company relative to other comparable companies or industry metrics.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Advisory Vote on Executive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Most recently, at our 2025 Annual Meeting of Stockholders, our stockholders voted, on an advisory basis, to conduct an advisory vote on executive compensation annually. In accordance with the results of this vote, our Board of Directors will continue to hold an advisory vote on executive compensation annually. The next required advisory vote on the frequency of stockholder advisory votes on the compensation of executives is scheduled to occur at the 2031 Annual Meeting of Stockholders.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our 2025 Annual Meeting of Stockholders, our stockholders approved the advisory vote on executive compensation for the 2024 fiscal year with approximately 91% of the votes cast voting for approval. However, only 7,776,419 votes were cast on such proposal and there were 7,478,575 Broker Non-Votes. We have reviewed and continue to review our executive compensation program such that it recognizes the business environment in which we operate, attracts and incentivizes qualified executives and other key employees, and is aligned with stockholder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2025, the components of the Company’s direct compensation for NEOs included:</w:t>
      </w:r>
    </w:p>
    <w:p>
      <w:pPr>
        <w:spacing w:after="0" w:line="252" w:lineRule="exact"/>
        <w:rPr>
          <w:sz w:val="20"/>
          <w:szCs w:val="20"/>
          <w:color w:val="auto"/>
        </w:rPr>
      </w:pPr>
    </w:p>
    <w:p>
      <w:pPr>
        <w:ind w:left="1060" w:hanging="350"/>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bonuses and additional cash bonuses;</w:t>
      </w:r>
    </w:p>
    <w:p>
      <w:pPr>
        <w:spacing w:after="0" w:line="279" w:lineRule="exact"/>
        <w:rPr>
          <w:rFonts w:ascii="Times New Roman" w:cs="Times New Roman" w:eastAsia="Times New Roman" w:hAnsi="Times New Roman"/>
          <w:sz w:val="18"/>
          <w:szCs w:val="18"/>
          <w:color w:val="auto"/>
        </w:rPr>
      </w:pPr>
    </w:p>
    <w:p>
      <w:pPr>
        <w:ind w:left="1060" w:right="40" w:hanging="350"/>
        <w:spacing w:after="0" w:line="282" w:lineRule="auto"/>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under the prior Amended and Restated 2019 Equity Incentive Plan and the Second Amended and Restated 2019 Equity Incentive Plan; and</w:t>
      </w:r>
    </w:p>
    <w:p>
      <w:pPr>
        <w:spacing w:after="0" w:line="215"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Compensation Committee designs each NEO’s direct compensation package to appropriately reward the NEO for his or her contribution to the Company. The judgment and experience of the Compensation Committee are weighed with individual and Company performance metrics and in consultation with the Compensation Committee’s independent third-party compensation consultant and the Company’s Chief Executive Officer (except with respect to himself) to determine the appropriate mix of compensation for each individual. The Compensation Committee does not target a specific level of compensation relative to market practice, and only uses such data as a reference point when establishing compensation levels for NEOs. Cash compensation consisting of base salary and discretionary bonuses tied to achievement of individual performance goals that are reviewed and approved by the Compensation Committee, as well as corporate objectives, are intended to motivate NEOs to remain with the Company and work to achieve expected business objectives. Stock-based compensation is awarded based on performance expectations approved by the Compensation Committee for each NEO. The blend of short-term and long- term compensation may be adjusted from time to time to balance the Compensation Committee’s views regarding the benefits of current cash compensation and appropriate retention incentives.</w:t>
      </w:r>
    </w:p>
    <w:p>
      <w:pPr>
        <w:spacing w:after="0" w:line="1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For additional information regarding the compensation of the NEOs for 2025, please refer to “Compensation of Executive Officers.”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Base salary is used to recognize the experience, skills, knowledge, and responsibilities required of the NEOs in their roles. The Compensation Committee’s goal in setting the base salary levels for the NEOs is to adequately compensate the NEOs for expected base levels of performance and provide for the adequate retention of the NEOs. In connection with establishing the base salary of each NEO, the Compensation Committee and management consider a number of factors, including the seniority and experience level of the individual, the functional role of the position, the level of the individual’s responsibility, the ability to replace the individual, the relative number of well-qualified candidates available, and the NEO’s employment agreement. In addition, the Compensation Committee considers the base salaries paid to comparably situated executive officers and other competitive market practices. This data is provided to the Compensation Committee by its independent compensation consultant.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Salaries are reviewed on an annual basis, as well as at the time of promotion or any substantial change in responsibilities. The leading factors in determining increases in salary level are individual performance and competitive pressures.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amount of annual base salary paid to each NEO for 2025 is presented under the caption entitled “Compensation of Executive Officers —  Summary Compensation Table.” The Compensation Committee believes that the base salaries were competitive in the marketplace and appropriate for the Company’s NEOs as a key component of an overall compensation package.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Bonuses and Additional Cash Bonuses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Annual cash bonuses are intended to reward individual performance during the year and can be highly variable from year to year. As described under “1940 Act Restrictions on Company Performance Based Compensation,” because we are a BDC, cash bonus awards for the NEOs are determined by the Compensation Committee on a discretionary basis, taking into account performance criteria, particularly corporate and individual performance goals and other measures established by the Compensation Committee with the Chief Executive Officer’s input (except with respect to his own performance criteria). Should actual performance exceed expected performance criteria, the Compensation Committee may adjust individual cash bonuses to take such superior performance into account. Likewise, should actual performance fall below expected performance criteria, the Compensation Committee may adjust individual cash bonuses to take such performance into account.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Amendment No. 2 to the Second Amended Employment Agreement (as such term is defined below), Mr. Klein is eligible to earn an annual cash bonus of up to one hundred percent (100%) of base salary. Under the Amendment No. 3 to the Second Amended Employment Agreement, Ms. Green is eligible to earn an annual cash bonus of up to one hundred and twenty five percent (125%) of base salary. Both executives are eligible for an additional cash bonus in excess of such annual cash bonus. The Compensation Committee and the Board of Directors determined that the potential for, and use of, such additional cash bonus payments would better align the NEOs’ interests with those of the Company’s stockholders.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considered a number of major outcomes as well as other factors when evaluating the cash bonuses paid to NEOs for 2025. The Compensation Committee also consulted with its independent compensation consultant and considered the NEOs’ employment agreements as amended. The net result of these considerations resulted in cash bonuses paid to the NEOs, including an annual cash bonus and an additional cash bonus. In particular, cash bonuses paid to NEOs for 2025 performance included recognition of the following:</w:t>
      </w:r>
    </w:p>
    <w:p>
      <w:pPr>
        <w:spacing w:after="0" w:line="207" w:lineRule="exact"/>
        <w:rPr>
          <w:sz w:val="20"/>
          <w:szCs w:val="20"/>
          <w:color w:val="auto"/>
        </w:rPr>
      </w:pPr>
    </w:p>
    <w:p>
      <w:pPr>
        <w:ind w:left="1060" w:right="20" w:hanging="350"/>
        <w:spacing w:after="0" w:line="282"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a total shareholder return of 69% in 2025, calculated from the closing share price on the last trading day of fiscal year 2024 to the closing price on the last trading day of fiscal year 2025, inclusive of dividends paid;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left="1060" w:hanging="350"/>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net asset value (“NAV”) per share from $6.68 to $8.09, not inclusive of $0.50 per share in dividends paid during the year;</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and paid $0.50 per share in dividends;</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exited investments resulting in net realized gains of approximately $33.2 million;</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raised capital through current At The Market offering;</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successful execution of additional Convertible Note issuances and repurchase of current debt;</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prudent investments within the portfolio, focusing on high-quality opportunities to ensure efficiency;</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the overall portfolio valuation process, including consistency and thoroughness of updated heuristics;</w:t>
      </w:r>
    </w:p>
    <w:p>
      <w:pPr>
        <w:spacing w:after="0" w:line="279" w:lineRule="exact"/>
        <w:rPr>
          <w:rFonts w:ascii="Times New Roman" w:cs="Times New Roman" w:eastAsia="Times New Roman" w:hAnsi="Times New Roman"/>
          <w:sz w:val="18"/>
          <w:szCs w:val="18"/>
          <w:color w:val="auto"/>
        </w:rPr>
      </w:pPr>
    </w:p>
    <w:p>
      <w:pPr>
        <w:ind w:left="1060" w:right="20" w:hanging="350"/>
        <w:spacing w:after="0" w:line="282" w:lineRule="auto"/>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efforts to reduce operating expenses, including the renegotiation of select contracts, resulting in a reduction in expenses compared to the prior year; and,</w:t>
      </w:r>
    </w:p>
    <w:p>
      <w:pPr>
        <w:spacing w:after="0" w:line="215"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fostered the development and internal growth of the team, which remained fully staffed throughout the year.</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did not weight these factors and used discretion in determining the cash bonus amount allocated to each executive for 2025. Overall, the Compensation Committee assessed both Company and individual performance.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approved the following annual cash bonus and additional cash bonus payments to each NEO:</w:t>
      </w:r>
    </w:p>
    <w:p>
      <w:pPr>
        <w:spacing w:after="0" w:line="252" w:lineRule="exact"/>
        <w:rPr>
          <w:sz w:val="20"/>
          <w:szCs w:val="20"/>
          <w:color w:val="auto"/>
        </w:rPr>
      </w:pPr>
    </w:p>
    <w:p>
      <w:pPr>
        <w:ind w:left="1060" w:hanging="350"/>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10302"/>
        </w:rPr>
        <w:t>Mr. Klein: $850,000 annual cash bonus plus $1,500,000 additional bonus</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10302"/>
        </w:rPr>
        <w:t>Ms. Green: $500,000 annual cash bonus plus $500,000 additional bonus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amounts are also presented under the caption entitled “Compensation of Executive Officers — Summary Compensation Table.”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Awards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1, 2025, the Board of Directors approved and adopted the Second Amended and Restated 2019 Equity Incentive Plan, and on May 28, 2025, stockholders approved the Second Amended and Restated 2019 Equity Incentive Plan, which amended, restated and superseded the Company’s prior Amended and Restated 2019 Equity Incentive Plan. On July 31, 2019, the Board of Directors approved and adopted the Amended and Restated 2019 Equity Incentive Plan, and on June 19, 2020, stockholders approved the Amended and Restated 2019 Equity Incentive Plan, which amended and restated and superseded the Company’s 2019 Equity Incentive Plan in its entirety to provide stock-based awards as long-term incentive compensation to employees, including the NEOs. The Company uses stock-based awards to (i) attract and retain key employees and officers, (ii) motivate employees and officers by means of performance-related incentives to achieve long-range performance goals, (iii) enable employees and officers to participate in the Company’s long-term growth, (iv) link employees’ compensation to the long-term interests of stockholders, (v) recognize individual contributions to corporate strategic priorities and to the long-term performance of the Company and (vi) provide competitive total direct compensation. The Compensation Committee has authority to select the persons to receive stock-based awards, and our Board of Directors may also grant awards and administer the Second Amended and Restated 2019 Equity Incentive Plan in its sole discretion. At the time of each award, the Compensation Committee will determine the terms of the award in its sole discretion, including any performance period (or periods) and any performance objectives relating to the award.</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Restricted Shares</w:t>
      </w:r>
      <w:r>
        <w:rPr>
          <w:rFonts w:ascii="Times New Roman" w:cs="Times New Roman" w:eastAsia="Times New Roman" w:hAnsi="Times New Roman"/>
          <w:sz w:val="18"/>
          <w:szCs w:val="18"/>
          <w:color w:val="auto"/>
        </w:rPr>
        <w:t>. The Company has received exemptive relief from the SEC that permits the Company to grant restricted shares in exchange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 recognition of services by its employees, officers and directors, including non-employee directors. Pursuant to the Second Amended and Restated 2019 Equity Incentive Plan, the Compensation Committee may award shares of restricted stock to plan participants in such amounts and on such terms as the Compensation Committee determines in its sole discretion, provided that such awards are consistent with the conditions set forth in the exemptive order. Each grant of restricted shares will be for a fixed number of shares as set forth in an award agreement between the grantee and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Award agreements will set forth time and/or performance vesting schedules and other appropriate terms and/or restrictions with respect to awards, including rights to dividends and voting rights. In 2021, the Compensation Committee began making annual grants of restricted shares to our NEOs, which generally vest in equal increments over a three-year time frame based on continued service during the vesting period.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previously granted equity awards in February. In 2022, additional cash bonus payments were made in lieu of equity awards that would otherwise have been granted in February 2023. Considering that no equity grants were made in February 2023, the Compensation Committee made the decision to distribute the equity grants that would have been allocated in February 2024 during December 2023. Following this cadence, in 2024, the Compensation Committee determined to distribute equity grants during December of that year. In 2025, the Compensation Committee elected to grant equity awards in two tranches, allocating an initial grant in May prior to the approval of the Second Amended and Restated 2019 Equity Incentive Plan, and a subsequent grant in November.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2025, our NEOs were granted the following restricted shares with the following values under the prior Amended and Restated 2019 Equity Incentive Plan and the Second Amended and Restated 2019 Equity Incentive Plan, respectively:</w:t>
      </w:r>
    </w:p>
    <w:p>
      <w:pPr>
        <w:spacing w:after="0" w:line="189" w:lineRule="exact"/>
        <w:rPr>
          <w:sz w:val="20"/>
          <w:szCs w:val="20"/>
          <w:color w:val="auto"/>
        </w:rPr>
      </w:pPr>
    </w:p>
    <w:p>
      <w:pPr>
        <w:ind w:left="1060" w:right="40" w:hanging="350"/>
        <w:spacing w:after="0" w:line="282"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Klein: 300,000 restricted shares worth $1,749,000 awarded in May 2025 and 174,465 restricted shares worth $1,550,994 in November 2025</w:t>
      </w:r>
    </w:p>
    <w:p>
      <w:pPr>
        <w:spacing w:after="0" w:line="215"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Green: 50,000 restricted shares worth $291,500 awarded in May 2025 and 956 restricted shares worth $8,499 in November 2025</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Restricted shares are granted under the Second Amended and Restated 2019 Equity Incentive Plan to recognize individual contributions to corporate strategic priorities and to align such contributions with the long-term performance of the Company. Other objectives of restricted share grants are to assist with retention, align NEO interests with stockholder interests, and to provide competitive total direct compensation. These grants recognize contributions to the future success of the Company, including expanded roles of NEOs within the Company, recruitment and development of personnel, advancement of strategic initiatives with benefits beyond the current year, development of appropriate capital structure alternatives and enhancement of the Company’s reputation with key constituents.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restricted shares granted to each NEO in 2025 is presented under the caption entitled “Compensation of Executive Officers —  Grants of Plan-Based Awards.”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Compensation Committee may in its sole discretion grant options to purchase shares of our common stock (including incentive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and non-qualified stock options) to the Company’s employees and officers, including employee directors. We expect that options granted by our Compensation Committee will represent a fixed number of shares of our common stock, will have an exercise, or strike, price equal to the fair market value of our common stock on the date of such grant, and will be exercisable, or “vested,” at some time at or after grant. The “fair market value” will be defined as the closing sales price of the common stock on the Nasdaq Global Select Market on the date of the grant. Some stock options granted by our Compensation Committee may vest simply by the holder remaining with us for a period of time, and some may vest based on our attaining certain performance levels. No options were granted in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Compensation Policies and Practices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risks arising from our compensation policies and practices for our employees are not reasonably likely to have a material adverse effect on the Company. In addition, the Compensation Committee believes that the mix and design of the elements of executive compensation do not encourage management to assume excessive risks.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has reviewed the elements of executive compensation to determine whether any portion of executive compensation encourages excessive risk taking and concluded:</w:t>
      </w:r>
    </w:p>
    <w:p>
      <w:pPr>
        <w:spacing w:after="0" w:line="189" w:lineRule="exact"/>
        <w:rPr>
          <w:sz w:val="20"/>
          <w:szCs w:val="20"/>
          <w:color w:val="auto"/>
        </w:rPr>
      </w:pPr>
    </w:p>
    <w:p>
      <w:pPr>
        <w:ind w:left="1060" w:right="40" w:hanging="350"/>
        <w:spacing w:after="0" w:line="282"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is allocated among base salaries, cash bonuses and other compensation opportunities in such a way as to not encourage excessive risk-taking;</w:t>
      </w:r>
    </w:p>
    <w:p>
      <w:pPr>
        <w:spacing w:after="0" w:line="215"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 discourages short-term risk taking;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left="1060" w:right="20" w:hanging="350"/>
        <w:spacing w:after="0" w:line="282" w:lineRule="auto"/>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goals are appropriately established across several key metrics and criteria in order to avoid an outcome where the failure to achieve any individual target would result in a large percentage loss of compensation; and</w:t>
      </w:r>
    </w:p>
    <w:p>
      <w:pPr>
        <w:spacing w:after="0" w:line="215" w:lineRule="exact"/>
        <w:rPr>
          <w:rFonts w:ascii="Times New Roman" w:cs="Times New Roman" w:eastAsia="Times New Roman" w:hAnsi="Times New Roman"/>
          <w:sz w:val="18"/>
          <w:szCs w:val="18"/>
          <w:color w:val="auto"/>
        </w:rPr>
      </w:pPr>
    </w:p>
    <w:p>
      <w:pPr>
        <w:jc w:val="both"/>
        <w:ind w:left="1060" w:right="40" w:hanging="350"/>
        <w:spacing w:after="0" w:line="266" w:lineRule="auto"/>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are encouraged to buy the Company’s common stock and are eligible to receive equity-based compensation, with multi-year vesting of equity-based awards under the Second Amended and Restated 2019 Equity Incentive Plan and the prior Amended and Restated 2019 Equity Incentive Plan accounting for the time horizon of risk.</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Finally, in addition to the factors described above, discretionary compensation decisions that are under the exclusive purview of the Compensation Committee include subjective considerations that restrain the influence of formulae or objective-driven determinations that might lead to excessive risk taking.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NEOs generally participate in the same benefit plans and programs as the Company’s other employees, including comprehensive medical, dental and vision insurance, short term and long term disability insurance and life insurance.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maintains a 401(k) plan for all full-time employees who are at least 21 years of age through which the Company makes non-discretionary matching contributions to each participant’s plan account on the participant’s behalf. For each participating employee, the Company’s contribution is a 50% match of the employee’s contributions up to a 6% contribution level, with a maximum annual regular matching contribution of $10,500 during 2025. All contributions to the plan, including those made by the Company, vest immediately. The Board of Directors may also, at its sole discretion, provide that the Company will make additional contributions to employee 401(k) plan accounts, which would also vest immediately. The Company provides no other material benefits, deferred compensation, perquisites or retirement benefits to the NEOs.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Recovery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Section 10D of the Exchange Act, Rule 10D-1 thereunder and Nasdaq Listing Rule 5608, the Board of Directors has adopted the SuRo Capital Corp. Dodd-Frank Compensation Recoupment Policy (the “Clawback Policy”), which requires the recovery of erroneously awarded incentive-based compensation received by current and former executive officers in the event of an accounting restatement, calculated on a pre-tax basis and without regard to fault. A copy of the Clawback Policy was filed as Exhibit 97.1 to the Company’s annual report on Form 10-K for the fiscal year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below, the Company is a party to an employment agreement with each of Mark D. Klein, the Company’s Chairman, Chief Executive Officer and President, and Allison Green, the Company’s Chief Financial Officer, Treasurer and Corporate Secretary. Ms. Green also served as the Company’s Chief Compliance Officer through March 15, 2026.</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28, 2020, the Company entered into an amended and restated employment agreement with each of Mr. Klein and Ms. Green (each, an “Amended Employment Agreement and collectively, the “Amended Employment Agreements”), which amended and restated the initial employment agreements, dated April 23, 2019, with such persons (the “Initial Employment Agreements”) in their entirety and set forth such NEOs’ salaries, bonuses and benefits for 2020 until such Amended Employment Agreements were amended in April 2021 in accordance with their terms, as described below. The Amended Employment Agreements were identical in all material respects to the Initial Employment Agreements, except that the Amended Employment Agreements extended the terms of the Initial Employment Agreements by one year to December 31, 2023 and included a provision making Mr. Klein and Ms. Green eligible to receive additional bonus payments in excess of the annual bonus payments set forth in the Initial Employment Agreements, provided that they used 100% of the net amount (as defined in the Amended Employment Agreements) of such additional bonus payments to purchase shares of the Company’s common stock.</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26, 2021, the Company entered into a second amended and restated employment agreement with each of Mr. Klein and Ms. Green (each, as may be amended from time to time, a “Second Amended Employment Agreement” and collectively, the “Second Amended Employment Agreements”), which are identical in all material respects to the Amended Employment Agreements, except that the Second Amended Employment Agreements extended the terms of the Amended Employment Agreements by one year to December 31, 2024. The Second Amended Employment Agreements set forth such NEOs’ salaries, bonuses and benefits until such Second Amended Employment Agreements are amended or terminated.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10, 2022, the Company executed Amendment No. 1 to the Second Amended Employment Agreement with Ms. Green, which adjusted the base salary and annual bonus terms of such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28, 2023, the Company executed Amendment No. 1 to the Second Amended Employment Agreement with Mr. Klein and Amendment No. 2 to the Second Amended Employment Agreement with Ms. Green, both of which extended the terms of the Second Amended Employment Agreements by two years to December 31, 2026.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29, 2025, the Company executed Amendment No. 2 to the Second Amended Employment Agreement with Mr. Klein and Amendment No. 3 to the Second Amended Employment Agreement with Ms. Green, both of which extended the terms of the previous agreements by three years to December 31, 2029 and provided the Board with greater discretion over any annual bonuses to be awarded under the terms of such agreement by establishing target amounts, rather than pre-established limits.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references to the Second Amended Employment Agreements between the Company and each of Mr. Klein and Ms. Green contained in this Proxy Statement are inclusive of, and reflect the terms of, each of Amendment No. 2 and Amendment No. 3 to the Second Amended Employment Agreement by and between the Company and each of Mr. Klein and Ms. Green,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prior Amended and Restated 2019 Equity Incentive Plan and the Second Amended and Restated 2019 Equity Incentive Plan, each of Mr. Klein and Ms. Green may receive awards of restricted shares and stock options pursuant to his or her employment agreement, as amended and restated.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Amended Employment Agreements, dated April 26, 2021, with Mark D. Klein and Allison Green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Second Amended Employment Agreements became effective as of April 26, 2021 and, as amended, have terms ending on December 31, 2029, unless sooner terminated or amended pursuant to their terms. The Second Amended Employment Agreements are subject to automatic renewal upon completion of the term unless the respective parties thereto elect to terminate such agreement at least thirty (30) days prior to the expiration of the then current term.</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Second Amended Employment Agreements, as may be amended from time to time, Mr. Klein and Ms. Green are entitled to receive an annual base salary equal to eight hundred fifty thousand dollars ($850,000) and five hundred thousand dollars ($500,000), respectively (subject to annual review and increase by the Board of Directors at its sole discretion), and are eligible to earn annual bonus payments of up to one hundred percent (100%) and one hundred and twenty-five percent (125%), respectively, of his or her then-effective base salary. Such annual bonus payments, if any, shall be payable at the discretion of the Board of Directors if certain Company performance objectives, performance goals and other objectives, as mutually agreed upon by the Board of Directors and Mr. Klein and Ms. Green, as applicable, are achieved. In addition, Mr. Klein and Ms. Green are eligible to receive additional bonus payments in excess of such annual bonus payments, as determined by the Compensation Committee. The Compensation Committee and the Board of Directors determined that the potential for such additional bonus payments would better align the NEOs’ interests with those of the Company’s stockholders.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Second Amended Employment Agreements, in the event of termination of such executive’s employment due to such executive’s death or disability (as defined in the applicable Second Amended Employment Agreement), such executive, or such executive’s legal representatives or named beneficiaries, will be entitled to receive (i) earned but unpaid base salary, (ii) any accrued but unpaid paid time off or vacation payable in accordance with applicable Company policy, (iii) any reimbursable business expenses incurred, but not yet reimbursed to such executive, and</w:t>
      </w:r>
    </w:p>
    <w:p>
      <w:pPr>
        <w:spacing w:after="0" w:line="3" w:lineRule="exact"/>
        <w:rPr>
          <w:sz w:val="20"/>
          <w:szCs w:val="20"/>
          <w:color w:val="auto"/>
        </w:rPr>
      </w:pPr>
    </w:p>
    <w:p>
      <w:pPr>
        <w:jc w:val="both"/>
        <w:ind w:firstLine="8"/>
        <w:spacing w:after="0" w:line="252" w:lineRule="auto"/>
        <w:tabs>
          <w:tab w:leader="none" w:pos="3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benefits earned through the date of such executive’s termination in accordance with the terms of the applicable benefit plans (collectively, the “Accrued Benefits”). The Company shall also pay such executive or such executive’s legal representatives or named beneficiaries, as applicable, (i) any unpaid annual bonus for the preceding fiscal year and (ii) a pro-rated portion of the annual bonus for the then-current fiscal year based on the number of days of the then-current fiscal year that such executive was employed by the Company. Additionally, notwithstanding the terms of the applicable equity incentive plan or award agreement, any unvested portion of any equity awards held by such executive shall immediately vest in full and become exercisable and free from forfeiture or repurchase, as applicable, as of the date of such executive’s termination.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Second Amended Employment Agreements, in the event of the termination of such executive’s employment for cause (as defined in the applicable Second Amended Employment Agreement), the Company shall pay to such executive accrued benefits that had been earned but unpaid as of the date of the termination and such executive shall receive no further payments of any kind.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Second Amended Employment Agreements, in the event of the termination of such executive’s employment by the Company without cause or by such executive for good reason (as defined in the applicable Second Amended Employment Agreement), the Company shall pay to such executive all Accrued Benefits through the date of such termination, and the following severance benefits:</w:t>
      </w:r>
    </w:p>
    <w:p>
      <w:pPr>
        <w:spacing w:after="0" w:line="203" w:lineRule="exact"/>
        <w:rPr>
          <w:sz w:val="20"/>
          <w:szCs w:val="20"/>
          <w:color w:val="auto"/>
        </w:rPr>
      </w:pPr>
    </w:p>
    <w:p>
      <w:pPr>
        <w:jc w:val="both"/>
        <w:ind w:left="1060" w:right="20" w:hanging="350"/>
        <w:spacing w:after="0" w:line="254"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such executive a lump sum amount of severance equal to the product of: (A) the multiplier, and (B) the sum of (i) such executive’s then-current base salary, plus (ii) the annual bonus earned by such executive for the preceding fiscal year. The multiplier shall equal two (2) for Mr. Klein and one (1) for Ms. Green; provided, however, that the multiplier shall equal three (3) for Mr. Klein and two (2) for Ms. Green if (x) the termination occurs within the first anniversary of a change in control event (as defined in the applicable Second Amended Employment Agreement), (y) such executive did not vote in favor of such change in control, and (z) the Company’s net assets are greater than $100.0 million, as determined by the Board of Directors in good faith. If the termination occurred in 2025, the annual bonus for purposes of the severance calculation would equal the annualized rate of the annual bonus such executive earned for the 2024 fiscal year.</w:t>
      </w:r>
    </w:p>
    <w:p>
      <w:pPr>
        <w:spacing w:after="0" w:line="245" w:lineRule="exact"/>
        <w:rPr>
          <w:rFonts w:ascii="Times New Roman" w:cs="Times New Roman" w:eastAsia="Times New Roman" w:hAnsi="Times New Roman"/>
          <w:sz w:val="18"/>
          <w:szCs w:val="18"/>
          <w:color w:val="auto"/>
        </w:rPr>
      </w:pPr>
    </w:p>
    <w:p>
      <w:pPr>
        <w:jc w:val="both"/>
        <w:ind w:left="1060" w:right="20" w:hanging="350"/>
        <w:spacing w:after="0" w:line="266"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the applicable equity incentive plan or award agreement, any unvested portion of any equity awards held by such executive shall immediately vest in full and become exercisable and free from forfeiture or repurchase, as applicable, as of the date of such executive’s termination.</w:t>
      </w:r>
    </w:p>
    <w:p>
      <w:pPr>
        <w:spacing w:after="0" w:line="229" w:lineRule="exact"/>
        <w:rPr>
          <w:rFonts w:ascii="Times New Roman" w:cs="Times New Roman" w:eastAsia="Times New Roman" w:hAnsi="Times New Roman"/>
          <w:sz w:val="18"/>
          <w:szCs w:val="18"/>
          <w:color w:val="auto"/>
        </w:rPr>
      </w:pPr>
    </w:p>
    <w:p>
      <w:pPr>
        <w:jc w:val="both"/>
        <w:ind w:left="1060" w:right="20" w:hanging="350"/>
        <w:spacing w:after="0" w:line="256"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at the Company’s cost, continuation health insurance coverage under COBRA during the twelve (12) months following the date of termination for Ms. Green and the eighteen (18) months following the date of termination for Mr. Klein (each, “COBRA Coverage Period”), provided that these payments for continuation coverage under COBRA shall cease prior to the end of the COBRA Coverage Period if such executive becomes eligible for other group health insurance coverage from a new employer, and provided further that such coverage provided during the COBRA Coverage Period shall be included in (and not in addition to) the continuation period under COBRA.</w:t>
      </w:r>
    </w:p>
    <w:p>
      <w:pPr>
        <w:spacing w:after="0" w:line="241" w:lineRule="exact"/>
        <w:rPr>
          <w:rFonts w:ascii="Times New Roman" w:cs="Times New Roman" w:eastAsia="Times New Roman" w:hAnsi="Times New Roman"/>
          <w:sz w:val="18"/>
          <w:szCs w:val="18"/>
          <w:color w:val="auto"/>
        </w:rPr>
      </w:pPr>
    </w:p>
    <w:p>
      <w:pPr>
        <w:jc w:val="both"/>
        <w:ind w:left="1060" w:right="20" w:hanging="350"/>
        <w:spacing w:after="0" w:line="266"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executive shall be eligible to receive any unpaid annual bonus for the preceding fiscal year, and a pro-rated portion of the annual bonus for the then current fiscal year based on the number of days of the then-current fiscal year that such executive was employed by the Company.</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Payment of any amounts and benefits in addition to the base salary, including any severance benefit, shall be conditioned on such executive’s execution and non-revocation, where applicable, of a release of claims in favor of the Company. The severance amount, with the exception of the pro-rated bonus for the then-current fiscal year, shall be paid to such executive within thirty (30) days following the effective date of such release. The pro-rated bonus for the then-current fiscal year will be paid in accordance with the Company’s regular payment schedule for the annual bonus for that calendar year. The rationale behind providing a severance package in certain events is to attract talented executives who are assured that they will not be financially injured if they physically relocate and/or leave another job to join us but are forced out through no fault of their own, and to ensure that our business is operated and governed for our stockholders by a management team, and under the direction of a board of directors, who are not financially motivated to frustrate the execution of a change in control transaction.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Second Amended Employment Agreement contains a provision for the protection of our confidential information, trade secrets, and intellectual property during such executive’s employment with the Company or its affiliates and following termination of such executive’s employment. Except as required by law, such executive will not, directly or indirectly, at any time, disclose to any third person or use in any way any non-public information or confidential information. Each Second Amended Employment Agreement also contains a mutual non-disparagement provision that provides that neither party to such Second Amended Employment Agreement will disparage the other, and an arbitration clause that mandates arbitration in the event of a dispute.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and Severance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Second Amended and Restated 2019 Equity Incentive Plan. </w:t>
      </w:r>
      <w:r>
        <w:rPr>
          <w:rFonts w:ascii="Times New Roman" w:cs="Times New Roman" w:eastAsia="Times New Roman" w:hAnsi="Times New Roman"/>
          <w:sz w:val="18"/>
          <w:szCs w:val="18"/>
          <w:color w:val="auto"/>
        </w:rPr>
        <w:t>Except as otherwise provided in the NEO’s award agreement, in the event of a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control (as defined in the Second Amended and Restated 2019 Equity Incentive Plan), the Compensation Committee may provide for (i) the assumption of some or all of the outstanding equity awards, or for the grant of new equity awards in substitution therefor, by the acquiring or surviving entity, (ii) acceleration of the equity awards, (iii) the cancellation of any outstanding equity awards and cause to be paid to the NEO holding vested equity awards (including equity awards that would vest as result of a change in control) the fair value of such equity awards, if any, as determined by the Compensation Committee, or (iv) any other adjustments in such manner as it may deem equitable, in each case in accordance with the terms of the Second Amended and Restated 2019 Equity Incentive Plan.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A “change in control” is defined in the Second Amended and Restated 2019 Equity Incentive Plan as:</w:t>
      </w:r>
    </w:p>
    <w:p>
      <w:pPr>
        <w:spacing w:after="0" w:line="252" w:lineRule="exact"/>
        <w:rPr>
          <w:sz w:val="20"/>
          <w:szCs w:val="20"/>
          <w:color w:val="auto"/>
        </w:rPr>
      </w:pPr>
    </w:p>
    <w:p>
      <w:pPr>
        <w:jc w:val="both"/>
        <w:ind w:left="1060" w:right="40" w:hanging="350"/>
        <w:spacing w:after="0" w:line="270" w:lineRule="auto"/>
        <w:tabs>
          <w:tab w:leader="none" w:pos="10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(whether by purchase, merger, consolidation, combination or other similar transaction) by any person of beneficial ownership (within the meaning of Rule 13d-3 under the Exchange Act) of more than fifty percent (50%) (on a fully diluted basis) of either (A) the then-outstanding shares of our common stock, taking into account as outstanding for this purpose such common stock issuable upon the exercise of options or warrants, the conversion of convertible stock or debt, and the exercise of any similar right to acquire such common stock, or</w:t>
      </w:r>
    </w:p>
    <w:p>
      <w:pPr>
        <w:spacing w:after="0" w:line="2" w:lineRule="exact"/>
        <w:rPr>
          <w:rFonts w:ascii="Times New Roman" w:cs="Times New Roman" w:eastAsia="Times New Roman" w:hAnsi="Times New Roman"/>
          <w:sz w:val="17"/>
          <w:szCs w:val="17"/>
          <w:color w:val="auto"/>
        </w:rPr>
      </w:pPr>
    </w:p>
    <w:p>
      <w:pPr>
        <w:jc w:val="both"/>
        <w:ind w:left="1060" w:right="20" w:firstLine="1"/>
        <w:spacing w:after="0" w:line="252" w:lineRule="auto"/>
        <w:tabs>
          <w:tab w:leader="none" w:pos="137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voting power of the then-outstanding voting securities of the Company entitled to vote generally in the election of directors; provided, however, that for purposes of the Second Amended and Restated 2019 Equity Incentive Plan, the following acquisitions shall not constitute a change in control: (I) any acquisition by the Company or any affiliate; (II) any acquisition by any employee benefit plan sponsored or maintained by the Company or any affiliate; or (III) in respect of a Plan Award held by a particular participant, any acquisition by the participant or any group of persons including the participant (or any entity controlled by the participant or any group of persons including the participant);</w:t>
      </w:r>
    </w:p>
    <w:p>
      <w:pPr>
        <w:spacing w:after="0" w:line="243" w:lineRule="exact"/>
        <w:rPr>
          <w:rFonts w:ascii="Times New Roman" w:cs="Times New Roman" w:eastAsia="Times New Roman" w:hAnsi="Times New Roman"/>
          <w:sz w:val="18"/>
          <w:szCs w:val="18"/>
          <w:color w:val="auto"/>
        </w:rPr>
      </w:pPr>
    </w:p>
    <w:p>
      <w:pPr>
        <w:jc w:val="both"/>
        <w:ind w:left="1060" w:right="20" w:hanging="350"/>
        <w:spacing w:after="0" w:line="254"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twenty-four (24) months, individuals who, at the beginning of such period, constitute the Board of Directors (the “Incumbent Directors”), cease for any reason to constitute at least a majority of the Board of Directors provided that any person becoming a director subsequent to the date hereof, whose election or nomination for election was approved by a vote of at least two-thirds (2/3rds) of the Incumbent Directors then on the Board of Directors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of Directors shall be deemed to be an Incumbent Director;</w:t>
      </w:r>
    </w:p>
    <w:p>
      <w:pPr>
        <w:spacing w:after="0" w:line="242" w:lineRule="exact"/>
        <w:rPr>
          <w:rFonts w:ascii="Times New Roman" w:cs="Times New Roman" w:eastAsia="Times New Roman" w:hAnsi="Times New Roman"/>
          <w:sz w:val="18"/>
          <w:szCs w:val="18"/>
          <w:color w:val="auto"/>
        </w:rPr>
      </w:pPr>
    </w:p>
    <w:p>
      <w:pPr>
        <w:ind w:left="1060" w:right="20" w:hanging="350"/>
        <w:spacing w:after="0" w:line="282"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assets of the Company to any person that is not an affiliate of the Company; or</w:t>
      </w:r>
    </w:p>
    <w:p>
      <w:pPr>
        <w:spacing w:after="0" w:line="215" w:lineRule="exact"/>
        <w:rPr>
          <w:rFonts w:ascii="Times New Roman" w:cs="Times New Roman" w:eastAsia="Times New Roman" w:hAnsi="Times New Roman"/>
          <w:sz w:val="18"/>
          <w:szCs w:val="18"/>
          <w:color w:val="auto"/>
        </w:rPr>
      </w:pPr>
    </w:p>
    <w:p>
      <w:pPr>
        <w:ind w:left="1060" w:right="20" w:hanging="350"/>
        <w:spacing w:after="0" w:line="282" w:lineRule="auto"/>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management structure of the Company from an internally managed BDC to an externally managed BDC pursuant to which the Company enters into an investment advisory agreement with a third-party adviser.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Severance. </w:t>
      </w:r>
      <w:r>
        <w:rPr>
          <w:rFonts w:ascii="Times New Roman" w:cs="Times New Roman" w:eastAsia="Times New Roman" w:hAnsi="Times New Roman"/>
          <w:sz w:val="18"/>
          <w:szCs w:val="18"/>
          <w:color w:val="auto"/>
        </w:rPr>
        <w:t>Under specified covered transactions involving a change in control (as defined in the NEO’s Second Amended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 NEO may be entitled to receive certain severance payments and benefits as discussed above under “Employment Agreements.” In addition, under the Second Amended Employment Agreements, if an NEO’s employment is terminated as a result of death or disability, or without cause or for good reason (as defined in the NEO’s Second Amended Employment Agreement), any unvested portion of any equity awards held by the NEO will immediately vest in full and become exercisable and free from forfeiture or repurchase, as applicable, as of the effective date of any such event of employment termination. If the NEO’s employment is terminated for any other reason, including for cause (as defined in the NEO’s Second Amended Employment Agreement), any unvested portion of any equity awards held by the NEO will be forfeited immediately as of the effective date of any such event of employment termination. See “Employment Agreements” and “Potential Payments Upon Change in Control or Termination of Employment” for additional information.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1940 Act Restrictions on Company Performance 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1940 Act provides that a BDC such as the Company may maintain either an equity incentive plan or a “profit-sharing plan,” but not both, for its NEOs and other employees. The Compensation Committee believes that equity incentives closely align the interests of NEOs and employees with those of the Company’s stockholders. Accordingly, the Company has adopted and maintained an equity incentive plan for its NEOs and employees since 2019. As a result, the 1940 Act prohibits the Company from having a “profit-sharing plan.”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“profit-sharing plan” is very broadly defined in the 1940 Act, but in this context is generally viewed as referring to incentive and other compensation being directly tied to a company’s gross or net income or any other indicia of the company’s overall financial performance, such as realized gains or losses and unrealized appreciation or depreciation on investments. In this regard, the SEC has indicated that a compensation program possesses profit-sharing characteristics if a company is obligated to make payments under the program based on company performance metrics.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these restrictions imposed by the 1940 Act, the Compensation Committee is not permitted to use nondiscretionary or formulaic Company performance goals or criteria to determine executive incentive compensation. Instead, the Compensation Committee considers overall Company performance along with other factors, including individual performance criteria, and uses its discretion in determining the appropriate compensation for the Company’s NEOs and other key employees. The Compensation Committee’s objective is to work within the 1940 Act regulatory framework to establish appropriate compensation levels, maintain pay-for-performance alignment and implement compensation best practices.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Deductibility of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162(m) of the Internal Revenue Code of 1986, as amended (the “Code”), generally disallows a tax deduction to public companies to the extent compensation paid to any “covered employee” exceeds $1.0 million in a given year. To the extent any of our “covered employees” receives compensation in excess of $1.0 million for any year, the Company generally cannot deduct such excess compensation for U.S. federal income tax purposes. For purposes of Section 162(m), a “covered employee” includes our CEO and our CFO and each of our other NEOs; in addition, once a person is determined to be a covered employee, such person continues to be a covered employee regardless of whether such person remains an NEO.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Compensation Committee considers the deductibility of compensation as one factor in determining executive compensation, the Compensation Committee also considers other factors in making compensation decisions as noted herein and retains the flexibility to authorize amounts and forms of compensation that it determines to be consistent with the goals of our executive compensation program even if such compensation is not deductible by the Company for tax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compensation policies and objectives are designed to fairly compensate, retain and motivate our NEOs and to ultimately reward them for outstanding performance. The retention and motivation of our NEOs should enable us to grow strategically and position ourselves competitively in the market in which we operate.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reviewed and discussed the Compensation Discussion and Analysis included in this Proxy Statement with the Company’s management and, based on our review and discussions, we recommended to the Board of Directors of the Company that the Compensation Discussion and Analysis be included in this Proxy Statement.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2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Lisa Westley, </w:t>
      </w:r>
      <w:r>
        <w:rPr>
          <w:rFonts w:ascii="Times New Roman" w:cs="Times New Roman" w:eastAsia="Times New Roman" w:hAnsi="Times New Roman"/>
          <w:sz w:val="18"/>
          <w:szCs w:val="18"/>
          <w:i w:val="1"/>
          <w:iCs w:val="1"/>
          <w:color w:val="auto"/>
        </w:rPr>
        <w:t>Chair</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Ronald M. Lott</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Leonard A. Potter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Richard Szuch</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compensation of the NEOs for the fiscal years ended December 31,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3"/>
        </w:trPr>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5"/>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200" w:type="dxa"/>
            <w:vAlign w:val="bottom"/>
          </w:tcPr>
          <w:p>
            <w:pPr>
              <w:spacing w:after="0"/>
              <w:rPr>
                <w:sz w:val="23"/>
                <w:szCs w:val="23"/>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80" w:type="dxa"/>
            <w:vAlign w:val="bottom"/>
            <w:gridSpan w:val="3"/>
          </w:tcPr>
          <w:p>
            <w:pPr>
              <w:ind w:left="60"/>
              <w:spacing w:after="0" w:line="276" w:lineRule="exact"/>
              <w:rPr>
                <w:sz w:val="20"/>
                <w:szCs w:val="20"/>
                <w:color w:val="auto"/>
              </w:rPr>
            </w:pPr>
            <w:r>
              <w:rPr>
                <w:rFonts w:ascii="Times New Roman" w:cs="Times New Roman" w:eastAsia="Times New Roman" w:hAnsi="Times New Roman"/>
                <w:sz w:val="18"/>
                <w:szCs w:val="18"/>
                <w:b w:val="1"/>
                <w:bCs w:val="1"/>
                <w:color w:val="auto"/>
              </w:rPr>
              <w:t>Salary</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3"/>
                <w:szCs w:val="23"/>
                <w:color w:val="auto"/>
              </w:rPr>
            </w:pPr>
          </w:p>
        </w:tc>
        <w:tc>
          <w:tcPr>
            <w:tcW w:w="900" w:type="dxa"/>
            <w:vAlign w:val="bottom"/>
            <w:gridSpan w:val="2"/>
          </w:tcPr>
          <w:p>
            <w:pPr>
              <w:jc w:val="right"/>
              <w:ind w:right="240"/>
              <w:spacing w:after="0" w:line="276" w:lineRule="exact"/>
              <w:rPr>
                <w:sz w:val="20"/>
                <w:szCs w:val="20"/>
                <w:color w:val="auto"/>
              </w:rPr>
            </w:pPr>
            <w:r>
              <w:rPr>
                <w:rFonts w:ascii="Times New Roman" w:cs="Times New Roman" w:eastAsia="Times New Roman" w:hAnsi="Times New Roman"/>
                <w:sz w:val="18"/>
                <w:szCs w:val="18"/>
                <w:b w:val="1"/>
                <w:bCs w:val="1"/>
                <w:color w:val="auto"/>
                <w:w w:val="90"/>
              </w:rPr>
              <w:t>Bonus</w:t>
            </w:r>
            <w:r>
              <w:rPr>
                <w:rFonts w:ascii="Times New Roman" w:cs="Times New Roman" w:eastAsia="Times New Roman" w:hAnsi="Times New Roman"/>
                <w:sz w:val="29"/>
                <w:szCs w:val="29"/>
                <w:b w:val="1"/>
                <w:bCs w:val="1"/>
                <w:color w:val="auto"/>
                <w:w w:val="90"/>
                <w:vertAlign w:val="superscript"/>
              </w:rPr>
              <w:t>(2)</w:t>
            </w:r>
          </w:p>
        </w:tc>
        <w:tc>
          <w:tcPr>
            <w:tcW w:w="160" w:type="dxa"/>
            <w:vAlign w:val="bottom"/>
          </w:tcPr>
          <w:p>
            <w:pPr>
              <w:spacing w:after="0"/>
              <w:rPr>
                <w:sz w:val="23"/>
                <w:szCs w:val="23"/>
                <w:color w:val="auto"/>
              </w:rPr>
            </w:pPr>
          </w:p>
        </w:tc>
        <w:tc>
          <w:tcPr>
            <w:tcW w:w="1140" w:type="dxa"/>
            <w:vAlign w:val="bottom"/>
            <w:gridSpan w:val="3"/>
          </w:tcPr>
          <w:p>
            <w:pPr>
              <w:jc w:val="center"/>
              <w:ind w:right="300"/>
              <w:spacing w:after="0" w:line="276" w:lineRule="exact"/>
              <w:rPr>
                <w:sz w:val="20"/>
                <w:szCs w:val="20"/>
                <w:color w:val="auto"/>
              </w:rPr>
            </w:pPr>
            <w:r>
              <w:rPr>
                <w:rFonts w:ascii="Times New Roman" w:cs="Times New Roman" w:eastAsia="Times New Roman" w:hAnsi="Times New Roman"/>
                <w:sz w:val="18"/>
                <w:szCs w:val="18"/>
                <w:b w:val="1"/>
                <w:bCs w:val="1"/>
                <w:color w:val="auto"/>
                <w:w w:val="92"/>
              </w:rPr>
              <w:t>Awards</w:t>
            </w:r>
            <w:r>
              <w:rPr>
                <w:rFonts w:ascii="Times New Roman" w:cs="Times New Roman" w:eastAsia="Times New Roman" w:hAnsi="Times New Roman"/>
                <w:sz w:val="29"/>
                <w:szCs w:val="29"/>
                <w:b w:val="1"/>
                <w:bCs w:val="1"/>
                <w:color w:val="auto"/>
                <w:w w:val="92"/>
                <w:vertAlign w:val="superscript"/>
              </w:rPr>
              <w:t>(3)</w:t>
            </w:r>
          </w:p>
        </w:tc>
        <w:tc>
          <w:tcPr>
            <w:tcW w:w="1600" w:type="dxa"/>
            <w:vAlign w:val="bottom"/>
            <w:gridSpan w:val="3"/>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29"/>
                <w:szCs w:val="29"/>
                <w:b w:val="1"/>
                <w:bCs w:val="1"/>
                <w:color w:val="auto"/>
                <w:vertAlign w:val="superscript"/>
              </w:rPr>
              <w:t>(4)</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09"/>
        </w:trPr>
        <w:tc>
          <w:tcPr>
            <w:tcW w:w="4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2,350,000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3,299,994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233,740</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$ 6,733,734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408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Chairman and Member of the Board of Directors,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1,700,000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614,000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407</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$ 3,164,407</w:t>
            </w:r>
          </w:p>
        </w:tc>
      </w:tr>
      <w:tr>
        <w:trPr>
          <w:trHeight w:val="216"/>
        </w:trPr>
        <w:tc>
          <w:tcPr>
            <w:tcW w:w="4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1,700,000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426,000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409</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$ 2,976,409</w:t>
            </w:r>
          </w:p>
        </w:tc>
      </w:tr>
      <w:tr>
        <w:trPr>
          <w:trHeight w:val="199"/>
        </w:trPr>
        <w:tc>
          <w:tcPr>
            <w:tcW w:w="40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Allison Green</w:t>
            </w:r>
          </w:p>
        </w:tc>
        <w:tc>
          <w:tcPr>
            <w:tcW w:w="200" w:type="dxa"/>
            <w:vAlign w:val="bottom"/>
          </w:tcPr>
          <w:p>
            <w:pPr>
              <w:spacing w:after="0"/>
              <w:rPr>
                <w:sz w:val="17"/>
                <w:szCs w:val="17"/>
                <w:color w:val="auto"/>
              </w:rPr>
            </w:pPr>
          </w:p>
        </w:tc>
        <w:tc>
          <w:tcPr>
            <w:tcW w:w="1040" w:type="dxa"/>
            <w:vAlign w:val="bottom"/>
            <w:gridSpan w:val="2"/>
          </w:tcPr>
          <w:p>
            <w:pPr>
              <w:jc w:val="right"/>
              <w:ind w:right="300"/>
              <w:spacing w:after="0" w:line="200" w:lineRule="exact"/>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00"/>
              <w:spacing w:after="0" w:line="200" w:lineRule="exact"/>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line="200" w:lineRule="exact"/>
              <w:rPr>
                <w:sz w:val="20"/>
                <w:szCs w:val="20"/>
                <w:color w:val="auto"/>
              </w:rPr>
            </w:pPr>
            <w:r>
              <w:rPr>
                <w:rFonts w:ascii="Times New Roman" w:cs="Times New Roman" w:eastAsia="Times New Roman" w:hAnsi="Times New Roman"/>
                <w:sz w:val="18"/>
                <w:szCs w:val="18"/>
                <w:color w:val="auto"/>
                <w:w w:val="99"/>
              </w:rPr>
              <w:t>1,000,000</w:t>
            </w:r>
          </w:p>
        </w:tc>
        <w:tc>
          <w:tcPr>
            <w:tcW w:w="2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line="200" w:lineRule="exact"/>
              <w:rPr>
                <w:sz w:val="20"/>
                <w:szCs w:val="20"/>
                <w:color w:val="auto"/>
              </w:rPr>
            </w:pPr>
            <w:r>
              <w:rPr>
                <w:rFonts w:ascii="Times New Roman" w:cs="Times New Roman" w:eastAsia="Times New Roman" w:hAnsi="Times New Roman"/>
                <w:sz w:val="18"/>
                <w:szCs w:val="18"/>
                <w:color w:val="auto"/>
              </w:rPr>
              <w:t>299,999</w:t>
            </w:r>
          </w:p>
        </w:tc>
        <w:tc>
          <w:tcPr>
            <w:tcW w:w="1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line="200" w:lineRule="exact"/>
              <w:rPr>
                <w:sz w:val="20"/>
                <w:szCs w:val="20"/>
                <w:color w:val="auto"/>
              </w:rPr>
            </w:pPr>
            <w:r>
              <w:rPr>
                <w:rFonts w:ascii="Times New Roman" w:cs="Times New Roman" w:eastAsia="Times New Roman" w:hAnsi="Times New Roman"/>
                <w:sz w:val="18"/>
                <w:szCs w:val="18"/>
                <w:color w:val="auto"/>
              </w:rPr>
              <w:t>84,597</w:t>
            </w:r>
          </w:p>
        </w:tc>
        <w:tc>
          <w:tcPr>
            <w:tcW w:w="940" w:type="dxa"/>
            <w:vAlign w:val="bottom"/>
            <w:gridSpan w:val="2"/>
          </w:tcPr>
          <w:p>
            <w:pPr>
              <w:jc w:val="center"/>
              <w:ind w:right="100"/>
              <w:spacing w:after="0" w:line="200" w:lineRule="exact"/>
              <w:rPr>
                <w:sz w:val="20"/>
                <w:szCs w:val="20"/>
                <w:color w:val="auto"/>
              </w:rPr>
            </w:pPr>
            <w:r>
              <w:rPr>
                <w:rFonts w:ascii="Times New Roman" w:cs="Times New Roman" w:eastAsia="Times New Roman" w:hAnsi="Times New Roman"/>
                <w:sz w:val="18"/>
                <w:szCs w:val="18"/>
                <w:color w:val="auto"/>
                <w:w w:val="98"/>
              </w:rPr>
              <w:t>$ 1,884,596</w:t>
            </w:r>
          </w:p>
        </w:tc>
      </w:tr>
      <w:tr>
        <w:trPr>
          <w:trHeight w:val="253"/>
        </w:trPr>
        <w:tc>
          <w:tcPr>
            <w:tcW w:w="4080" w:type="dxa"/>
            <w:vAlign w:val="bottom"/>
          </w:tcPr>
          <w:p>
            <w:pPr>
              <w:ind w:left="180"/>
              <w:spacing w:after="0" w:line="252" w:lineRule="exact"/>
              <w:rPr>
                <w:sz w:val="20"/>
                <w:szCs w:val="20"/>
                <w:color w:val="auto"/>
              </w:rPr>
            </w:pPr>
            <w:r>
              <w:rPr>
                <w:rFonts w:ascii="Times New Roman" w:cs="Times New Roman" w:eastAsia="Times New Roman" w:hAnsi="Times New Roman"/>
                <w:sz w:val="18"/>
                <w:szCs w:val="18"/>
                <w:i w:val="1"/>
                <w:iCs w:val="1"/>
                <w:color w:val="auto"/>
                <w:w w:val="99"/>
              </w:rPr>
              <w:t>Chief Financial Officer, Chief Compliance Officer</w:t>
            </w:r>
            <w:r>
              <w:rPr>
                <w:rFonts w:ascii="Times New Roman" w:cs="Times New Roman" w:eastAsia="Times New Roman" w:hAnsi="Times New Roman"/>
                <w:sz w:val="29"/>
                <w:szCs w:val="29"/>
                <w:i w:val="1"/>
                <w:iCs w:val="1"/>
                <w:color w:val="auto"/>
                <w:w w:val="99"/>
                <w:vertAlign w:val="superscript"/>
              </w:rPr>
              <w:t>(5)</w:t>
            </w:r>
            <w:r>
              <w:rPr>
                <w:rFonts w:ascii="Times New Roman" w:cs="Times New Roman" w:eastAsia="Times New Roman" w:hAnsi="Times New Roman"/>
                <w:sz w:val="18"/>
                <w:szCs w:val="18"/>
                <w:i w:val="1"/>
                <w:iCs w:val="1"/>
                <w:color w:val="auto"/>
                <w:w w:val="99"/>
              </w:rPr>
              <w:t>,</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Treasurer, and Corporate Secretary</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153,500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33,598</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$ 1,287,098</w:t>
            </w:r>
          </w:p>
        </w:tc>
      </w:tr>
      <w:tr>
        <w:trPr>
          <w:trHeight w:val="234"/>
        </w:trPr>
        <w:tc>
          <w:tcPr>
            <w:tcW w:w="4080" w:type="dxa"/>
            <w:vAlign w:val="bottom"/>
          </w:tcPr>
          <w:p>
            <w:pPr>
              <w:spacing w:after="0"/>
              <w:rPr>
                <w:sz w:val="20"/>
                <w:szCs w:val="20"/>
                <w:color w:val="auto"/>
              </w:rPr>
            </w:pP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106,500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25,974</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$ 1,232,474</w:t>
            </w:r>
          </w:p>
        </w:tc>
      </w:tr>
    </w:tbl>
    <w:p>
      <w:pPr>
        <w:spacing w:after="0" w:line="225" w:lineRule="exact"/>
        <w:rPr>
          <w:sz w:val="20"/>
          <w:szCs w:val="20"/>
          <w:color w:val="auto"/>
        </w:rPr>
      </w:pPr>
    </w:p>
    <w:p>
      <w:pPr>
        <w:ind w:left="380" w:right="20" w:hanging="345"/>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salaries of Mr. Klein and Ms. Green were paid pursuant to the applicable Second Amended Employment Agreement of such individuals with the Company.</w:t>
      </w:r>
    </w:p>
    <w:p>
      <w:pPr>
        <w:spacing w:after="0" w:line="215" w:lineRule="exact"/>
        <w:rPr>
          <w:rFonts w:ascii="Times New Roman" w:cs="Times New Roman" w:eastAsia="Times New Roman" w:hAnsi="Times New Roman"/>
          <w:sz w:val="18"/>
          <w:szCs w:val="18"/>
          <w:color w:val="auto"/>
        </w:rPr>
      </w:pPr>
    </w:p>
    <w:p>
      <w:pPr>
        <w:ind w:left="380" w:right="40" w:hanging="345"/>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annual and additional cash bonuses based on individual and corporate performance, as determined by the Compensation Committee in accordance with the NEO’s Second Amended Employment Agreements,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Bonus for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Annual Cash</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0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94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0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Purchase*</w:t>
            </w: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Bonus</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1,700,000</w:t>
            </w:r>
          </w:p>
        </w:tc>
      </w:tr>
      <w:tr>
        <w:trPr>
          <w:trHeight w:val="216"/>
        </w:trPr>
        <w:tc>
          <w:tcPr>
            <w:tcW w:w="3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1,700,000</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Allison Green</w:t>
            </w:r>
          </w:p>
        </w:tc>
        <w:tc>
          <w:tcPr>
            <w:tcW w:w="240" w:type="dxa"/>
            <w:vAlign w:val="bottom"/>
          </w:tcPr>
          <w:p>
            <w:pPr>
              <w:spacing w:after="0"/>
              <w:rPr>
                <w:sz w:val="17"/>
                <w:szCs w:val="17"/>
                <w:color w:val="auto"/>
              </w:rPr>
            </w:pPr>
          </w:p>
        </w:tc>
        <w:tc>
          <w:tcPr>
            <w:tcW w:w="130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40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500,000</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39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r>
      <w:tr>
        <w:trPr>
          <w:trHeight w:val="234"/>
        </w:trPr>
        <w:tc>
          <w:tcPr>
            <w:tcW w:w="3940" w:type="dxa"/>
            <w:vAlign w:val="bottom"/>
          </w:tcPr>
          <w:p>
            <w:pPr>
              <w:spacing w:after="0"/>
              <w:rPr>
                <w:sz w:val="20"/>
                <w:szCs w:val="20"/>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r>
    </w:tbl>
    <w:p>
      <w:pPr>
        <w:spacing w:after="0" w:line="198" w:lineRule="exact"/>
        <w:rPr>
          <w:sz w:val="20"/>
          <w:szCs w:val="20"/>
          <w:color w:val="auto"/>
        </w:rPr>
      </w:pPr>
    </w:p>
    <w:p>
      <w:pPr>
        <w:jc w:val="both"/>
        <w:ind w:left="500" w:hanging="161"/>
        <w:spacing w:after="0" w:line="261" w:lineRule="auto"/>
        <w:rPr>
          <w:sz w:val="20"/>
          <w:szCs w:val="20"/>
          <w:color w:val="auto"/>
        </w:rPr>
      </w:pPr>
      <w:r>
        <w:rPr>
          <w:rFonts w:ascii="Times New Roman" w:cs="Times New Roman" w:eastAsia="Times New Roman" w:hAnsi="Times New Roman"/>
          <w:sz w:val="18"/>
          <w:szCs w:val="18"/>
          <w:color w:val="auto"/>
        </w:rPr>
        <w:t>*100% of the net amount (as defined in the applicable Second Amended Employment Agreement) of such additional cash bonuses were used to purchase shares of the Company’s common stock in accordance with the Company’s policies and procedures and applicable law. The terms of the 2023 and 2024 additional cash bonus grants require the NEOs to hold such stock for a period of not less than (1) one year, for the first half of such stock, and (2) two years, for the second half of such stock.</w:t>
      </w:r>
    </w:p>
    <w:p>
      <w:pPr>
        <w:spacing w:after="0" w:line="207" w:lineRule="exact"/>
        <w:rPr>
          <w:sz w:val="20"/>
          <w:szCs w:val="20"/>
          <w:color w:val="auto"/>
        </w:rPr>
      </w:pPr>
    </w:p>
    <w:p>
      <w:pPr>
        <w:jc w:val="both"/>
        <w:ind w:left="380" w:right="20" w:hanging="345"/>
        <w:spacing w:after="0" w:line="258"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restricted stock grants to the NEOs under the Second Amended and Restated 2019 Equity Incentive Plan and the prior Amended and Restated 2019 Equity Incentive Plan vest ratably over three years from the grant date, and all underlying shares are entitled to dividends and voting rights beginning on the grant date. The amounts reflected in the table represent the grant date fair value of such restricted stock awards in accordance with FASB ASC Topic 718 (“ASC 718”) based on the closing price of our common stock on the Nasdaq Global Select Market on the grant date. Such amounts may not correspond to the actual value that will be recognized by the NEOs upon vesting.</w:t>
      </w:r>
    </w:p>
    <w:p>
      <w:pPr>
        <w:spacing w:after="0" w:line="237" w:lineRule="exact"/>
        <w:rPr>
          <w:rFonts w:ascii="Times New Roman" w:cs="Times New Roman" w:eastAsia="Times New Roman" w:hAnsi="Times New Roman"/>
          <w:sz w:val="18"/>
          <w:szCs w:val="18"/>
          <w:color w:val="auto"/>
        </w:rPr>
      </w:pPr>
    </w:p>
    <w:p>
      <w:pPr>
        <w:jc w:val="both"/>
        <w:ind w:left="380" w:right="20" w:hanging="345"/>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value of benefits in the form of employer-funded costs of medical, dental, and vision health plan premiums and other insurance plan premiums and employer matching contributions made to each NEO’s account in our 401(k) plan (“Other Benefits”) and (ii) value of dividends received or earned for the year in respect of each executive officer’s unvested restricted stock awards, as 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Accrued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Accrued Cash</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Dividends on</w:t>
            </w:r>
          </w:p>
        </w:tc>
        <w:tc>
          <w:tcPr>
            <w:tcW w:w="16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on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All Other</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233,334</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3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Allison Green</w:t>
            </w:r>
          </w:p>
        </w:tc>
        <w:tc>
          <w:tcPr>
            <w:tcW w:w="240" w:type="dxa"/>
            <w:vAlign w:val="bottom"/>
          </w:tcPr>
          <w:p>
            <w:pPr>
              <w:spacing w:after="0"/>
              <w:rPr>
                <w:sz w:val="17"/>
                <w:szCs w:val="17"/>
                <w:color w:val="auto"/>
              </w:rPr>
            </w:pPr>
          </w:p>
        </w:tc>
        <w:tc>
          <w:tcPr>
            <w:tcW w:w="130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3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45,834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38,764</w:t>
            </w:r>
          </w:p>
        </w:tc>
        <w:tc>
          <w:tcPr>
            <w:tcW w:w="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84,597</w:t>
            </w:r>
          </w:p>
        </w:tc>
      </w:tr>
      <w:tr>
        <w:trPr>
          <w:trHeight w:val="216"/>
        </w:trPr>
        <w:tc>
          <w:tcPr>
            <w:tcW w:w="394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33,598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33,598</w:t>
            </w:r>
          </w:p>
        </w:tc>
      </w:tr>
      <w:tr>
        <w:trPr>
          <w:trHeight w:val="234"/>
        </w:trPr>
        <w:tc>
          <w:tcPr>
            <w:tcW w:w="3940" w:type="dxa"/>
            <w:vAlign w:val="bottom"/>
          </w:tcPr>
          <w:p>
            <w:pPr>
              <w:spacing w:after="0"/>
              <w:rPr>
                <w:sz w:val="20"/>
                <w:szCs w:val="20"/>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25,974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25,974</w:t>
            </w:r>
          </w:p>
        </w:tc>
      </w:tr>
    </w:tbl>
    <w:p>
      <w:pPr>
        <w:spacing w:after="0" w:line="225" w:lineRule="exact"/>
        <w:rPr>
          <w:sz w:val="20"/>
          <w:szCs w:val="20"/>
          <w:color w:val="auto"/>
        </w:rPr>
      </w:pPr>
    </w:p>
    <w:p>
      <w:pPr>
        <w:ind w:left="380" w:right="40" w:hanging="345"/>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Green served as Chief Compliance Officer throughout the 2025 fiscal year. Effective March 15, 2026, James Nash of ACA Group assumed the role of Chief Compliance Officer.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best align the NEOs’ interests with those of the Company’s stockholders, the Second Amended and Restated 2019 Equity Incentive Plan and the prior Amended and Restated 2019 Equity Incentive Plan provide for dividend rights on the restricted stock grants. Pursuant to the Second Amended and Restated 2019 Equity Incentive Plan and the prior Amended and Restated 2019 Equity Incentive Plan, any accrued cash and/or restricted stock dividends on the unvested restricted share grants retain the same vesting schedule as the underlying shares. Such amounts may not correspond to the actual value recognized by the NEOs upon vesting.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restricted stock awards granted to our NEOs under the prior Amended and Restated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Incentive Plan and the Second Amended and Restated 2019 Equity Incentive Plan during the fiscal year ended December 31, 2025:</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Stock Awards; Number</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r>
      <w:tr>
        <w:trPr>
          <w:trHeight w:val="275"/>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280" w:type="dxa"/>
            <w:vAlign w:val="bottom"/>
            <w:gridSpan w:val="2"/>
          </w:tcPr>
          <w:p>
            <w:pPr>
              <w:jc w:val="right"/>
              <w:ind w:right="440"/>
              <w:spacing w:after="0" w:line="276" w:lineRule="exact"/>
              <w:rPr>
                <w:sz w:val="20"/>
                <w:szCs w:val="20"/>
                <w:color w:val="auto"/>
              </w:rPr>
            </w:pPr>
            <w:r>
              <w:rPr>
                <w:rFonts w:ascii="Times New Roman" w:cs="Times New Roman" w:eastAsia="Times New Roman" w:hAnsi="Times New Roman"/>
                <w:sz w:val="18"/>
                <w:szCs w:val="18"/>
                <w:b w:val="1"/>
                <w:bCs w:val="1"/>
                <w:color w:val="auto"/>
              </w:rPr>
              <w:t>of Shares of Stock</w:t>
            </w:r>
            <w:r>
              <w:rPr>
                <w:rFonts w:ascii="Times New Roman" w:cs="Times New Roman" w:eastAsia="Times New Roman" w:hAnsi="Times New Roman"/>
                <w:sz w:val="29"/>
                <w:szCs w:val="29"/>
                <w:b w:val="1"/>
                <w:bCs w:val="1"/>
                <w:color w:val="auto"/>
                <w:vertAlign w:val="superscript"/>
              </w:rPr>
              <w:t>(1)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80" w:type="dxa"/>
            <w:vAlign w:val="bottom"/>
            <w:gridSpan w:val="2"/>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4"/>
              </w:rPr>
              <w:t>of Stock Awards</w:t>
            </w:r>
            <w:r>
              <w:rPr>
                <w:rFonts w:ascii="Times New Roman" w:cs="Times New Roman" w:eastAsia="Times New Roman" w:hAnsi="Times New Roman"/>
                <w:sz w:val="29"/>
                <w:szCs w:val="29"/>
                <w:b w:val="1"/>
                <w:bCs w:val="1"/>
                <w:color w:val="auto"/>
                <w:w w:val="94"/>
                <w:vertAlign w:val="superscript"/>
              </w:rPr>
              <w:t>(2)</w:t>
            </w:r>
          </w:p>
        </w:tc>
      </w:tr>
      <w:tr>
        <w:trPr>
          <w:trHeight w:val="210"/>
        </w:trPr>
        <w:tc>
          <w:tcPr>
            <w:tcW w:w="2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2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16, 2025</w:t>
            </w:r>
          </w:p>
        </w:tc>
        <w:tc>
          <w:tcPr>
            <w:tcW w:w="2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Allison Green</w:t>
            </w:r>
          </w:p>
        </w:tc>
        <w:tc>
          <w:tcPr>
            <w:tcW w:w="2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16, 2025</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291,500</w:t>
            </w:r>
          </w:p>
        </w:tc>
      </w:tr>
      <w:tr>
        <w:trPr>
          <w:trHeight w:val="21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2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November 21, 2025</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174,465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1,550,994</w:t>
            </w:r>
          </w:p>
        </w:tc>
      </w:t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Allison Green</w:t>
            </w:r>
          </w:p>
        </w:tc>
        <w:tc>
          <w:tcPr>
            <w:tcW w:w="2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21, 2025</w:t>
            </w:r>
          </w:p>
        </w:tc>
        <w:tc>
          <w:tcPr>
            <w:tcW w:w="2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8,499</w:t>
            </w:r>
          </w:p>
        </w:tc>
      </w:tr>
    </w:tbl>
    <w:p>
      <w:pPr>
        <w:spacing w:after="0" w:line="206" w:lineRule="exact"/>
        <w:rPr>
          <w:sz w:val="20"/>
          <w:szCs w:val="20"/>
          <w:color w:val="auto"/>
        </w:rPr>
      </w:pPr>
    </w:p>
    <w:p>
      <w:pPr>
        <w:jc w:val="both"/>
        <w:ind w:left="380" w:right="40" w:hanging="345"/>
        <w:spacing w:after="0" w:line="266"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grants to the NEOs made prior to May 28, 2025 were made under the prior Amended and Restated 2019 Equity Incentive Plan. Restricted stock grants made on or after May 28, 2025, were made under the Second Amended and Restated 2019 Equity Incentive Plan. Shares granted on May 16, 2025 and November 21, 2025 vest in three equal annual installments on December 1 of 2026, 2027, and 2028.</w:t>
      </w:r>
    </w:p>
    <w:p>
      <w:pPr>
        <w:spacing w:after="0" w:line="229" w:lineRule="exact"/>
        <w:rPr>
          <w:rFonts w:ascii="Times New Roman" w:cs="Times New Roman" w:eastAsia="Times New Roman" w:hAnsi="Times New Roman"/>
          <w:sz w:val="18"/>
          <w:szCs w:val="18"/>
          <w:color w:val="auto"/>
        </w:rPr>
      </w:pPr>
    </w:p>
    <w:p>
      <w:pPr>
        <w:ind w:left="380" w:right="20" w:hanging="345"/>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grant date fair value of restricted stock awards determined in accordance with ASC 718 based on the closing price of our common stock on the date of grant. Such amounts may not correspond to the actual value that will be recognized by the NEOs upon vesting.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awards of restricted stock for which vesting and forfeiture provisions have not lapsed and remained outstanding at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40" w:type="dxa"/>
            <w:vAlign w:val="bottom"/>
            <w:gridSpan w:val="3"/>
          </w:tcPr>
          <w:p>
            <w:pPr>
              <w:jc w:val="center"/>
              <w:ind w:left="392"/>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 of Shares of Stock</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60" w:type="dxa"/>
            <w:vAlign w:val="bottom"/>
            <w:gridSpan w:val="6"/>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8"/>
              </w:rPr>
              <w:t>Market Value of Shares of Stock</w:t>
            </w:r>
          </w:p>
        </w:tc>
        <w:tc>
          <w:tcPr>
            <w:tcW w:w="0" w:type="dxa"/>
            <w:vAlign w:val="bottom"/>
          </w:tcPr>
          <w:p>
            <w:pPr>
              <w:spacing w:after="0"/>
              <w:rPr>
                <w:sz w:val="1"/>
                <w:szCs w:val="1"/>
                <w:color w:val="auto"/>
              </w:rPr>
            </w:pPr>
          </w:p>
        </w:tc>
      </w:tr>
      <w:tr>
        <w:trPr>
          <w:trHeight w:val="270"/>
        </w:trPr>
        <w:tc>
          <w:tcPr>
            <w:tcW w:w="22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40" w:type="dxa"/>
            <w:vAlign w:val="bottom"/>
            <w:gridSpan w:val="3"/>
          </w:tcPr>
          <w:p>
            <w:pPr>
              <w:jc w:val="center"/>
              <w:ind w:left="392"/>
              <w:spacing w:after="0"/>
              <w:rPr>
                <w:sz w:val="20"/>
                <w:szCs w:val="20"/>
                <w:color w:val="auto"/>
              </w:rPr>
            </w:pPr>
            <w:r>
              <w:rPr>
                <w:rFonts w:ascii="Times New Roman" w:cs="Times New Roman" w:eastAsia="Times New Roman" w:hAnsi="Times New Roman"/>
                <w:sz w:val="18"/>
                <w:szCs w:val="18"/>
                <w:b w:val="1"/>
                <w:bCs w:val="1"/>
                <w:color w:val="auto"/>
                <w:w w:val="98"/>
              </w:rPr>
              <w:t>That Have Not Vested (#)</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160" w:type="dxa"/>
            <w:vAlign w:val="bottom"/>
            <w:gridSpan w:val="6"/>
          </w:tcPr>
          <w:p>
            <w:pPr>
              <w:jc w:val="center"/>
              <w:ind w:right="300"/>
              <w:spacing w:after="0" w:line="270" w:lineRule="exact"/>
              <w:rPr>
                <w:sz w:val="20"/>
                <w:szCs w:val="20"/>
                <w:color w:val="auto"/>
              </w:rPr>
            </w:pPr>
            <w:r>
              <w:rPr>
                <w:rFonts w:ascii="Times New Roman" w:cs="Times New Roman" w:eastAsia="Times New Roman" w:hAnsi="Times New Roman"/>
                <w:sz w:val="18"/>
                <w:szCs w:val="18"/>
                <w:b w:val="1"/>
                <w:bCs w:val="1"/>
                <w:color w:val="auto"/>
                <w:w w:val="96"/>
              </w:rPr>
              <w:t>That Have Not Vested</w:t>
            </w:r>
            <w:r>
              <w:rPr>
                <w:rFonts w:ascii="Times New Roman" w:cs="Times New Roman" w:eastAsia="Times New Roman" w:hAnsi="Times New Roman"/>
                <w:sz w:val="29"/>
                <w:szCs w:val="29"/>
                <w:color w:val="auto"/>
                <w:w w:val="96"/>
                <w:vertAlign w:val="superscript"/>
              </w:rPr>
              <w:t>(1)</w:t>
            </w:r>
          </w:p>
        </w:tc>
        <w:tc>
          <w:tcPr>
            <w:tcW w:w="0" w:type="dxa"/>
            <w:vAlign w:val="bottom"/>
          </w:tcPr>
          <w:p>
            <w:pPr>
              <w:spacing w:after="0"/>
              <w:rPr>
                <w:sz w:val="1"/>
                <w:szCs w:val="1"/>
                <w:color w:val="auto"/>
              </w:rPr>
            </w:pPr>
          </w:p>
        </w:tc>
      </w:tr>
      <w:tr>
        <w:trPr>
          <w:trHeight w:val="187"/>
        </w:trPr>
        <w:tc>
          <w:tcPr>
            <w:tcW w:w="2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Market Value of</w:t>
            </w: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center"/>
              <w:ind w:right="112"/>
              <w:spacing w:after="0" w:line="188" w:lineRule="exact"/>
              <w:rPr>
                <w:sz w:val="20"/>
                <w:szCs w:val="20"/>
                <w:color w:val="auto"/>
              </w:rPr>
            </w:pPr>
            <w:r>
              <w:rPr>
                <w:rFonts w:ascii="Times New Roman" w:cs="Times New Roman" w:eastAsia="Times New Roman" w:hAnsi="Times New Roman"/>
                <w:sz w:val="18"/>
                <w:szCs w:val="18"/>
                <w:b w:val="1"/>
                <w:bCs w:val="1"/>
                <w:color w:val="auto"/>
                <w:w w:val="97"/>
              </w:rPr>
              <w:t>Market Value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of Granted</w:t>
            </w:r>
          </w:p>
        </w:tc>
        <w:tc>
          <w:tcPr>
            <w:tcW w:w="240" w:type="dxa"/>
            <w:vAlign w:val="bottom"/>
          </w:tcPr>
          <w:p>
            <w:pPr>
              <w:spacing w:after="0"/>
              <w:rPr>
                <w:sz w:val="18"/>
                <w:szCs w:val="18"/>
                <w:color w:val="auto"/>
              </w:rPr>
            </w:pP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Accrued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 of Granted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Accrued</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240" w:type="dxa"/>
            <w:vAlign w:val="bottom"/>
          </w:tcPr>
          <w:p>
            <w:pPr>
              <w:spacing w:after="0"/>
              <w:rPr>
                <w:sz w:val="18"/>
                <w:szCs w:val="18"/>
                <w:color w:val="auto"/>
              </w:rPr>
            </w:pP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Dividend Shares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Dividend Shares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Not Yet</w:t>
            </w:r>
          </w:p>
        </w:tc>
        <w:tc>
          <w:tcPr>
            <w:tcW w:w="240" w:type="dxa"/>
            <w:vAlign w:val="bottom"/>
          </w:tcPr>
          <w:p>
            <w:pPr>
              <w:spacing w:after="0"/>
              <w:rPr>
                <w:sz w:val="18"/>
                <w:szCs w:val="18"/>
                <w:color w:val="auto"/>
              </w:rPr>
            </w:pP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of Restricted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Awards Not Yet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of Restricted</w:t>
            </w:r>
          </w:p>
        </w:tc>
        <w:tc>
          <w:tcPr>
            <w:tcW w:w="0" w:type="dxa"/>
            <w:vAlign w:val="bottom"/>
          </w:tcPr>
          <w:p>
            <w:pPr>
              <w:spacing w:after="0"/>
              <w:rPr>
                <w:sz w:val="1"/>
                <w:szCs w:val="1"/>
                <w:color w:val="auto"/>
              </w:rPr>
            </w:pPr>
          </w:p>
        </w:tc>
      </w:tr>
      <w:tr>
        <w:trPr>
          <w:trHeight w:val="238"/>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240" w:type="dxa"/>
            <w:vAlign w:val="bottom"/>
          </w:tcPr>
          <w:p>
            <w:pPr>
              <w:spacing w:after="0"/>
              <w:rPr>
                <w:sz w:val="20"/>
                <w:szCs w:val="20"/>
                <w:color w:val="auto"/>
              </w:rPr>
            </w:pP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142"/>
        </w:trPr>
        <w:tc>
          <w:tcPr>
            <w:tcW w:w="22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Mark D. Klein</w:t>
            </w:r>
          </w:p>
        </w:tc>
        <w:tc>
          <w:tcPr>
            <w:tcW w:w="2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574,466</w:t>
            </w:r>
          </w:p>
        </w:tc>
        <w:tc>
          <w:tcPr>
            <w:tcW w:w="2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(2)</w:t>
            </w:r>
          </w:p>
        </w:tc>
        <w:tc>
          <w:tcPr>
            <w:tcW w:w="16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18"/>
              <w:spacing w:after="0" w:line="142" w:lineRule="exact"/>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5,422,959</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21"/>
              <w:spacing w:after="0" w:line="142" w:lineRule="exact"/>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ind w:left="1540"/>
              <w:spacing w:after="0" w:line="142"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202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vMerge w:val="continue"/>
            <w:shd w:val="clear" w:color="auto" w:fill="CCEEFF"/>
          </w:tcPr>
          <w:p>
            <w:pPr>
              <w:spacing w:after="0"/>
              <w:rPr>
                <w:sz w:val="4"/>
                <w:szCs w:val="4"/>
                <w:color w:val="auto"/>
              </w:rPr>
            </w:pPr>
          </w:p>
        </w:tc>
        <w:tc>
          <w:tcPr>
            <w:tcW w:w="168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8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7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Allison Green</w:t>
            </w:r>
          </w:p>
        </w:tc>
        <w:tc>
          <w:tcPr>
            <w:tcW w:w="202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75,957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1"/>
              </w:rPr>
              <w:t>(3)</w:t>
            </w:r>
          </w:p>
        </w:tc>
        <w:tc>
          <w:tcPr>
            <w:tcW w:w="1680" w:type="dxa"/>
            <w:vAlign w:val="bottom"/>
          </w:tcPr>
          <w:p>
            <w:pPr>
              <w:spacing w:after="0"/>
              <w:rPr>
                <w:sz w:val="12"/>
                <w:szCs w:val="12"/>
                <w:color w:val="auto"/>
              </w:rPr>
            </w:pPr>
          </w:p>
        </w:tc>
        <w:tc>
          <w:tcPr>
            <w:tcW w:w="70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ind w:right="18"/>
              <w:spacing w:after="0" w:line="149" w:lineRule="exact"/>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7"/>
                <w:szCs w:val="17"/>
                <w:color w:val="auto"/>
              </w:rPr>
              <w:t>717,034</w:t>
            </w:r>
          </w:p>
        </w:tc>
        <w:tc>
          <w:tcPr>
            <w:tcW w:w="360" w:type="dxa"/>
            <w:vAlign w:val="bottom"/>
            <w:gridSpan w:val="2"/>
          </w:tcPr>
          <w:p>
            <w:pPr>
              <w:jc w:val="right"/>
              <w:ind w:right="21"/>
              <w:spacing w:after="0" w:line="149" w:lineRule="exact"/>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tcPr>
          <w:p>
            <w:pPr>
              <w:ind w:left="154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
        </w:trPr>
        <w:tc>
          <w:tcPr>
            <w:tcW w:w="2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80" w:right="20" w:hanging="345"/>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shares of stock that have not vested was determined based on the closing price of our common stock on the Nasdaq Global Select Market on December 31, 2025 of $9.44. Such amounts may not correspond to the actual value recognized by the NEOs upon vesting.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both"/>
        <w:ind w:left="380" w:right="40" w:hanging="345"/>
        <w:spacing w:after="0" w:line="261"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33,334 restricted shares granted on December 15, 2023, 66,667 restricted shares granted on December 10, 2024, 300,000 restricted shares granted on May 16, 2025, and 174,465 restricted shares granted on November 21, 2025. Such restricted shares, including any dividends declared thereon, vest in three equal annual installments on December 1 of 2026, 2027, and 2028, subject in each case to the NEO still being employed by the Company on the respective vesting date.</w:t>
      </w:r>
    </w:p>
    <w:p>
      <w:pPr>
        <w:spacing w:after="0" w:line="233" w:lineRule="exact"/>
        <w:rPr>
          <w:rFonts w:ascii="Times New Roman" w:cs="Times New Roman" w:eastAsia="Times New Roman" w:hAnsi="Times New Roman"/>
          <w:sz w:val="18"/>
          <w:szCs w:val="18"/>
          <w:color w:val="auto"/>
        </w:rPr>
      </w:pPr>
    </w:p>
    <w:p>
      <w:pPr>
        <w:jc w:val="both"/>
        <w:ind w:left="380" w:right="20" w:hanging="345"/>
        <w:spacing w:after="0" w:line="261"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8,334 restricted shares granted on December 15, 2023, 16,667 restricted shares granted on December 10, 2024, 50,000 restricted shares granted on May 16, 2025, and 956 restricted shares granted on November 21, 2025. Such restricted shares, including any dividends declared thereon, vest in three equal annual installments on December 1 of 2026, 2027, and 2028, subject in each case to the NEO still being employed by the Company on the respective vesting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Awards Vested in Fiscal Year</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2025, restricted shares granted to our NEOs under the Amended and Restated 2019 Equity Incentive Plan vested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00" w:type="dxa"/>
            <w:vAlign w:val="bottom"/>
            <w:gridSpan w:val="6"/>
          </w:tcPr>
          <w:p>
            <w:pPr>
              <w:ind w:left="156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96"/>
        </w:trPr>
        <w:tc>
          <w:tcPr>
            <w:tcW w:w="6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top w:val="single" w:sz="8" w:color="auto"/>
            </w:tcBorders>
            <w:gridSpan w:val="2"/>
          </w:tcPr>
          <w:p>
            <w:pPr>
              <w:jc w:val="right"/>
              <w:ind w:right="465"/>
              <w:spacing w:after="0" w:line="196" w:lineRule="exact"/>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b w:val="1"/>
                <w:bCs w:val="1"/>
                <w:color w:val="auto"/>
              </w:rPr>
              <w:t>Value Realized on</w:t>
            </w:r>
          </w:p>
        </w:tc>
        <w:tc>
          <w:tcPr>
            <w:tcW w:w="100" w:type="dxa"/>
            <w:vAlign w:val="bottom"/>
          </w:tcPr>
          <w:p>
            <w:pPr>
              <w:spacing w:after="0"/>
              <w:rPr>
                <w:sz w:val="17"/>
                <w:szCs w:val="17"/>
                <w:color w:val="auto"/>
              </w:rPr>
            </w:pPr>
          </w:p>
        </w:tc>
      </w:tr>
      <w:tr>
        <w:trPr>
          <w:trHeight w:val="270"/>
        </w:trPr>
        <w:tc>
          <w:tcPr>
            <w:tcW w:w="6720" w:type="dxa"/>
            <w:vAlign w:val="bottom"/>
            <w:tcBorders>
              <w:bottom w:val="single" w:sz="8" w:color="auto"/>
            </w:tcBorders>
          </w:tcPr>
          <w:p>
            <w:pPr>
              <w:ind w:left="3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bottom w:val="single" w:sz="8" w:color="CCEEFF"/>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Acquired on Vesting (#)</w:t>
            </w:r>
          </w:p>
        </w:tc>
        <w:tc>
          <w:tcPr>
            <w:tcW w:w="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370"/>
              <w:spacing w:after="0" w:line="270" w:lineRule="exact"/>
              <w:rPr>
                <w:sz w:val="20"/>
                <w:szCs w:val="20"/>
                <w:color w:val="auto"/>
              </w:rPr>
            </w:pPr>
            <w:r>
              <w:rPr>
                <w:rFonts w:ascii="Times New Roman" w:cs="Times New Roman" w:eastAsia="Times New Roman" w:hAnsi="Times New Roman"/>
                <w:sz w:val="18"/>
                <w:szCs w:val="18"/>
                <w:b w:val="1"/>
                <w:bCs w:val="1"/>
                <w:color w:val="auto"/>
              </w:rPr>
              <w:t>Vesting ($)</w:t>
            </w:r>
            <w:r>
              <w:rPr>
                <w:rFonts w:ascii="Times New Roman" w:cs="Times New Roman" w:eastAsia="Times New Roman" w:hAnsi="Times New Roman"/>
                <w:sz w:val="29"/>
                <w:szCs w:val="29"/>
                <w:b w:val="1"/>
                <w:bCs w:val="1"/>
                <w:color w:val="auto"/>
                <w:vertAlign w:val="superscript"/>
              </w:rPr>
              <w:t>(1)</w:t>
            </w:r>
          </w:p>
        </w:tc>
        <w:tc>
          <w:tcPr>
            <w:tcW w:w="100" w:type="dxa"/>
            <w:vAlign w:val="bottom"/>
            <w:tcBorders>
              <w:bottom w:val="single" w:sz="8" w:color="CCEEFF"/>
            </w:tcBorders>
          </w:tcPr>
          <w:p>
            <w:pPr>
              <w:spacing w:after="0"/>
              <w:rPr>
                <w:sz w:val="23"/>
                <w:szCs w:val="23"/>
                <w:color w:val="auto"/>
              </w:rPr>
            </w:pPr>
          </w:p>
        </w:tc>
      </w:tr>
      <w:tr>
        <w:trPr>
          <w:trHeight w:val="250"/>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130,930</w:t>
            </w:r>
          </w:p>
        </w:tc>
        <w:tc>
          <w:tcPr>
            <w:tcW w:w="2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1,024,169</w:t>
            </w:r>
          </w:p>
        </w:tc>
      </w:tr>
      <w:tr>
        <w:trPr>
          <w:trHeight w:val="39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Allison Green</w:t>
            </w:r>
          </w:p>
        </w:tc>
        <w:tc>
          <w:tcPr>
            <w:tcW w:w="218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33,012</w:t>
            </w:r>
            <w:r>
              <w:rPr>
                <w:rFonts w:ascii="Times New Roman" w:cs="Times New Roman" w:eastAsia="Times New Roman" w:hAnsi="Times New Roman"/>
                <w:sz w:val="29"/>
                <w:szCs w:val="29"/>
                <w:color w:val="auto"/>
                <w:vertAlign w:val="superscript"/>
              </w:rPr>
              <w:t>(3)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257,765</w:t>
            </w:r>
          </w:p>
        </w:tc>
      </w:tr>
    </w:tbl>
    <w:p>
      <w:pPr>
        <w:spacing w:after="0" w:line="101" w:lineRule="exact"/>
        <w:rPr>
          <w:sz w:val="20"/>
          <w:szCs w:val="20"/>
          <w:color w:val="auto"/>
        </w:rPr>
      </w:pPr>
    </w:p>
    <w:p>
      <w:pPr>
        <w:ind w:left="380" w:right="40" w:hanging="345"/>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dollar amount realized upon vesting is determined based on the closing price of our common stock on the Nasdaq Global Select Market on the respective vesting date.</w:t>
      </w:r>
    </w:p>
    <w:p>
      <w:pPr>
        <w:spacing w:after="0" w:line="215" w:lineRule="exact"/>
        <w:rPr>
          <w:rFonts w:ascii="Times New Roman" w:cs="Times New Roman" w:eastAsia="Times New Roman" w:hAnsi="Times New Roman"/>
          <w:sz w:val="18"/>
          <w:szCs w:val="18"/>
          <w:color w:val="auto"/>
        </w:rPr>
      </w:pPr>
    </w:p>
    <w:p>
      <w:pPr>
        <w:ind w:left="380" w:right="20" w:hanging="345"/>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64,264 shares vested on February 9, 2025; (ii) 33,333 shares vested on December 10, 2025; and (iii) 33,333 shares vested on December 15, 2025.</w:t>
      </w:r>
    </w:p>
    <w:p>
      <w:pPr>
        <w:spacing w:after="0" w:line="215" w:lineRule="exact"/>
        <w:rPr>
          <w:rFonts w:ascii="Times New Roman" w:cs="Times New Roman" w:eastAsia="Times New Roman" w:hAnsi="Times New Roman"/>
          <w:sz w:val="18"/>
          <w:szCs w:val="18"/>
          <w:color w:val="auto"/>
        </w:rPr>
      </w:pPr>
    </w:p>
    <w:p>
      <w:pPr>
        <w:ind w:left="380" w:right="40" w:hanging="345"/>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16,346 shares vested on February 9, 2025; (ii) 8,333 shares vested on December 10, 2025; and (iii) 8,333 shares vested on December 15,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Change in Control or Termination of Employment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described under “Employment Agreements,” upon the termination of an NEO’s employment with the Company, whether due to death or disability, as a result of a change in control, for cause or without cause, voluntarily or for good reason (as such terms are defined in the NEO’s Second Amended Employment Agreement), certain payments and benefits will be paid and made available to such NEOs. Under the Second Amended Employment Agreements, if an NEO’s employment is terminated as a result of death or disability, without cause or for good reason, any unvested portion of any equity awards held by the NEO will immediately vest in full and become exercisable and free from forfeiture or repurchase, as applicable, as of the effective date of any such event of employment termination. If the NEO’s employment is terminated for any other reason, including for cause, any unvested portion of any equity awards held by the NEO will be forfeited immediately as of the effective date of any such event of employment termination. See “Employment Agreements” for additional information.</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estimates of the potential payments and benefits such NEOs would receive pursuant to his or her Second Amended Employment Agreement, assuming his or her employment was terminated on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25"/>
              <w:spacing w:after="0"/>
              <w:rPr>
                <w:sz w:val="20"/>
                <w:szCs w:val="20"/>
                <w:color w:val="auto"/>
              </w:rPr>
            </w:pPr>
            <w:r>
              <w:rPr>
                <w:rFonts w:ascii="Times New Roman" w:cs="Times New Roman" w:eastAsia="Times New Roman" w:hAnsi="Times New Roman"/>
                <w:sz w:val="18"/>
                <w:szCs w:val="18"/>
                <w:b w:val="1"/>
                <w:bCs w:val="1"/>
                <w:color w:val="auto"/>
                <w:w w:val="98"/>
              </w:rPr>
              <w:t>without</w:t>
            </w:r>
          </w:p>
        </w:tc>
        <w:tc>
          <w:tcPr>
            <w:tcW w:w="100" w:type="dxa"/>
            <w:vAlign w:val="bottom"/>
          </w:tcPr>
          <w:p>
            <w:pPr>
              <w:spacing w:after="0"/>
              <w:rPr>
                <w:sz w:val="18"/>
                <w:szCs w:val="18"/>
                <w:color w:val="auto"/>
              </w:rPr>
            </w:pPr>
          </w:p>
        </w:tc>
        <w:tc>
          <w:tcPr>
            <w:tcW w:w="1080" w:type="dxa"/>
            <w:vAlign w:val="bottom"/>
            <w:gridSpan w:val="2"/>
          </w:tcPr>
          <w:p>
            <w:pPr>
              <w:jc w:val="center"/>
              <w:ind w:right="185"/>
              <w:spacing w:after="0"/>
              <w:rPr>
                <w:sz w:val="20"/>
                <w:szCs w:val="20"/>
                <w:color w:val="auto"/>
              </w:rPr>
            </w:pPr>
            <w:r>
              <w:rPr>
                <w:rFonts w:ascii="Times New Roman" w:cs="Times New Roman" w:eastAsia="Times New Roman" w:hAnsi="Times New Roman"/>
                <w:sz w:val="18"/>
                <w:szCs w:val="18"/>
                <w:b w:val="1"/>
                <w:bCs w:val="1"/>
                <w:color w:val="auto"/>
                <w:w w:val="98"/>
              </w:rPr>
              <w:t>without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5"/>
              <w:spacing w:after="0"/>
              <w:rPr>
                <w:sz w:val="20"/>
                <w:szCs w:val="20"/>
                <w:color w:val="auto"/>
              </w:rPr>
            </w:pPr>
            <w:r>
              <w:rPr>
                <w:rFonts w:ascii="Times New Roman" w:cs="Times New Roman" w:eastAsia="Times New Roman" w:hAnsi="Times New Roman"/>
                <w:sz w:val="18"/>
                <w:szCs w:val="18"/>
                <w:b w:val="1"/>
                <w:bCs w:val="1"/>
                <w:color w:val="auto"/>
                <w:w w:val="99"/>
              </w:rPr>
              <w:t>Cause or</w:t>
            </w:r>
          </w:p>
        </w:tc>
        <w:tc>
          <w:tcPr>
            <w:tcW w:w="100" w:type="dxa"/>
            <w:vAlign w:val="bottom"/>
          </w:tcPr>
          <w:p>
            <w:pPr>
              <w:spacing w:after="0"/>
              <w:rPr>
                <w:sz w:val="18"/>
                <w:szCs w:val="18"/>
                <w:color w:val="auto"/>
              </w:rPr>
            </w:pPr>
          </w:p>
        </w:tc>
        <w:tc>
          <w:tcPr>
            <w:tcW w:w="1080" w:type="dxa"/>
            <w:vAlign w:val="bottom"/>
            <w:gridSpan w:val="2"/>
          </w:tcPr>
          <w:p>
            <w:pPr>
              <w:jc w:val="center"/>
              <w:ind w:right="185"/>
              <w:spacing w:after="0"/>
              <w:rPr>
                <w:sz w:val="20"/>
                <w:szCs w:val="20"/>
                <w:color w:val="auto"/>
              </w:rPr>
            </w:pPr>
            <w:r>
              <w:rPr>
                <w:rFonts w:ascii="Times New Roman" w:cs="Times New Roman" w:eastAsia="Times New Roman" w:hAnsi="Times New Roman"/>
                <w:sz w:val="18"/>
                <w:szCs w:val="18"/>
                <w:b w:val="1"/>
                <w:bCs w:val="1"/>
                <w:color w:val="auto"/>
                <w:w w:val="97"/>
              </w:rPr>
              <w:t>Cause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Resignation</w:t>
            </w:r>
          </w:p>
        </w:tc>
        <w:tc>
          <w:tcPr>
            <w:tcW w:w="100" w:type="dxa"/>
            <w:vAlign w:val="bottom"/>
          </w:tcPr>
          <w:p>
            <w:pPr>
              <w:spacing w:after="0"/>
              <w:rPr>
                <w:sz w:val="18"/>
                <w:szCs w:val="18"/>
                <w:color w:val="auto"/>
              </w:rPr>
            </w:pPr>
          </w:p>
        </w:tc>
        <w:tc>
          <w:tcPr>
            <w:tcW w:w="108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25"/>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Resignation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25"/>
              <w:spacing w:after="0"/>
              <w:rPr>
                <w:sz w:val="20"/>
                <w:szCs w:val="20"/>
                <w:color w:val="auto"/>
              </w:rPr>
            </w:pPr>
            <w:r>
              <w:rPr>
                <w:rFonts w:ascii="Times New Roman" w:cs="Times New Roman" w:eastAsia="Times New Roman" w:hAnsi="Times New Roman"/>
                <w:sz w:val="18"/>
                <w:szCs w:val="18"/>
                <w:b w:val="1"/>
                <w:bCs w:val="1"/>
                <w:color w:val="auto"/>
                <w:w w:val="99"/>
              </w:rPr>
              <w:t>Good</w:t>
            </w:r>
          </w:p>
        </w:tc>
        <w:tc>
          <w:tcPr>
            <w:tcW w:w="100" w:type="dxa"/>
            <w:vAlign w:val="bottom"/>
          </w:tcPr>
          <w:p>
            <w:pPr>
              <w:spacing w:after="0"/>
              <w:rPr>
                <w:sz w:val="18"/>
                <w:szCs w:val="18"/>
                <w:color w:val="auto"/>
              </w:rPr>
            </w:pPr>
          </w:p>
        </w:tc>
        <w:tc>
          <w:tcPr>
            <w:tcW w:w="1080" w:type="dxa"/>
            <w:vAlign w:val="bottom"/>
            <w:gridSpan w:val="2"/>
          </w:tcPr>
          <w:p>
            <w:pPr>
              <w:jc w:val="center"/>
              <w:ind w:right="185"/>
              <w:spacing w:after="0"/>
              <w:rPr>
                <w:sz w:val="20"/>
                <w:szCs w:val="20"/>
                <w:color w:val="auto"/>
              </w:rPr>
            </w:pPr>
            <w:r>
              <w:rPr>
                <w:rFonts w:ascii="Times New Roman" w:cs="Times New Roman" w:eastAsia="Times New Roman" w:hAnsi="Times New Roman"/>
                <w:sz w:val="18"/>
                <w:szCs w:val="18"/>
                <w:b w:val="1"/>
                <w:bCs w:val="1"/>
                <w:color w:val="auto"/>
              </w:rPr>
              <w:t>for Good</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5"/>
              <w:spacing w:after="0"/>
              <w:rPr>
                <w:sz w:val="20"/>
                <w:szCs w:val="20"/>
                <w:color w:val="auto"/>
              </w:rPr>
            </w:pPr>
            <w:r>
              <w:rPr>
                <w:rFonts w:ascii="Times New Roman" w:cs="Times New Roman" w:eastAsia="Times New Roman" w:hAnsi="Times New Roman"/>
                <w:sz w:val="18"/>
                <w:szCs w:val="18"/>
                <w:b w:val="1"/>
                <w:bCs w:val="1"/>
                <w:color w:val="auto"/>
                <w:w w:val="99"/>
              </w:rPr>
              <w:t>Reason</w:t>
            </w:r>
          </w:p>
        </w:tc>
        <w:tc>
          <w:tcPr>
            <w:tcW w:w="100" w:type="dxa"/>
            <w:vAlign w:val="bottom"/>
          </w:tcPr>
          <w:p>
            <w:pPr>
              <w:spacing w:after="0"/>
              <w:rPr>
                <w:sz w:val="18"/>
                <w:szCs w:val="18"/>
                <w:color w:val="auto"/>
              </w:rPr>
            </w:pPr>
          </w:p>
        </w:tc>
        <w:tc>
          <w:tcPr>
            <w:tcW w:w="108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9"/>
              </w:rPr>
              <w:t>Reason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Upon Death</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25"/>
              <w:spacing w:after="0"/>
              <w:rPr>
                <w:sz w:val="20"/>
                <w:szCs w:val="20"/>
                <w:color w:val="auto"/>
              </w:rPr>
            </w:pPr>
            <w:r>
              <w:rPr>
                <w:rFonts w:ascii="Times New Roman" w:cs="Times New Roman" w:eastAsia="Times New Roman" w:hAnsi="Times New Roman"/>
                <w:sz w:val="18"/>
                <w:szCs w:val="18"/>
                <w:b w:val="1"/>
                <w:bCs w:val="1"/>
                <w:color w:val="auto"/>
                <w:w w:val="99"/>
              </w:rPr>
              <w:t>Prior to a</w:t>
            </w:r>
          </w:p>
        </w:tc>
        <w:tc>
          <w:tcPr>
            <w:tcW w:w="100" w:type="dxa"/>
            <w:vAlign w:val="bottom"/>
          </w:tcPr>
          <w:p>
            <w:pPr>
              <w:spacing w:after="0"/>
              <w:rPr>
                <w:sz w:val="18"/>
                <w:szCs w:val="18"/>
                <w:color w:val="auto"/>
              </w:rPr>
            </w:pPr>
          </w:p>
        </w:tc>
        <w:tc>
          <w:tcPr>
            <w:tcW w:w="1080" w:type="dxa"/>
            <w:vAlign w:val="bottom"/>
            <w:gridSpan w:val="2"/>
          </w:tcPr>
          <w:p>
            <w:pPr>
              <w:jc w:val="center"/>
              <w:ind w:right="185"/>
              <w:spacing w:after="0"/>
              <w:rPr>
                <w:sz w:val="20"/>
                <w:szCs w:val="20"/>
                <w:color w:val="auto"/>
              </w:rPr>
            </w:pPr>
            <w:r>
              <w:rPr>
                <w:rFonts w:ascii="Times New Roman" w:cs="Times New Roman" w:eastAsia="Times New Roman" w:hAnsi="Times New Roman"/>
                <w:sz w:val="18"/>
                <w:szCs w:val="18"/>
                <w:b w:val="1"/>
                <w:bCs w:val="1"/>
                <w:color w:val="auto"/>
                <w:w w:val="99"/>
              </w:rPr>
              <w:t>After a</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or</w:t>
            </w: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Voluntary</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00" w:type="dxa"/>
            <w:vAlign w:val="bottom"/>
          </w:tcPr>
          <w:p>
            <w:pPr>
              <w:spacing w:after="0"/>
              <w:rPr>
                <w:sz w:val="18"/>
                <w:szCs w:val="18"/>
                <w:color w:val="auto"/>
              </w:rPr>
            </w:pPr>
          </w:p>
        </w:tc>
        <w:tc>
          <w:tcPr>
            <w:tcW w:w="1280" w:type="dxa"/>
            <w:vAlign w:val="bottom"/>
            <w:gridSpan w:val="2"/>
          </w:tcPr>
          <w:p>
            <w:pPr>
              <w:jc w:val="center"/>
              <w:ind w:right="425"/>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18"/>
                <w:szCs w:val="18"/>
                <w:color w:val="auto"/>
              </w:rPr>
            </w:pPr>
          </w:p>
        </w:tc>
        <w:tc>
          <w:tcPr>
            <w:tcW w:w="1080" w:type="dxa"/>
            <w:vAlign w:val="bottom"/>
            <w:gridSpan w:val="2"/>
          </w:tcPr>
          <w:p>
            <w:pPr>
              <w:jc w:val="center"/>
              <w:ind w:right="185"/>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0" w:type="dxa"/>
            <w:vAlign w:val="bottom"/>
          </w:tcPr>
          <w:p>
            <w:pPr>
              <w:spacing w:after="0"/>
              <w:rPr>
                <w:sz w:val="1"/>
                <w:szCs w:val="1"/>
                <w:color w:val="auto"/>
              </w:rPr>
            </w:pPr>
          </w:p>
        </w:tc>
      </w:tr>
      <w:tr>
        <w:trPr>
          <w:trHeight w:val="220"/>
        </w:trPr>
        <w:tc>
          <w:tcPr>
            <w:tcW w:w="14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19"/>
                <w:szCs w:val="19"/>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Disability</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Resignation</w:t>
            </w:r>
          </w:p>
        </w:tc>
        <w:tc>
          <w:tcPr>
            <w:tcW w:w="10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Cause</w:t>
            </w:r>
          </w:p>
        </w:tc>
        <w:tc>
          <w:tcPr>
            <w:tcW w:w="100" w:type="dxa"/>
            <w:vAlign w:val="bottom"/>
          </w:tcPr>
          <w:p>
            <w:pPr>
              <w:spacing w:after="0"/>
              <w:rPr>
                <w:sz w:val="19"/>
                <w:szCs w:val="19"/>
                <w:color w:val="auto"/>
              </w:rPr>
            </w:pPr>
          </w:p>
        </w:tc>
        <w:tc>
          <w:tcPr>
            <w:tcW w:w="1280" w:type="dxa"/>
            <w:vAlign w:val="bottom"/>
            <w:gridSpan w:val="2"/>
          </w:tcPr>
          <w:p>
            <w:pPr>
              <w:jc w:val="center"/>
              <w:ind w:right="405"/>
              <w:spacing w:after="0"/>
              <w:rPr>
                <w:sz w:val="20"/>
                <w:szCs w:val="20"/>
                <w:color w:val="auto"/>
              </w:rPr>
            </w:pPr>
            <w:r>
              <w:rPr>
                <w:rFonts w:ascii="Times New Roman" w:cs="Times New Roman" w:eastAsia="Times New Roman" w:hAnsi="Times New Roman"/>
                <w:sz w:val="18"/>
                <w:szCs w:val="18"/>
                <w:b w:val="1"/>
                <w:bCs w:val="1"/>
                <w:color w:val="auto"/>
              </w:rPr>
              <w:t>in Control</w:t>
            </w:r>
          </w:p>
        </w:tc>
        <w:tc>
          <w:tcPr>
            <w:tcW w:w="100" w:type="dxa"/>
            <w:vAlign w:val="bottom"/>
          </w:tcPr>
          <w:p>
            <w:pPr>
              <w:spacing w:after="0"/>
              <w:rPr>
                <w:sz w:val="19"/>
                <w:szCs w:val="19"/>
                <w:color w:val="auto"/>
              </w:rPr>
            </w:pPr>
          </w:p>
        </w:tc>
        <w:tc>
          <w:tcPr>
            <w:tcW w:w="1080" w:type="dxa"/>
            <w:vAlign w:val="bottom"/>
            <w:gridSpan w:val="2"/>
          </w:tcPr>
          <w:p>
            <w:pPr>
              <w:jc w:val="center"/>
              <w:ind w:right="205"/>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0" w:type="dxa"/>
            <w:vAlign w:val="bottom"/>
          </w:tcPr>
          <w:p>
            <w:pPr>
              <w:spacing w:after="0"/>
              <w:rPr>
                <w:sz w:val="1"/>
                <w:szCs w:val="1"/>
                <w:color w:val="auto"/>
              </w:rPr>
            </w:pPr>
          </w:p>
        </w:tc>
      </w:tr>
      <w:tr>
        <w:trPr>
          <w:trHeight w:val="221"/>
        </w:trPr>
        <w:tc>
          <w:tcPr>
            <w:tcW w:w="14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(1)</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(1)(2)</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(1)</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(1)</w:t>
            </w: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(1)</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 Klein</w:t>
            </w:r>
          </w:p>
        </w:tc>
        <w:tc>
          <w:tcPr>
            <w:tcW w:w="220" w:type="dxa"/>
            <w:vAlign w:val="bottom"/>
            <w:shd w:val="clear" w:color="auto" w:fill="CCEEFF"/>
          </w:tcPr>
          <w:p>
            <w:pPr>
              <w:spacing w:after="0"/>
              <w:rPr>
                <w:sz w:val="21"/>
                <w:szCs w:val="21"/>
                <w:color w:val="auto"/>
              </w:rPr>
            </w:pPr>
          </w:p>
        </w:tc>
        <w:tc>
          <w:tcPr>
            <w:tcW w:w="280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17"/>
                <w:szCs w:val="17"/>
                <w:color w:val="auto"/>
                <w:w w:val="98"/>
              </w:rPr>
              <w:t>Salary</w:t>
            </w:r>
            <w:r>
              <w:rPr>
                <w:rFonts w:ascii="Times New Roman" w:cs="Times New Roman" w:eastAsia="Times New Roman" w:hAnsi="Times New Roman"/>
                <w:sz w:val="28"/>
                <w:szCs w:val="28"/>
                <w:color w:val="auto"/>
                <w:w w:val="98"/>
                <w:vertAlign w:val="superscript"/>
              </w:rPr>
              <w:t>(3)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38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79"/>
              </w:rPr>
              <w:t>(4)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(4)</w:t>
            </w:r>
          </w:p>
        </w:tc>
        <w:tc>
          <w:tcPr>
            <w:tcW w:w="0" w:type="dxa"/>
            <w:vAlign w:val="bottom"/>
          </w:tcPr>
          <w:p>
            <w:pPr>
              <w:spacing w:after="0"/>
              <w:rPr>
                <w:sz w:val="1"/>
                <w:szCs w:val="1"/>
                <w:color w:val="auto"/>
              </w:rPr>
            </w:pPr>
          </w:p>
        </w:tc>
      </w:tr>
      <w:tr>
        <w:trPr>
          <w:trHeight w:val="270"/>
        </w:trPr>
        <w:tc>
          <w:tcPr>
            <w:tcW w:w="14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0" w:type="dxa"/>
            <w:vAlign w:val="bottom"/>
            <w:shd w:val="clear" w:color="auto" w:fill="CCEEFF"/>
          </w:tcPr>
          <w:p>
            <w:pPr>
              <w:jc w:val="center"/>
              <w:spacing w:after="0" w:line="270" w:lineRule="exact"/>
              <w:rPr>
                <w:sz w:val="20"/>
                <w:szCs w:val="20"/>
                <w:color w:val="auto"/>
              </w:rPr>
            </w:pPr>
            <w:r>
              <w:rPr>
                <w:rFonts w:ascii="Times New Roman" w:cs="Times New Roman" w:eastAsia="Times New Roman" w:hAnsi="Times New Roman"/>
                <w:sz w:val="18"/>
                <w:szCs w:val="18"/>
                <w:color w:val="auto"/>
                <w:w w:val="93"/>
              </w:rPr>
              <w:t>Bonus</w:t>
            </w:r>
            <w:r>
              <w:rPr>
                <w:rFonts w:ascii="Times New Roman" w:cs="Times New Roman" w:eastAsia="Times New Roman" w:hAnsi="Times New Roman"/>
                <w:sz w:val="29"/>
                <w:szCs w:val="29"/>
                <w:color w:val="auto"/>
                <w:w w:val="93"/>
                <w:vertAlign w:val="superscript"/>
              </w:rPr>
              <w:t>(5)</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45"/>
              <w:spacing w:after="0" w:line="270" w:lineRule="exact"/>
              <w:rPr>
                <w:sz w:val="20"/>
                <w:szCs w:val="20"/>
                <w:color w:val="auto"/>
              </w:rPr>
            </w:pPr>
            <w:r>
              <w:rPr>
                <w:rFonts w:ascii="Times New Roman" w:cs="Times New Roman" w:eastAsia="Times New Roman" w:hAnsi="Times New Roman"/>
                <w:sz w:val="18"/>
                <w:szCs w:val="18"/>
                <w:color w:val="auto"/>
              </w:rPr>
              <w:t>1,700,000</w:t>
            </w:r>
            <w:r>
              <w:rPr>
                <w:rFonts w:ascii="Times New Roman" w:cs="Times New Roman" w:eastAsia="Times New Roman" w:hAnsi="Times New Roman"/>
                <w:sz w:val="29"/>
                <w:szCs w:val="29"/>
                <w:color w:val="auto"/>
                <w:vertAlign w:val="superscript"/>
              </w:rPr>
              <w:t>(6)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2,550,000</w:t>
            </w:r>
            <w:r>
              <w:rPr>
                <w:rFonts w:ascii="Times New Roman" w:cs="Times New Roman" w:eastAsia="Times New Roman" w:hAnsi="Times New Roman"/>
                <w:sz w:val="29"/>
                <w:szCs w:val="29"/>
                <w:color w:val="auto"/>
                <w:vertAlign w:val="superscript"/>
              </w:rPr>
              <w:t>(6)</w:t>
            </w:r>
          </w:p>
        </w:tc>
        <w:tc>
          <w:tcPr>
            <w:tcW w:w="0" w:type="dxa"/>
            <w:vAlign w:val="bottom"/>
          </w:tcPr>
          <w:p>
            <w:pPr>
              <w:spacing w:after="0"/>
              <w:rPr>
                <w:sz w:val="1"/>
                <w:szCs w:val="1"/>
                <w:color w:val="auto"/>
              </w:rPr>
            </w:pPr>
          </w:p>
        </w:tc>
      </w:tr>
      <w:tr>
        <w:trPr>
          <w:trHeight w:val="284"/>
        </w:trPr>
        <w:tc>
          <w:tcPr>
            <w:tcW w:w="1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0" w:type="dxa"/>
            <w:vAlign w:val="bottom"/>
            <w:shd w:val="clear" w:color="auto" w:fill="CCEEFF"/>
          </w:tcPr>
          <w:p>
            <w:pPr>
              <w:jc w:val="center"/>
              <w:spacing w:after="0" w:line="284" w:lineRule="exact"/>
              <w:rPr>
                <w:sz w:val="20"/>
                <w:szCs w:val="20"/>
                <w:color w:val="auto"/>
              </w:rPr>
            </w:pPr>
            <w:r>
              <w:rPr>
                <w:rFonts w:ascii="Times New Roman" w:cs="Times New Roman" w:eastAsia="Times New Roman" w:hAnsi="Times New Roman"/>
                <w:sz w:val="18"/>
                <w:szCs w:val="18"/>
                <w:color w:val="auto"/>
                <w:w w:val="96"/>
              </w:rPr>
              <w:t>Accelerated Equity Award Vesting</w:t>
            </w:r>
            <w:r>
              <w:rPr>
                <w:rFonts w:ascii="Times New Roman" w:cs="Times New Roman" w:eastAsia="Times New Roman" w:hAnsi="Times New Roman"/>
                <w:sz w:val="29"/>
                <w:szCs w:val="29"/>
                <w:color w:val="auto"/>
                <w:w w:val="96"/>
                <w:vertAlign w:val="superscript"/>
              </w:rPr>
              <w:t>(7)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5,622,959</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8"/>
                <w:szCs w:val="18"/>
                <w:color w:val="auto"/>
              </w:rPr>
              <w:t>5,622,959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5,622,959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0" w:type="dxa"/>
            <w:vAlign w:val="bottom"/>
            <w:shd w:val="clear" w:color="auto" w:fill="CCEEFF"/>
          </w:tcPr>
          <w:p>
            <w:pPr>
              <w:jc w:val="center"/>
              <w:spacing w:after="0" w:line="284" w:lineRule="exact"/>
              <w:rPr>
                <w:sz w:val="20"/>
                <w:szCs w:val="20"/>
                <w:color w:val="auto"/>
              </w:rPr>
            </w:pPr>
            <w:r>
              <w:rPr>
                <w:rFonts w:ascii="Times New Roman" w:cs="Times New Roman" w:eastAsia="Times New Roman" w:hAnsi="Times New Roman"/>
                <w:sz w:val="18"/>
                <w:szCs w:val="18"/>
                <w:color w:val="auto"/>
                <w:w w:val="91"/>
              </w:rPr>
              <w:t>Other</w:t>
            </w:r>
            <w:r>
              <w:rPr>
                <w:rFonts w:ascii="Times New Roman" w:cs="Times New Roman" w:eastAsia="Times New Roman" w:hAnsi="Times New Roman"/>
                <w:sz w:val="29"/>
                <w:szCs w:val="29"/>
                <w:color w:val="auto"/>
                <w:w w:val="91"/>
                <w:vertAlign w:val="superscript"/>
              </w:rPr>
              <w:t>(8)</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5,622,959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8"/>
                <w:szCs w:val="18"/>
                <w:b w:val="1"/>
                <w:bCs w:val="1"/>
                <w:color w:val="auto"/>
              </w:rPr>
              <w:t>9,076,959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10,776,959</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Allison Green</w:t>
            </w:r>
          </w:p>
        </w:tc>
        <w:tc>
          <w:tcPr>
            <w:tcW w:w="220" w:type="dxa"/>
            <w:vAlign w:val="bottom"/>
          </w:tcPr>
          <w:p>
            <w:pPr>
              <w:spacing w:after="0"/>
              <w:rPr>
                <w:sz w:val="22"/>
                <w:szCs w:val="22"/>
                <w:color w:val="auto"/>
              </w:rPr>
            </w:pPr>
          </w:p>
        </w:tc>
        <w:tc>
          <w:tcPr>
            <w:tcW w:w="2800" w:type="dxa"/>
            <w:vAlign w:val="bottom"/>
          </w:tcPr>
          <w:p>
            <w:pPr>
              <w:jc w:val="center"/>
              <w:spacing w:after="0" w:line="255" w:lineRule="exact"/>
              <w:rPr>
                <w:sz w:val="20"/>
                <w:szCs w:val="20"/>
                <w:color w:val="auto"/>
              </w:rPr>
            </w:pPr>
            <w:r>
              <w:rPr>
                <w:rFonts w:ascii="Times New Roman" w:cs="Times New Roman" w:eastAsia="Times New Roman" w:hAnsi="Times New Roman"/>
                <w:sz w:val="18"/>
                <w:szCs w:val="18"/>
                <w:color w:val="auto"/>
                <w:w w:val="93"/>
              </w:rPr>
              <w:t>Salary</w:t>
            </w:r>
            <w:r>
              <w:rPr>
                <w:rFonts w:ascii="Times New Roman" w:cs="Times New Roman" w:eastAsia="Times New Roman" w:hAnsi="Times New Roman"/>
                <w:sz w:val="29"/>
                <w:szCs w:val="29"/>
                <w:color w:val="auto"/>
                <w:w w:val="93"/>
                <w:vertAlign w:val="superscript"/>
              </w:rPr>
              <w:t>(3)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5"/>
              <w:spacing w:after="0" w:line="255" w:lineRule="exact"/>
              <w:rPr>
                <w:sz w:val="20"/>
                <w:szCs w:val="20"/>
                <w:color w:val="auto"/>
              </w:rPr>
            </w:pPr>
            <w:r>
              <w:rPr>
                <w:rFonts w:ascii="Times New Roman" w:cs="Times New Roman" w:eastAsia="Times New Roman" w:hAnsi="Times New Roman"/>
                <w:sz w:val="18"/>
                <w:szCs w:val="18"/>
                <w:color w:val="auto"/>
              </w:rPr>
              <w:t>500,000</w:t>
            </w:r>
            <w:r>
              <w:rPr>
                <w:rFonts w:ascii="Times New Roman" w:cs="Times New Roman" w:eastAsia="Times New Roman" w:hAnsi="Times New Roman"/>
                <w:sz w:val="29"/>
                <w:szCs w:val="29"/>
                <w:color w:val="auto"/>
                <w:vertAlign w:val="superscript"/>
              </w:rPr>
              <w:t>(4)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line="255" w:lineRule="exact"/>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29"/>
                <w:szCs w:val="29"/>
                <w:color w:val="auto"/>
                <w:vertAlign w:val="superscript"/>
              </w:rPr>
              <w:t>(4)</w:t>
            </w: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jc w:val="center"/>
              <w:spacing w:after="0" w:line="296" w:lineRule="exact"/>
              <w:rPr>
                <w:sz w:val="20"/>
                <w:szCs w:val="20"/>
                <w:color w:val="auto"/>
              </w:rPr>
            </w:pPr>
            <w:r>
              <w:rPr>
                <w:rFonts w:ascii="Times New Roman" w:cs="Times New Roman" w:eastAsia="Times New Roman" w:hAnsi="Times New Roman"/>
                <w:sz w:val="18"/>
                <w:szCs w:val="18"/>
                <w:color w:val="auto"/>
                <w:w w:val="93"/>
              </w:rPr>
              <w:t>Bonus</w:t>
            </w:r>
            <w:r>
              <w:rPr>
                <w:rFonts w:ascii="Times New Roman" w:cs="Times New Roman" w:eastAsia="Times New Roman" w:hAnsi="Times New Roman"/>
                <w:sz w:val="29"/>
                <w:szCs w:val="29"/>
                <w:color w:val="auto"/>
                <w:w w:val="93"/>
                <w:vertAlign w:val="superscript"/>
              </w:rPr>
              <w:t>(5)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5"/>
              <w:spacing w:after="0" w:line="296" w:lineRule="exact"/>
              <w:rPr>
                <w:sz w:val="20"/>
                <w:szCs w:val="20"/>
                <w:color w:val="auto"/>
              </w:rPr>
            </w:pPr>
            <w:r>
              <w:rPr>
                <w:rFonts w:ascii="Times New Roman" w:cs="Times New Roman" w:eastAsia="Times New Roman" w:hAnsi="Times New Roman"/>
                <w:sz w:val="18"/>
                <w:szCs w:val="18"/>
                <w:color w:val="auto"/>
              </w:rPr>
              <w:t>500,000</w:t>
            </w:r>
            <w:r>
              <w:rPr>
                <w:rFonts w:ascii="Times New Roman" w:cs="Times New Roman" w:eastAsia="Times New Roman" w:hAnsi="Times New Roman"/>
                <w:sz w:val="29"/>
                <w:szCs w:val="29"/>
                <w:color w:val="auto"/>
                <w:vertAlign w:val="superscript"/>
              </w:rPr>
              <w:t>(6)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line="296" w:lineRule="exact"/>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29"/>
                <w:szCs w:val="29"/>
                <w:color w:val="auto"/>
                <w:vertAlign w:val="superscript"/>
              </w:rPr>
              <w:t>(6)</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color w:val="auto"/>
                <w:w w:val="96"/>
              </w:rPr>
              <w:t>Accelerated Equity Award Vesting</w:t>
            </w:r>
            <w:r>
              <w:rPr>
                <w:rFonts w:ascii="Times New Roman" w:cs="Times New Roman" w:eastAsia="Times New Roman" w:hAnsi="Times New Roman"/>
                <w:sz w:val="29"/>
                <w:szCs w:val="29"/>
                <w:color w:val="auto"/>
                <w:w w:val="96"/>
                <w:vertAlign w:val="superscript"/>
              </w:rPr>
              <w:t>(7)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754,534</w:t>
            </w:r>
          </w:p>
        </w:tc>
        <w:tc>
          <w:tcPr>
            <w:tcW w:w="120" w:type="dxa"/>
            <w:vAlign w:val="bottom"/>
          </w:tcPr>
          <w:p>
            <w:pPr>
              <w:spacing w:after="0"/>
              <w:rPr>
                <w:sz w:val="23"/>
                <w:szCs w:val="23"/>
                <w:color w:val="auto"/>
              </w:rPr>
            </w:pP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05"/>
              <w:spacing w:after="0"/>
              <w:rPr>
                <w:sz w:val="20"/>
                <w:szCs w:val="20"/>
                <w:color w:val="auto"/>
              </w:rPr>
            </w:pPr>
            <w:r>
              <w:rPr>
                <w:rFonts w:ascii="Times New Roman" w:cs="Times New Roman" w:eastAsia="Times New Roman" w:hAnsi="Times New Roman"/>
                <w:sz w:val="18"/>
                <w:szCs w:val="18"/>
                <w:color w:val="auto"/>
              </w:rPr>
              <w:t>754,534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754,534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jc w:val="center"/>
              <w:spacing w:after="0" w:line="284" w:lineRule="exact"/>
              <w:rPr>
                <w:sz w:val="20"/>
                <w:szCs w:val="20"/>
                <w:color w:val="auto"/>
              </w:rPr>
            </w:pPr>
            <w:r>
              <w:rPr>
                <w:rFonts w:ascii="Times New Roman" w:cs="Times New Roman" w:eastAsia="Times New Roman" w:hAnsi="Times New Roman"/>
                <w:sz w:val="18"/>
                <w:szCs w:val="18"/>
                <w:color w:val="auto"/>
                <w:w w:val="91"/>
              </w:rPr>
              <w:t>Other</w:t>
            </w:r>
            <w:r>
              <w:rPr>
                <w:rFonts w:ascii="Times New Roman" w:cs="Times New Roman" w:eastAsia="Times New Roman" w:hAnsi="Times New Roman"/>
                <w:sz w:val="29"/>
                <w:szCs w:val="29"/>
                <w:color w:val="auto"/>
                <w:w w:val="91"/>
                <w:vertAlign w:val="superscript"/>
              </w:rPr>
              <w:t>(8)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05"/>
              <w:spacing w:after="0"/>
              <w:rPr>
                <w:sz w:val="20"/>
                <w:szCs w:val="20"/>
                <w:color w:val="auto"/>
              </w:rPr>
            </w:pPr>
            <w:r>
              <w:rPr>
                <w:rFonts w:ascii="Times New Roman" w:cs="Times New Roman" w:eastAsia="Times New Roman" w:hAnsi="Times New Roman"/>
                <w:sz w:val="18"/>
                <w:szCs w:val="18"/>
                <w:color w:val="auto"/>
              </w:rPr>
              <w:t>36,000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754,534</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305"/>
              <w:spacing w:after="0"/>
              <w:rPr>
                <w:sz w:val="20"/>
                <w:szCs w:val="20"/>
                <w:color w:val="auto"/>
              </w:rPr>
            </w:pPr>
            <w:r>
              <w:rPr>
                <w:rFonts w:ascii="Times New Roman" w:cs="Times New Roman" w:eastAsia="Times New Roman" w:hAnsi="Times New Roman"/>
                <w:sz w:val="18"/>
                <w:szCs w:val="18"/>
                <w:b w:val="1"/>
                <w:bCs w:val="1"/>
                <w:color w:val="auto"/>
              </w:rPr>
              <w:t>1,790,534</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2,790,534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80" w:right="40" w:hanging="345"/>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compensation and benefits Mr. Klein and Ms. Green would be entitled to receive pursuant to their respective Second Amended Employment Agreements. See “Employment Agreements” for additional information.</w:t>
      </w:r>
    </w:p>
    <w:p>
      <w:pPr>
        <w:spacing w:after="0" w:line="215"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resignation by the NEO other than for good reason (as such terms are defined in the applicable Second Amended Employment Agreement).</w:t>
      </w:r>
    </w:p>
    <w:p>
      <w:pPr>
        <w:spacing w:after="0" w:line="279" w:lineRule="exact"/>
        <w:rPr>
          <w:rFonts w:ascii="Times New Roman" w:cs="Times New Roman" w:eastAsia="Times New Roman" w:hAnsi="Times New Roman"/>
          <w:sz w:val="18"/>
          <w:szCs w:val="18"/>
          <w:color w:val="auto"/>
        </w:rPr>
      </w:pPr>
    </w:p>
    <w:p>
      <w:pPr>
        <w:ind w:left="380" w:right="40" w:hanging="345"/>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Employment Agreements provide for payment of any earned but unpaid base salary if employment terminated for any reason. Assumes no earned but unpaid base salary, as calculations are based on full fiscal year of employment.</w:t>
      </w:r>
    </w:p>
    <w:p>
      <w:pPr>
        <w:spacing w:after="0" w:line="215"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calculated based on 2025 base salary and applicable multiplier pursuant to NEO’s Second Amended Employment Agreement.</w:t>
      </w:r>
    </w:p>
    <w:p>
      <w:pPr>
        <w:spacing w:after="0" w:line="279" w:lineRule="exact"/>
        <w:rPr>
          <w:rFonts w:ascii="Times New Roman" w:cs="Times New Roman" w:eastAsia="Times New Roman" w:hAnsi="Times New Roman"/>
          <w:sz w:val="18"/>
          <w:szCs w:val="18"/>
          <w:color w:val="auto"/>
        </w:rPr>
      </w:pPr>
    </w:p>
    <w:p>
      <w:pPr>
        <w:jc w:val="both"/>
        <w:ind w:left="380" w:right="20" w:hanging="345"/>
        <w:spacing w:after="0" w:line="258"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Employment Agreements provide for payment of (i) any unpaid annual bonuses and (ii) pro-rated portion of annual bonuses for then-current fiscal year based on number of days employed during the year of termination. NEOs terminated for cause (as such term is defined in the applicable Second Amended Employment Agreement) or that voluntarily resign forfeit any unpaid bonuses and are not entitled to receive pro-rated bonuses. Assumes no unpaid annual bonuses and pro-rated portion of annual bonuses as calculations are based on full fiscal year of employment.</w:t>
      </w:r>
    </w:p>
    <w:p>
      <w:pPr>
        <w:spacing w:after="0" w:line="237" w:lineRule="exact"/>
        <w:rPr>
          <w:rFonts w:ascii="Times New Roman" w:cs="Times New Roman" w:eastAsia="Times New Roman" w:hAnsi="Times New Roman"/>
          <w:sz w:val="18"/>
          <w:szCs w:val="18"/>
          <w:color w:val="auto"/>
        </w:rPr>
      </w:pPr>
    </w:p>
    <w:p>
      <w:pPr>
        <w:ind w:left="380" w:right="20" w:hanging="345"/>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amount calculated based on actual amount of annual bonus for preceding fiscal year, multiplied by the applicable multiplier pursuant to NEO’s Second Amended Employment Agreement. See “Employment Agreements.”</w:t>
      </w:r>
    </w:p>
    <w:p>
      <w:pPr>
        <w:spacing w:after="0" w:line="215" w:lineRule="exact"/>
        <w:rPr>
          <w:rFonts w:ascii="Times New Roman" w:cs="Times New Roman" w:eastAsia="Times New Roman" w:hAnsi="Times New Roman"/>
          <w:sz w:val="18"/>
          <w:szCs w:val="18"/>
          <w:color w:val="auto"/>
        </w:rPr>
      </w:pPr>
    </w:p>
    <w:p>
      <w:pPr>
        <w:jc w:val="both"/>
        <w:ind w:left="380" w:right="20" w:hanging="345"/>
        <w:spacing w:after="0" w:line="254"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as a result of death or disability, without cause or for good reason (as such terms are defined in the applicable Second Amended Employment Agreement), any unvested portion of any equity awards held by the NEO immediately vest in full and become exercisable and free from forfeiture or repurchase, as applicable, as of the effective date of any such event of employment termination. If the NEO’s employment is terminated for any other reason, including for cause (as such term is defined in the applicable Second Amended Employment Agreement), any unvested portion of any equity awards held by the NEO are forfeited immediately as of the effective date of any such event of employment termination. If a change in control occurs and any equity awards are not assumed or substituted by the successor entity, such equity awards immediately vest and become exercisable. Such amounts may not correspond to the actual value that will be recognized by the NEOs upon vesting. The amounts provided here include the value of all unvested shares and cash and restricted stock dividends paid thereon based on the closing price of our common stock on the Nasdaq Global Select Market as of December 31, 2025.</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both"/>
        <w:ind w:left="380" w:right="20" w:hanging="345"/>
        <w:spacing w:after="0" w:line="266"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termination without cause and voluntary resignation, this row also includes reimbursement of the full amount of COBRA premiums for the NEOs and his or her eligible dependents for 18 months for Mr. Klein and 12 months for Ms. Green following termination of employment, estimated at $3,000 per month for each of Mr. Klein and Ms. Green,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Pay Ratio</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2025, our last completed fiscal year, the median of the annual total compensation of all of our employees (other than Mr. Klein, our Chief Executive Officer (our “CEO”)) was $612,542, and the annual total compensation of our CEO, as reported in the Summary Compensation Table, was $6,733,734. Based on this information, our CEO’s 2025 annual total compensation was approximately 11.0 times that of the median of the 2025 annual total compensation of all of our employees.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selected December 31, 2025 as the date used to identify our “median employee” whose annual total compensation was the median of the annual total compensation of all our employees (other than our CEO) for 2025. As of December 31, 2025, our employee population consisted of nine individuals, all based in the United States, including at our headquarters in New York, New York and our additional office in San Francisco, California. We compared the annual total compensation for our employee population in accordance with the requirements of Item 402(e)(2)(x) of Regulation S-K, which included salary, bonus, restricted stock awards (including cash and restricted stock dividends thereon), employer-funded costs of medical, dental, and vision health plan premiums and other insurance plan premiums, and employer matching contributions to employee accounts in our 401(k)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shows the total compensation for our NEOs for the past five fiscal years as set forth in the Summary Compensation Table, the “compensation actually paid” to our principal executive officer (“PEO”) and non-PEO NEO (in each case, as determined under SEC rules), our total shareholder return (or “TSR”), the total shareholder return of the Nasdaq Stock Index over the same period, our Net Increase/(Decrease) in Net Assets Resulting from Operations, and our financial performance measure for compensatory purposes, net asset value (“NAV”) per share of our common stock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Initial Fixed $100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Investment Based On: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Net Increase/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19"/>
                <w:szCs w:val="19"/>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Nasdaq</w:t>
            </w:r>
          </w:p>
        </w:tc>
        <w:tc>
          <w:tcPr>
            <w:tcW w:w="16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 Index</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Resulting</w:t>
            </w:r>
          </w:p>
        </w:tc>
        <w:tc>
          <w:tcPr>
            <w:tcW w:w="18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NAV</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10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Non-PEO</w:t>
            </w: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to Non-PEO</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8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0" w:type="dxa"/>
            <w:vAlign w:val="bottom"/>
          </w:tcPr>
          <w:p>
            <w:pPr>
              <w:spacing w:after="0"/>
              <w:rPr>
                <w:sz w:val="1"/>
                <w:szCs w:val="1"/>
                <w:color w:val="auto"/>
              </w:rPr>
            </w:pPr>
          </w:p>
        </w:tc>
      </w:tr>
      <w:tr>
        <w:trPr>
          <w:trHeight w:val="270"/>
        </w:trPr>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3"/>
                <w:szCs w:val="23"/>
                <w:color w:val="auto"/>
              </w:rPr>
            </w:pPr>
          </w:p>
        </w:tc>
        <w:tc>
          <w:tcPr>
            <w:tcW w:w="1280" w:type="dxa"/>
            <w:vAlign w:val="bottom"/>
            <w:gridSpan w:val="2"/>
          </w:tcPr>
          <w:p>
            <w:pPr>
              <w:jc w:val="center"/>
              <w:ind w:right="380"/>
              <w:spacing w:after="0" w:line="270" w:lineRule="exact"/>
              <w:rPr>
                <w:sz w:val="20"/>
                <w:szCs w:val="20"/>
                <w:color w:val="auto"/>
              </w:rPr>
            </w:pPr>
            <w:r>
              <w:rPr>
                <w:rFonts w:ascii="Times New Roman" w:cs="Times New Roman" w:eastAsia="Times New Roman" w:hAnsi="Times New Roman"/>
                <w:sz w:val="18"/>
                <w:szCs w:val="18"/>
                <w:b w:val="1"/>
                <w:bCs w:val="1"/>
                <w:color w:val="auto"/>
                <w:w w:val="94"/>
              </w:rPr>
              <w:t>for PEO</w:t>
            </w:r>
            <w:r>
              <w:rPr>
                <w:rFonts w:ascii="Times New Roman" w:cs="Times New Roman" w:eastAsia="Times New Roman" w:hAnsi="Times New Roman"/>
                <w:sz w:val="29"/>
                <w:szCs w:val="29"/>
                <w:b w:val="1"/>
                <w:bCs w:val="1"/>
                <w:color w:val="auto"/>
                <w:w w:val="94"/>
                <w:vertAlign w:val="superscript"/>
              </w:rPr>
              <w:t>(1)</w:t>
            </w:r>
          </w:p>
        </w:tc>
        <w:tc>
          <w:tcPr>
            <w:tcW w:w="140" w:type="dxa"/>
            <w:vAlign w:val="bottom"/>
          </w:tcPr>
          <w:p>
            <w:pPr>
              <w:spacing w:after="0"/>
              <w:rPr>
                <w:sz w:val="23"/>
                <w:szCs w:val="23"/>
                <w:color w:val="auto"/>
              </w:rPr>
            </w:pPr>
          </w:p>
        </w:tc>
        <w:tc>
          <w:tcPr>
            <w:tcW w:w="1260" w:type="dxa"/>
            <w:vAlign w:val="bottom"/>
            <w:gridSpan w:val="2"/>
          </w:tcPr>
          <w:p>
            <w:pPr>
              <w:jc w:val="right"/>
              <w:ind w:right="480"/>
              <w:spacing w:after="0" w:line="270" w:lineRule="exact"/>
              <w:rPr>
                <w:sz w:val="20"/>
                <w:szCs w:val="20"/>
                <w:color w:val="auto"/>
              </w:rPr>
            </w:pPr>
            <w:r>
              <w:rPr>
                <w:rFonts w:ascii="Times New Roman" w:cs="Times New Roman" w:eastAsia="Times New Roman" w:hAnsi="Times New Roman"/>
                <w:sz w:val="18"/>
                <w:szCs w:val="18"/>
                <w:b w:val="1"/>
                <w:bCs w:val="1"/>
                <w:color w:val="auto"/>
                <w:w w:val="96"/>
              </w:rPr>
              <w:t>to PEO</w:t>
            </w:r>
            <w:r>
              <w:rPr>
                <w:rFonts w:ascii="Times New Roman" w:cs="Times New Roman" w:eastAsia="Times New Roman" w:hAnsi="Times New Roman"/>
                <w:sz w:val="29"/>
                <w:szCs w:val="29"/>
                <w:b w:val="1"/>
                <w:bCs w:val="1"/>
                <w:color w:val="auto"/>
                <w:w w:val="96"/>
                <w:vertAlign w:val="superscript"/>
              </w:rPr>
              <w:t>(2)</w:t>
            </w:r>
          </w:p>
        </w:tc>
        <w:tc>
          <w:tcPr>
            <w:tcW w:w="100" w:type="dxa"/>
            <w:vAlign w:val="bottom"/>
          </w:tcPr>
          <w:p>
            <w:pPr>
              <w:spacing w:after="0"/>
              <w:rPr>
                <w:sz w:val="23"/>
                <w:szCs w:val="23"/>
                <w:color w:val="auto"/>
              </w:rPr>
            </w:pPr>
          </w:p>
        </w:tc>
        <w:tc>
          <w:tcPr>
            <w:tcW w:w="1300" w:type="dxa"/>
            <w:vAlign w:val="bottom"/>
            <w:gridSpan w:val="2"/>
          </w:tcPr>
          <w:p>
            <w:pPr>
              <w:jc w:val="center"/>
              <w:ind w:right="380"/>
              <w:spacing w:after="0" w:line="270" w:lineRule="exact"/>
              <w:rPr>
                <w:sz w:val="20"/>
                <w:szCs w:val="20"/>
                <w:color w:val="auto"/>
              </w:rPr>
            </w:pPr>
            <w:r>
              <w:rPr>
                <w:rFonts w:ascii="Times New Roman" w:cs="Times New Roman" w:eastAsia="Times New Roman" w:hAnsi="Times New Roman"/>
                <w:sz w:val="18"/>
                <w:szCs w:val="18"/>
                <w:b w:val="1"/>
                <w:bCs w:val="1"/>
                <w:color w:val="auto"/>
                <w:w w:val="93"/>
              </w:rPr>
              <w:t>NEOs</w:t>
            </w:r>
            <w:r>
              <w:rPr>
                <w:rFonts w:ascii="Times New Roman" w:cs="Times New Roman" w:eastAsia="Times New Roman" w:hAnsi="Times New Roman"/>
                <w:sz w:val="29"/>
                <w:szCs w:val="29"/>
                <w:b w:val="1"/>
                <w:bCs w:val="1"/>
                <w:color w:val="auto"/>
                <w:w w:val="93"/>
                <w:vertAlign w:val="superscript"/>
              </w:rPr>
              <w:t>(3)</w:t>
            </w:r>
          </w:p>
        </w:tc>
        <w:tc>
          <w:tcPr>
            <w:tcW w:w="120" w:type="dxa"/>
            <w:vAlign w:val="bottom"/>
          </w:tcPr>
          <w:p>
            <w:pPr>
              <w:spacing w:after="0"/>
              <w:rPr>
                <w:sz w:val="23"/>
                <w:szCs w:val="23"/>
                <w:color w:val="auto"/>
              </w:rPr>
            </w:pPr>
          </w:p>
        </w:tc>
        <w:tc>
          <w:tcPr>
            <w:tcW w:w="1300" w:type="dxa"/>
            <w:vAlign w:val="bottom"/>
            <w:gridSpan w:val="2"/>
          </w:tcPr>
          <w:p>
            <w:pPr>
              <w:jc w:val="center"/>
              <w:ind w:right="420"/>
              <w:spacing w:after="0" w:line="269" w:lineRule="exact"/>
              <w:rPr>
                <w:sz w:val="20"/>
                <w:szCs w:val="20"/>
                <w:color w:val="auto"/>
              </w:rPr>
            </w:pPr>
            <w:r>
              <w:rPr>
                <w:rFonts w:ascii="Times New Roman" w:cs="Times New Roman" w:eastAsia="Times New Roman" w:hAnsi="Times New Roman"/>
                <w:sz w:val="31"/>
                <w:szCs w:val="31"/>
                <w:b w:val="1"/>
                <w:bCs w:val="1"/>
                <w:color w:val="auto"/>
                <w:w w:val="93"/>
                <w:vertAlign w:val="subscript"/>
              </w:rPr>
              <w:t>NEOs</w:t>
            </w:r>
            <w:r>
              <w:rPr>
                <w:rFonts w:ascii="Times New Roman" w:cs="Times New Roman" w:eastAsia="Times New Roman" w:hAnsi="Times New Roman"/>
                <w:sz w:val="14"/>
                <w:szCs w:val="14"/>
                <w:b w:val="1"/>
                <w:bCs w:val="1"/>
                <w:color w:val="auto"/>
                <w:w w:val="93"/>
              </w:rPr>
              <w:t>(2)(3)</w:t>
            </w:r>
          </w:p>
        </w:tc>
        <w:tc>
          <w:tcPr>
            <w:tcW w:w="100" w:type="dxa"/>
            <w:vAlign w:val="bottom"/>
          </w:tcPr>
          <w:p>
            <w:pPr>
              <w:spacing w:after="0"/>
              <w:rPr>
                <w:sz w:val="23"/>
                <w:szCs w:val="23"/>
                <w:color w:val="auto"/>
              </w:rPr>
            </w:pPr>
          </w:p>
        </w:tc>
        <w:tc>
          <w:tcPr>
            <w:tcW w:w="118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Return</w:t>
            </w:r>
            <w:r>
              <w:rPr>
                <w:rFonts w:ascii="Times New Roman" w:cs="Times New Roman" w:eastAsia="Times New Roman" w:hAnsi="Times New Roman"/>
                <w:sz w:val="29"/>
                <w:szCs w:val="29"/>
                <w:b w:val="1"/>
                <w:bCs w:val="1"/>
                <w:color w:val="auto"/>
                <w:vertAlign w:val="superscript"/>
              </w:rPr>
              <w:t>(4)</w:t>
            </w:r>
          </w:p>
        </w:tc>
        <w:tc>
          <w:tcPr>
            <w:tcW w:w="140" w:type="dxa"/>
            <w:vAlign w:val="bottom"/>
          </w:tcPr>
          <w:p>
            <w:pPr>
              <w:spacing w:after="0"/>
              <w:rPr>
                <w:sz w:val="23"/>
                <w:szCs w:val="2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Return</w:t>
            </w:r>
          </w:p>
        </w:tc>
        <w:tc>
          <w:tcPr>
            <w:tcW w:w="160" w:type="dxa"/>
            <w:vAlign w:val="bottom"/>
          </w:tcPr>
          <w:p>
            <w:pPr>
              <w:spacing w:after="0"/>
              <w:rPr>
                <w:sz w:val="23"/>
                <w:szCs w:val="23"/>
                <w:color w:val="auto"/>
              </w:rPr>
            </w:pPr>
          </w:p>
        </w:tc>
        <w:tc>
          <w:tcPr>
            <w:tcW w:w="1380" w:type="dxa"/>
            <w:vAlign w:val="bottom"/>
            <w:gridSpan w:val="3"/>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Operations</w:t>
            </w:r>
            <w:r>
              <w:rPr>
                <w:rFonts w:ascii="Times New Roman" w:cs="Times New Roman" w:eastAsia="Times New Roman" w:hAnsi="Times New Roman"/>
                <w:sz w:val="29"/>
                <w:szCs w:val="29"/>
                <w:b w:val="1"/>
                <w:bCs w:val="1"/>
                <w:color w:val="auto"/>
                <w:vertAlign w:val="superscript"/>
              </w:rPr>
              <w:t>(5)</w:t>
            </w:r>
          </w:p>
        </w:tc>
        <w:tc>
          <w:tcPr>
            <w:tcW w:w="180" w:type="dxa"/>
            <w:vAlign w:val="bottom"/>
          </w:tcPr>
          <w:p>
            <w:pPr>
              <w:spacing w:after="0"/>
              <w:rPr>
                <w:sz w:val="23"/>
                <w:szCs w:val="2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09"/>
        </w:trPr>
        <w:tc>
          <w:tcPr>
            <w:tcW w:w="5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6,733,734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8,522,994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4"/>
              </w:rPr>
              <w:t>1,884,596</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2,218,280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48,808,336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3,164,407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3,497,486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1,287,098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1,349,183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79.43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149.83</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(38,124,247)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2,976,409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3,000,039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1,232,474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1,231,442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53.14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116.47</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5,066,822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6"/>
        </w:trPr>
        <w:tc>
          <w:tcPr>
            <w:tcW w:w="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4,353,439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643,964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1,518,079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935,248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51.29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(132,177,053)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7,546,084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7,363,821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1,625,652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1,570,025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172.71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121.39</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147,071,721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80" w:hanging="345"/>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Klein was the sole PEO for each of 2025, 2024, 2023, 2022, and 2021.</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jc w:val="both"/>
        <w:ind w:left="380" w:right="40" w:hanging="345"/>
        <w:spacing w:after="0" w:line="258"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(“CAP”) is a calculation that begins with the Summary Compensation Table (“SCT”) total compensation in the given year with certain adjustments prescribed by the SEC rules. The following table provides a reconciliation of SCT total compensation (the “SCT Total”) with CAP for 2025, computed through the addition to the SCT Total of the values provided in the columns labeled “SCT Stock Awards,” “Fair Value of Stock Awards Granted in the Covered Year,” “Change in Fair Value of Unvested Stock Awards from Prior Years,” and “Change in Fair Value of Stock Awards that Vested in the Covered Year”: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10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that Vested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Granted in</w:t>
            </w: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SCT Stock</w:t>
            </w: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the Covered</w:t>
            </w: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from Prior</w:t>
            </w: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the Covered</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38"/>
        </w:trPr>
        <w:tc>
          <w:tcPr>
            <w:tcW w:w="20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SCT Total</w:t>
            </w:r>
          </w:p>
        </w:tc>
        <w:tc>
          <w:tcPr>
            <w:tcW w:w="14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8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Actually Paid</w:t>
            </w:r>
          </w:p>
        </w:tc>
      </w:tr>
      <w:tr>
        <w:trPr>
          <w:trHeight w:val="210"/>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PEO</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6,733,734</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(3,299,994)</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4,478,950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356,004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254,301</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8,522,994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2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Non-PEO</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NEO Average</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1,884,596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(299,999)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481,025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89,004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63,655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2,218,280</w:t>
            </w:r>
          </w:p>
        </w:tc>
      </w:tr>
    </w:tbl>
    <w:p>
      <w:pPr>
        <w:spacing w:after="0" w:line="225" w:lineRule="exact"/>
        <w:rPr>
          <w:sz w:val="20"/>
          <w:szCs w:val="20"/>
          <w:color w:val="auto"/>
        </w:rPr>
      </w:pPr>
    </w:p>
    <w:p>
      <w:pPr>
        <w:ind w:left="380" w:hanging="345"/>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Green was our only non-PEO NEO for each of 2025, 2024, 2023, 2022, and 2021.</w:t>
      </w:r>
    </w:p>
    <w:p>
      <w:pPr>
        <w:spacing w:after="0" w:line="279" w:lineRule="exact"/>
        <w:rPr>
          <w:rFonts w:ascii="Times New Roman" w:cs="Times New Roman" w:eastAsia="Times New Roman" w:hAnsi="Times New Roman"/>
          <w:sz w:val="18"/>
          <w:szCs w:val="18"/>
          <w:color w:val="auto"/>
        </w:rPr>
      </w:pPr>
    </w:p>
    <w:p>
      <w:pPr>
        <w:ind w:left="380" w:right="40" w:hanging="345"/>
        <w:spacing w:after="0" w:line="282"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represents the value of a hypothetical $100 investment beginning at market close on the last trading day of 2020, assuming reinvestment of all dividends.</w:t>
      </w:r>
    </w:p>
    <w:p>
      <w:pPr>
        <w:spacing w:after="0" w:line="215" w:lineRule="exact"/>
        <w:rPr>
          <w:rFonts w:ascii="Times New Roman" w:cs="Times New Roman" w:eastAsia="Times New Roman" w:hAnsi="Times New Roman"/>
          <w:sz w:val="18"/>
          <w:szCs w:val="18"/>
          <w:color w:val="auto"/>
        </w:rPr>
      </w:pPr>
    </w:p>
    <w:p>
      <w:pPr>
        <w:ind w:left="380" w:right="40" w:hanging="345"/>
        <w:spacing w:after="0" w:line="282"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nature of the Company’s operations, the Company calculates “Net Income” as the Net Increase/(Decrease) in Net Assets Resulting from Operations.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graph below reflects the relationship between “compensation actually paid” to our PEO and non-PEO NEO and Total Shareholder Return for the Company and the Nasdaq Stock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114300</wp:posOffset>
            </wp:positionV>
            <wp:extent cx="6120765" cy="3154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2076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The graph below reflects the relationship between “compensation actually paid” to our PEO and non-PEO NEO and our Net Increase/(Decrease)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Net Assets Resulting from Operations, which is the Company’s calculation of “Net Income” given the nature of the Company’s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142875</wp:posOffset>
            </wp:positionV>
            <wp:extent cx="6129655" cy="42519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29655" cy="425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graph below reflects the relationship between “compensation actually paid” to our PEO and non-PEO NEO and our NAV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154305</wp:posOffset>
            </wp:positionV>
            <wp:extent cx="6069330" cy="25971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6933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Restrictions imposed by the 1940 Act limit the Compensation Committee’s ability to use nondiscretionary or formulaic Company performance goals or criteria to determine executive incentive compensation. However, the Compensation Committee considers several financial performance metrics, along with other factors including operational goals and individual performance criteria, in determining the appropriate compensation for the Company’s NEOs. Subject to the foregoing restrictions imposed by the 1940 Act, in the Company’s assessment, the following list of performance measures represent the most important performance measures used to link compensation actually paid to our NEOs, for the most recently completed fiscal year, to Company performance:</w:t>
      </w:r>
    </w:p>
    <w:p>
      <w:pPr>
        <w:spacing w:after="0" w:line="214" w:lineRule="exact"/>
        <w:rPr>
          <w:sz w:val="20"/>
          <w:szCs w:val="20"/>
          <w:color w:val="auto"/>
        </w:rPr>
      </w:pPr>
    </w:p>
    <w:p>
      <w:pPr>
        <w:ind w:left="1060" w:hanging="350"/>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declared and paid by the Company;</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monetizations of investments;.</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investments within the portfolio, focusing on high-quality opportunities to ensure efficiency;</w:t>
      </w:r>
    </w:p>
    <w:p>
      <w:pPr>
        <w:spacing w:after="0" w:line="279" w:lineRule="exact"/>
        <w:rPr>
          <w:rFonts w:ascii="Times New Roman" w:cs="Times New Roman" w:eastAsia="Times New Roman" w:hAnsi="Times New Roman"/>
          <w:sz w:val="18"/>
          <w:szCs w:val="18"/>
          <w:color w:val="auto"/>
        </w:rPr>
      </w:pPr>
    </w:p>
    <w:p>
      <w:pPr>
        <w:ind w:left="1060" w:hanging="350"/>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enhancements to the overall investment process, to the valuation process, and to financial reporting; and</w:t>
      </w:r>
    </w:p>
    <w:p>
      <w:pPr>
        <w:spacing w:after="0" w:line="279" w:lineRule="exact"/>
        <w:rPr>
          <w:rFonts w:ascii="Times New Roman" w:cs="Times New Roman" w:eastAsia="Times New Roman" w:hAnsi="Times New Roman"/>
          <w:sz w:val="18"/>
          <w:szCs w:val="18"/>
          <w:color w:val="auto"/>
        </w:rPr>
      </w:pPr>
    </w:p>
    <w:p>
      <w:pPr>
        <w:ind w:left="1060" w:right="40" w:hanging="350"/>
        <w:spacing w:after="0" w:line="282"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strong balance sheet, including maintaining liquidity and capital flexibility to accomplish the Company’s business objectives.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key metrics considered by the Compensation Committee when determining the appropriate compensation for NEOs include investment activity, growth and performance of the Company’s business, maintenance of liquidity and capital flexibility, growth and development of human capital, and individual contributions to corporate objectives.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enter into transactions with portfolio companies that may be considered related 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 If such affiliations are found to exist, we seek Board of Directors and/or appropriate Board of Directors committee review and approval or exemptive relief for such transactions, as appropriate.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adopted a code of ethics which applies to, among others, our senior officers, including our Chief Executive Officer and Chief Financial Officer, as well as all of our officers, directors and employees. Our officers and directors also remain subject to the fiduciary obligations imposed by both the 1940 Act and applicable state corporate law.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PROPOSAL II: ADVISORY VOTE ON EXECUTIVE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provide our stockholders with an annual vote (on an advisory and non-binding basis) on NEO compensation. More detailed discussion regarding the compensation of our NEOs is provided under the sections “Compensation Discussion and Analysis” and “Executive Compensation” above.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recognizes that executive compensation is an important matter for our stockholders. As described in detail in the “Compensation Discussion and Analysis” section of this Proxy Statement, the Compensation Committee is tasked with the implementation of our executive compensation philosophy and objectives, and the core of which are to pay our executives, including NEOs, based on our and their performance. Specifically, the Compensation Committee strives to attract, retain and motivate exceptional executives, to reward past performance and provide incentives for future performance, to encourage our executive officers to think and act like our stockholders and to align executives’ long-term interests with the interests of our stockholders. To do so, the Compensation Committee uses compensation programs designed to reward excellent performance and encourage executives’ commitment to our business goals. It is the intention of the Compensation Committee that our executive officers be compensated competitively and consistently with our strategy, sound corporate governance principles, and stockholder interests and concerns.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the compensation of our NEOs as set forth in this Proxy Statement. Accordingly, we recommend our stockholders vote “FOR” the following advisory resolution at the Annual Meeting:</w:t>
      </w:r>
    </w:p>
    <w:p>
      <w:pPr>
        <w:spacing w:after="0" w:line="162"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“RESOLVED, that the stockholders of SuRo Capital Corp. approve, on an advisory basis, the compensation of the named executive officers of SuRo Capital Corp., as disclosed in SuRo Capital Corp.’s Proxy Statement for the 2026 Annual Meeting of Stockholders pursuant to the compensation disclosure rules of the Securities and Exchange Commission, including the Compensation Discussion and Analysis, the executive compensation tables and the other related disclosure contained in such Proxy Statement.”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vote for this Proposal II is advisory, and is therefore not binding upon the Compensation Committee, our Board of Directors or the Company. Our Compensation Committee and our Board of Directors value the opinions of our stockholders and, to the extent there is any significant vote against the compensation of our NEOs as disclosed in this Proxy Statement, we will carefully consider our stockholders’ concerns, and the Compensation Committee and our Board of Directors will evaluate whether any actions are necessary to address such concerns.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the absence of instructions to the contrary, it is the intention of the persons named as proxies to vote “FOR” the advisory resolution to approve the compensation of the Company’s named executive officers.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ADVISORY RESOLUTION TO APPROVE THE COMPENSATION OF THE COMPANY’S NAMED EXECUTIVE OFFICERS.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III: RATIFICATION OF SELECTION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 2024, the attest business of Marcum LLP (“Marcum”) was acquired by CBIZ CPAs P.C. (“CBIZ”). Due to this acquisition, on April 3, 2025, the Company terminated its relationship with Marcum as the Company’s independent registered accounting firm. On April 3, 2025, the Company, with the approval of the Audit Committee of the Company’s Board of Directors, engaged CBIZ as the Company’s independent registered public accounting firm.</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meetings held on March 4, 2026, our Board of Directors and the Audit Committee selected CBIZ to serve as our independent registered public accounting firm for the fiscal year ending December 31, 2026. CBIZ also will serve as the independent registered public accounting firm for all of our wholly-owned subsidiaries. CBIZ has advised us that neither the firm nor any present member or associate of it has any material financial interest, direct or indirect, in us or our affiliates. It is expected that a representative of CBIZ will be present at the Annual Meeting and will have an opportunity to make a statement if he or she chooses and will be available to answer questions. The selection of CBIZ has been made by a majority of the Audit Committee, all of whom are independent under the Nasdaq Listing Rules and “non-interested” directors as required by Section 32(a) of the 1940 Act, and is being submitted to stockholders for ratification consistent with Section 32(a) of the 1940 Act.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reports of Marcum on our financial statements for the fiscal years ended December 31, 2024, 2023 and 2022 contained no adverse opinion or disclaimer of opinion, and were not qualified or modified as to uncertainty, audit scope or accounting principles.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reports of CBIZ on our financial statements for the fiscal year ended December 31, 2025 contained no adverse opinion or disclaimer of opinion, and were not qualified or modified as to uncertainty, audit scope or accounting principles.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fees billed to the Company for professional services rendered by CBIZ and Marcum for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r>
      <w:tr>
        <w:trPr>
          <w:trHeight w:val="216"/>
        </w:trPr>
        <w:tc>
          <w:tcPr>
            <w:tcW w:w="6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6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r>
      <w:tr>
        <w:trPr>
          <w:trHeight w:val="237"/>
        </w:trPr>
        <w:tc>
          <w:tcPr>
            <w:tcW w:w="62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7"/>
                <w:szCs w:val="27"/>
                <w:color w:val="auto"/>
                <w:vertAlign w:val="superscript"/>
              </w:rPr>
              <w:t>(1)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691,657</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672,048</w:t>
            </w:r>
          </w:p>
        </w:tc>
      </w:tr>
      <w:tr>
        <w:trPr>
          <w:trHeight w:val="256"/>
        </w:trPr>
        <w:tc>
          <w:tcPr>
            <w:tcW w:w="62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200" w:type="dxa"/>
            <w:vAlign w:val="bottom"/>
          </w:tcPr>
          <w:p>
            <w:pPr>
              <w:spacing w:after="0"/>
              <w:rPr>
                <w:sz w:val="22"/>
                <w:szCs w:val="22"/>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72,380</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23,175</w:t>
            </w:r>
          </w:p>
        </w:tc>
      </w:tr>
      <w:tr>
        <w:trPr>
          <w:trHeight w:val="257"/>
        </w:trPr>
        <w:tc>
          <w:tcPr>
            <w:tcW w:w="62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2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49,128</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42,676</w:t>
            </w:r>
          </w:p>
        </w:tc>
      </w:tr>
      <w:tr>
        <w:trPr>
          <w:trHeight w:val="270"/>
        </w:trPr>
        <w:tc>
          <w:tcPr>
            <w:tcW w:w="62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(4)</w:t>
            </w:r>
          </w:p>
        </w:tc>
        <w:tc>
          <w:tcPr>
            <w:tcW w:w="200" w:type="dxa"/>
            <w:vAlign w:val="bottom"/>
          </w:tcPr>
          <w:p>
            <w:pPr>
              <w:spacing w:after="0"/>
              <w:rPr>
                <w:sz w:val="23"/>
                <w:szCs w:val="23"/>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813,166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737,899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23" w:lineRule="exact"/>
        <w:rPr>
          <w:sz w:val="20"/>
          <w:szCs w:val="20"/>
          <w:color w:val="auto"/>
        </w:rPr>
      </w:pPr>
    </w:p>
    <w:p>
      <w:pPr>
        <w:ind w:left="380" w:right="40" w:hanging="345"/>
        <w:spacing w:after="0" w:line="284"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Audit fees consist of fees billed for professional services rendered for the audit of our year-end financial statements and services that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normally provided by our independent registered public accountants in connection with statutory and regulatory filings.</w:t>
      </w:r>
    </w:p>
    <w:p>
      <w:pPr>
        <w:spacing w:after="0" w:line="212" w:lineRule="exact"/>
        <w:rPr>
          <w:rFonts w:ascii="Times New Roman" w:cs="Times New Roman" w:eastAsia="Times New Roman" w:hAnsi="Times New Roman"/>
          <w:sz w:val="18"/>
          <w:szCs w:val="18"/>
          <w:color w:val="auto"/>
        </w:rPr>
      </w:pPr>
    </w:p>
    <w:p>
      <w:pPr>
        <w:jc w:val="both"/>
        <w:ind w:left="380" w:right="40" w:hanging="345"/>
        <w:spacing w:after="0" w:line="267"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 Audit-related services consist of fees billed for assurance and related services that are reasonably related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227" w:lineRule="exact"/>
        <w:rPr>
          <w:rFonts w:ascii="Times New Roman" w:cs="Times New Roman" w:eastAsia="Times New Roman" w:hAnsi="Times New Roman"/>
          <w:sz w:val="18"/>
          <w:szCs w:val="18"/>
          <w:color w:val="auto"/>
        </w:rPr>
      </w:pPr>
    </w:p>
    <w:p>
      <w:pPr>
        <w:ind w:left="380" w:right="40" w:hanging="345"/>
        <w:spacing w:after="0" w:line="284"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Tax fees consist of fees billed for professional services for tax compliance. These services include assistance regarding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tax compliance.</w:t>
      </w:r>
    </w:p>
    <w:p>
      <w:pPr>
        <w:spacing w:after="0" w:line="212"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All other fees would include fees for products and services other than the services reported above.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of the Company operates under a written charter adopted by the Board of Directors. The Audit Committee is currently composed of Ms. Westley and Messrs. Mazur, Potter, and Lott.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auditing standards generally accepted in the United States and expressing an opinion on the conformity of those audited financial statements in accordance with accounting principles generally accepted in the United States. The Audit Committee’s responsibility is to monitor and oversee these processes. The Audit Committee is also directly responsible for the appointment, compensation and oversight of the Company’s independent registered public accounting firm.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the Company’s independent registered public accounting firm. The policy requires that the Audit Committee pre-approve the audit and non-audit services performed by the Company’s independent registered public accounting firm in order to assure that the provision of such service does not impair such auditor’s independence.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subcommittees consisting of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with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the audited financial statements and met and held discussions with management regarding the audited financial statements. Management has represented to the Audit Committee that the Company’s financial statements were prepared in accordance with accounting principles generally accepted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Discussion with Independent Registered Public Accounting Firm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has discussed with CBIZ, the Company’s independent registered public accounting firm during the fiscal year ended December 31, 2025, the matters an independent auditor is required to discuss with the Audit Committee under the rules adopted by the Public Company Accounting Oversight Board (“PCAOB”). The Audit Committee has received and reviewed the written disclosures and the letter from CBIZ required by the applicable requirements of the PCAOB and has discussed with CBIZ its independence. The Audit Committee has also considered whether the provision of non- audit services, and the fees charged for such services, by CBIZ are compatible with CBIZ maintaining its independence from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the Audit Committee’s discussion with management and CBIZ, the Audit Committee’s review of the audited financial statements, the representations of management and the report of CBIZ to the Audit Committee, the Audit Committee recommended that the Company’s Board of Directors include the audited financial statements in the Company’s annual report on Form 10-K for the fiscal year ended December 31, 2025 for filing with the SEC. The Audit Committee also recommended the selection of CBIZ to serve as the Company’s independent registered public accounting firm for the fiscal year ending December 31,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ind w:left="564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2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Marc Mazur, </w:t>
      </w:r>
      <w:r>
        <w:rPr>
          <w:rFonts w:ascii="Times New Roman" w:cs="Times New Roman" w:eastAsia="Times New Roman" w:hAnsi="Times New Roman"/>
          <w:sz w:val="18"/>
          <w:szCs w:val="18"/>
          <w:i w:val="1"/>
          <w:iCs w:val="1"/>
          <w:color w:val="auto"/>
        </w:rPr>
        <w:t>Chair</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Ronald M. Lott</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Leonard A. Potter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Lisa Westley</w:t>
      </w:r>
    </w:p>
    <w:p>
      <w:pPr>
        <w:spacing w:after="0" w:line="25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foregoing report shall not be deemed incorporated by reference by any general statement incorporating by reference this Proxy Statement into any filing under the Securities Act of 1933, as amended (the “Securities Act”), or the Exchange Act, except to the extent that we specifically incorporate this information by reference, and shall not otherwise be deemed filed under such Securities Act and/or Exchange Act.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Unless marked to the contrary, the shares represented by the enclosed proxy card will be voted for ratification of the appointment of CBIZ CPAs P.C. as the independent registered public accounting firm of the Company for the fiscal year ending December 31, 2026.</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RATIFICATION OF THE SELECTION OF CBIZ CPAs P.C. AS INDEPENDENT REGISTERED PUBLIC ACCOUNTING FIRM FOR THE COMPANY FOR THE FISCAL YEAR ENDING DECEMBER 31, 2026.</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knows of no other business to be presented for action at the Annual Meeting. If any matters do come before the Annual Meeting on which action can properly be taken, it is intended that the proxies shall vote in accordance with the judgment of the person or persons exercising the authority conferred by the proxy at the Annual Meeting. The submission of a proposal does not guarantee its inclusion in the Company’s proxy statement or presentation at the Annual Meeting unless certain securities law requirements are met.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expects that the 2027 Annual Meeting of Stockholders will be held in, or around, June 2027, but the exact date, time, and location of such meeting have yet to be determined. A stockholder who intends to present a proposal at the 2027 Annual Meeting of Stockholders pursuant to the SEC’s Rule 14a-8 must submit the proposal in writing to the Corporate Secretary of SuRo Capital Corp. at 640 Fifth Avenue, 12th Floor, New York, New York 10019 or the Company’s then current business address. To be considered for inclusion in the Company’s proxy statement for the 2027 Annual Meeting of Stockholders, a Rule 14a-8 proposal must be received by the Company no later than December 31, 2026 (i.e., not less than 120 calendar days before the first anniversary of the date this Proxy Statement is first released to stockholders). The submission of a proposal does not guarantee its inclusion in the Company’s proxy statement or presentation at the meeting.</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Stockholder proposals or director nominations to be presented at the 2027 Annual Meeting of Stockholders,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Our bylaws require that to be timely, a stockholder’s notice must set forth all information required and must be delivered to the Corporate Secretary at the principal executive office of the Company at the above address not earlier than the 150th day prior to the first anniversary of the date of this Proxy Statement nor later than 5:00 p.m., Eastern Time, on the 120th day prior to the first anniversary of the date of this Proxy Statement. As a result, for the Company’s 2027 Annual Meeting of Stockholders, a stockholder’s notice submitted pursuant to the provisions of our bylaws must be received no earlier than December 1, 2026, and no later than 5:00 p.m., Eastern Time, on December 31, 2026; provided, however, that in the event that the date of the 2027 Annual Meeting of Stockholders is advanced or delayed by more than 30 days from the first anniversary of this Annual Meeting, notice by the stockholder to be timely must be delivered not earlier than the 150th day prior to the date of the 2027 Annual Meeting of Stockholders and not later than 5:00 p.m., Eastern Time, on the later of the 120th day prior to the date of the 2027 Annual Meeting of Stockholders or the tenth day following the day on which public announcement of the date of the 2027 Annual Meeting of Stockholders is first made. The public announcement of a postponement or adjournment of an annual meeting shall not commence a new time period for the giving of a stockholder’s notice. The submission of a proposal pursuant to the provisions of the Company’s bylaws does not guarantee its presentation at any meeting of stockholders. We advise you to review our bylaws, a copy of which is on file with the SEC, and which contain additional requirements about advance notice of stockholder proposals and director nominations. In accordance with our bylaws, the Chair of the 2027 Annual Meeting of Stockholders may determine, if the facts warrant, that a matter has not been properly brought before the meeting and, therefore, may not be considered at the meeting. In addition, any stockholder intending to solicit proxies in support of director nominees other than the Company’s nominees at the 2027 Annual Meeting of Stockholders must comply with the additional requirements of Rule 14a-19 under the Exchange Act.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Notices of intention to present proposals at the 2027 Annual Meeting of Stockholders should be addressed to the Corporate Secretary of SuRo Capital Corp. at 640 Fifth Avenue, 12th Floor, New York, New York 10019. The Company reserves the right to reject, rule out of order, or take other appropriate action with respect to any proposal that does not comply with these and other applicable requirements.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Annual Meeting of stockholders in person. Regardless of whether you plan to attend the Annual Meeting, you are requested to complete, date, sign and promptly return the accompanying proxy card in the enclosed postage-paid envelope, or to vote by telephone or through the internet.</w:t>
      </w:r>
    </w:p>
    <w:p>
      <w:pPr>
        <w:spacing w:after="0" w:line="1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Allison Green</w:t>
      </w:r>
    </w:p>
    <w:p>
      <w:pPr>
        <w:spacing w:after="0" w:line="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PRIVACY NOTICE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protecting your privacy. This Privacy Notice sets forth our policies with respect to non-public personal information about our stockholders and prospective and former stockholders. These policies apply to stockholders in the Company and may be changed at any time, provided a notice of such change is given to you.</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provide us with personal information, such as your address, social security number, assets and/or income information, (i) in correspondence and conversations with us and our representatives and (ii) through transactions in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disclose any of this non-public personal information about our stockholders, or prospective or former stockholders to anyone, other than to our affiliates and except as permitted by law, such as to our accountants, attorneys, auditors, brokers, regulators, administrator, and certain service providers, in each such case, only as necessary to facilitate the acceptance and management of your investment or account and our relationship with you. We will comply with all federal and state laws regarding the protection of consumer information.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also release information about you if you direct us to do so, if compelled to do so by law, or in connection with any government or self-regulatory organization request or investigation. For example, it may be necessary, under anti-money laundering and similar laws, to disclose information about stockholders in order to accept investments from them and provide reports to them.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seek to carefully safeguard your private information and, to that end, restrict access to non-public personal information about you to those employees and other persons who need to know the information to enable us to provide services to you. We maintain physical, electronic and procedural safeguards to protect your non-public personal information.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adopted an incident response program designed to detect, respond to, and recover from any unauthorized access to or use of sensitive customer information. In the event we determine that your sensitive personal information was, or was reasonably likely to have been, accessed or used without authorization, we will provide you with notice no later than 30 days after we become aware of such unauthorized access or use.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regarding this policy or the treatment of your non-public personal information, please contact our Chief Compliance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SuRo Capital Corp.</w:t>
      </w:r>
    </w:p>
    <w:p>
      <w:pPr>
        <w:ind w:left="4580"/>
        <w:spacing w:after="0" w:line="205" w:lineRule="auto"/>
        <w:rPr>
          <w:sz w:val="20"/>
          <w:szCs w:val="20"/>
          <w:color w:val="auto"/>
        </w:rPr>
      </w:pPr>
      <w:r>
        <w:rPr>
          <w:rFonts w:ascii="Times New Roman" w:cs="Times New Roman" w:eastAsia="Times New Roman" w:hAnsi="Times New Roman"/>
          <w:sz w:val="18"/>
          <w:szCs w:val="18"/>
          <w:color w:val="auto"/>
        </w:rPr>
        <w:t>640 Fifth Avenue,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Chief Compliance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lowerRoman"/>
      <w:start w:val="4"/>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lowerRoman"/>
      <w:start w:val="2"/>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amp;"/>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lowerRoman"/>
      <w:start w:val="4"/>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lowerRoman"/>
      <w:start w:val="1"/>
    </w:lvl>
    <w:lvl w:ilvl="1">
      <w:lvlJc w:val="left"/>
      <w:lvlText w:val="(%2)"/>
      <w:numFmt w:val="upperLetter"/>
      <w:start w:val="2"/>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3"/>
    </w:lvl>
  </w:abstractNum>
  <w:abstractNum w:abstractNumId="31">
    <w:nsid w:val="77465F01"/>
    <w:multiLevelType w:val="hybridMultilevel"/>
    <w:lvl w:ilvl="0">
      <w:lvlJc w:val="left"/>
      <w:lvlText w:val="(%1)"/>
      <w:numFmt w:val="decimal"/>
      <w:start w:val="5"/>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2"/>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8"/>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3"/>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2026-04-29T16:34:00Z</dcterms:created>
  <dcterms:modified xsi:type="dcterms:W3CDTF">2026-04-29T16:34:00Z</dcterms:modified>
</cp:coreProperties>
</file>